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E4" w:rsidRDefault="004A14E4" w:rsidP="004A14E4">
      <w:pPr>
        <w:spacing w:after="120"/>
        <w:ind w:right="91"/>
        <w:jc w:val="center"/>
        <w:rPr>
          <w:u w:val="single"/>
        </w:rPr>
      </w:pPr>
      <w:r>
        <w:rPr>
          <w:b/>
          <w:u w:val="single"/>
        </w:rPr>
        <w:t>EXPLANATORY STATEMENT</w:t>
      </w:r>
    </w:p>
    <w:p w:rsidR="004A14E4" w:rsidRDefault="004A14E4" w:rsidP="004A14E4">
      <w:pPr>
        <w:spacing w:after="120"/>
        <w:ind w:right="91"/>
        <w:rPr>
          <w:u w:val="single"/>
        </w:rPr>
      </w:pPr>
    </w:p>
    <w:p w:rsidR="004A14E4" w:rsidRDefault="004A14E4" w:rsidP="004A14E4">
      <w:pPr>
        <w:spacing w:after="120"/>
        <w:jc w:val="center"/>
        <w:rPr>
          <w:u w:val="single"/>
        </w:rPr>
      </w:pPr>
      <w:r>
        <w:rPr>
          <w:u w:val="single"/>
        </w:rPr>
        <w:t>Issued by the authority of the Minister for Employment</w:t>
      </w:r>
    </w:p>
    <w:p w:rsidR="004A14E4" w:rsidRDefault="004A14E4" w:rsidP="004A14E4">
      <w:pPr>
        <w:tabs>
          <w:tab w:val="left" w:pos="993"/>
        </w:tabs>
        <w:spacing w:after="120"/>
        <w:ind w:left="1440" w:right="91" w:hanging="1440"/>
      </w:pPr>
    </w:p>
    <w:p w:rsidR="004A14E4" w:rsidRDefault="004A14E4" w:rsidP="004A14E4">
      <w:pPr>
        <w:tabs>
          <w:tab w:val="left" w:pos="993"/>
        </w:tabs>
        <w:spacing w:after="120"/>
        <w:ind w:left="1440" w:right="91" w:hanging="1440"/>
        <w:rPr>
          <w:i/>
        </w:rPr>
      </w:pPr>
      <w:r>
        <w:t xml:space="preserve">Subject – </w:t>
      </w:r>
      <w:r>
        <w:tab/>
      </w:r>
      <w:r>
        <w:tab/>
      </w:r>
      <w:r>
        <w:rPr>
          <w:i/>
        </w:rPr>
        <w:t xml:space="preserve">Building and Construction Industry (Improving Productivity) Act 2016 </w:t>
      </w:r>
    </w:p>
    <w:p w:rsidR="004A14E4" w:rsidRDefault="004A14E4" w:rsidP="004A14E4">
      <w:pPr>
        <w:tabs>
          <w:tab w:val="left" w:pos="993"/>
        </w:tabs>
        <w:spacing w:after="120"/>
        <w:ind w:left="1440" w:right="91" w:hanging="1440"/>
        <w:rPr>
          <w:i/>
        </w:rPr>
      </w:pPr>
      <w:r>
        <w:rPr>
          <w:i/>
        </w:rPr>
        <w:tab/>
      </w:r>
      <w:r>
        <w:rPr>
          <w:i/>
        </w:rPr>
        <w:tab/>
        <w:t xml:space="preserve">Code for the Tendering and Performance of Building Work Amendment Instrument 2017  </w:t>
      </w:r>
    </w:p>
    <w:p w:rsidR="004A14E4" w:rsidRDefault="004A14E4" w:rsidP="00A813A6">
      <w:pPr>
        <w:autoSpaceDE w:val="0"/>
        <w:autoSpaceDN w:val="0"/>
        <w:adjustRightInd w:val="0"/>
        <w:spacing w:after="120"/>
      </w:pPr>
      <w:r w:rsidRPr="00B704A3">
        <w:t>T</w:t>
      </w:r>
      <w:r w:rsidRPr="00BE06CE">
        <w:t xml:space="preserve">he </w:t>
      </w:r>
      <w:r w:rsidRPr="00BE06CE">
        <w:rPr>
          <w:i/>
        </w:rPr>
        <w:t>Building and Construction Industry (Improving Productivity) Act 2016</w:t>
      </w:r>
      <w:r w:rsidRPr="00BE06CE">
        <w:t xml:space="preserve"> (the </w:t>
      </w:r>
      <w:proofErr w:type="spellStart"/>
      <w:r w:rsidR="00A813A6">
        <w:t>BCI</w:t>
      </w:r>
      <w:proofErr w:type="spellEnd"/>
      <w:r w:rsidR="00A813A6">
        <w:t> </w:t>
      </w:r>
      <w:r w:rsidRPr="00BE06CE">
        <w:t xml:space="preserve">Act) </w:t>
      </w:r>
      <w:r>
        <w:t xml:space="preserve">enables the Minister for Employment to issue a code of practice that is to be </w:t>
      </w:r>
      <w:proofErr w:type="gramStart"/>
      <w:r>
        <w:t>complied</w:t>
      </w:r>
      <w:proofErr w:type="gramEnd"/>
      <w:r>
        <w:t xml:space="preserve"> with by persons in respect of building work (subsection 34(1)). </w:t>
      </w:r>
    </w:p>
    <w:p w:rsidR="004A14E4" w:rsidRDefault="004A14E4" w:rsidP="004A14E4">
      <w:pPr>
        <w:autoSpaceDE w:val="0"/>
        <w:autoSpaceDN w:val="0"/>
        <w:adjustRightInd w:val="0"/>
        <w:spacing w:after="120"/>
      </w:pPr>
      <w:r w:rsidRPr="00BE06CE">
        <w:t xml:space="preserve">Section 33(3) of the </w:t>
      </w:r>
      <w:r w:rsidRPr="00BE06CE">
        <w:rPr>
          <w:i/>
          <w:iCs/>
        </w:rPr>
        <w:t xml:space="preserve">Acts Interpretation Act 1901 </w:t>
      </w:r>
      <w:r w:rsidRPr="00BE06CE">
        <w:t>provides that where an Act confers a power to make</w:t>
      </w:r>
      <w:r>
        <w:t xml:space="preserve"> an instrument of legislative character </w:t>
      </w:r>
      <w:r w:rsidRPr="00BE06CE">
        <w:t>the power shall, unless the contrary intention appears, be construed as including a power to repeal, rescind, revok</w:t>
      </w:r>
      <w:r>
        <w:t xml:space="preserve">e, amend or vary </w:t>
      </w:r>
      <w:r w:rsidR="00A813A6">
        <w:t>any such instrument.</w:t>
      </w:r>
    </w:p>
    <w:p w:rsidR="00A813A6" w:rsidRDefault="007D4214" w:rsidP="00C125A5">
      <w:pPr>
        <w:autoSpaceDE w:val="0"/>
        <w:autoSpaceDN w:val="0"/>
        <w:adjustRightInd w:val="0"/>
        <w:spacing w:after="120"/>
      </w:pPr>
      <w:r>
        <w:t xml:space="preserve">The </w:t>
      </w:r>
      <w:r>
        <w:rPr>
          <w:i/>
        </w:rPr>
        <w:t xml:space="preserve">Code for the Tendering and Performance of Building Work 2016 </w:t>
      </w:r>
      <w:r>
        <w:t>(the 2016 Code)</w:t>
      </w:r>
      <w:r w:rsidR="00A813A6">
        <w:t>,</w:t>
      </w:r>
      <w:r>
        <w:t xml:space="preserve"> issued under subsection 34(1)</w:t>
      </w:r>
      <w:r w:rsidR="00A813A6">
        <w:t xml:space="preserve"> of the </w:t>
      </w:r>
      <w:proofErr w:type="spellStart"/>
      <w:r w:rsidR="00A813A6">
        <w:t>BCI</w:t>
      </w:r>
      <w:proofErr w:type="spellEnd"/>
      <w:r w:rsidR="00A813A6">
        <w:t xml:space="preserve"> Act,</w:t>
      </w:r>
      <w:r>
        <w:t xml:space="preserve"> </w:t>
      </w:r>
      <w:r w:rsidR="00F05182">
        <w:t>contain</w:t>
      </w:r>
      <w:r w:rsidR="007E7B54">
        <w:t>s</w:t>
      </w:r>
      <w:r w:rsidR="00F05182">
        <w:t xml:space="preserve"> requirements in relation to enterprise </w:t>
      </w:r>
      <w:r w:rsidR="00752634">
        <w:t xml:space="preserve">agreement content that affect the eligibility of a building contractor or </w:t>
      </w:r>
      <w:r w:rsidR="00F05182">
        <w:t>building industry participant to submit expres</w:t>
      </w:r>
      <w:r w:rsidR="00475B18">
        <w:t>sions of interest, tender for and</w:t>
      </w:r>
      <w:r w:rsidR="00F05182">
        <w:t xml:space="preserve"> be awarded Commonwealth funded building work. </w:t>
      </w:r>
      <w:r w:rsidR="00400555">
        <w:t>The 2016 Code commenced on 2 December 2016.</w:t>
      </w:r>
    </w:p>
    <w:p w:rsidR="00B8279B" w:rsidRDefault="00A813A6" w:rsidP="00C125A5">
      <w:pPr>
        <w:autoSpaceDE w:val="0"/>
        <w:autoSpaceDN w:val="0"/>
        <w:adjustRightInd w:val="0"/>
        <w:spacing w:after="120"/>
      </w:pPr>
      <w:r>
        <w:t>T</w:t>
      </w:r>
      <w:r w:rsidR="007D4214">
        <w:t xml:space="preserve">he 2016 Code </w:t>
      </w:r>
      <w:r>
        <w:t>currently provides that u</w:t>
      </w:r>
      <w:r w:rsidR="007D4214">
        <w:t xml:space="preserve">ntil 29 November 2018, </w:t>
      </w:r>
      <w:r>
        <w:t>the enterprise agreement content rules in section</w:t>
      </w:r>
      <w:r w:rsidR="00475B18">
        <w:t>s</w:t>
      </w:r>
      <w:r>
        <w:t xml:space="preserve"> 11</w:t>
      </w:r>
      <w:r w:rsidR="00475B18">
        <w:t>, 11A and 15</w:t>
      </w:r>
      <w:r>
        <w:t xml:space="preserve"> do not apply in respect of an enterprise agreement made before </w:t>
      </w:r>
      <w:r w:rsidR="00400555">
        <w:t>2</w:t>
      </w:r>
      <w:r w:rsidR="00475B18">
        <w:t> </w:t>
      </w:r>
      <w:r w:rsidR="00400555">
        <w:t>December 2016</w:t>
      </w:r>
      <w:r>
        <w:t xml:space="preserve">. This means that </w:t>
      </w:r>
      <w:r w:rsidR="00752634">
        <w:t xml:space="preserve">building contractors and </w:t>
      </w:r>
      <w:r w:rsidR="007D4214">
        <w:t xml:space="preserve">building industry participants </w:t>
      </w:r>
      <w:r w:rsidR="00B8279B">
        <w:t>that are covered by an enterprise agreement made before 2 December 2016 that is not code</w:t>
      </w:r>
      <w:r w:rsidR="00475B18">
        <w:t xml:space="preserve"> </w:t>
      </w:r>
      <w:r w:rsidR="00B8279B">
        <w:t xml:space="preserve">compliant </w:t>
      </w:r>
      <w:r w:rsidR="00C808E6">
        <w:t xml:space="preserve">are </w:t>
      </w:r>
      <w:r w:rsidR="00B8279B">
        <w:t>eligible to</w:t>
      </w:r>
      <w:r w:rsidR="00C125A5">
        <w:t xml:space="preserve"> submit expressions of interest, tender for and be awarded </w:t>
      </w:r>
      <w:r>
        <w:t xml:space="preserve">Commonwealth funded </w:t>
      </w:r>
      <w:r w:rsidR="00C125A5">
        <w:t xml:space="preserve">building work </w:t>
      </w:r>
      <w:r w:rsidR="00B8279B">
        <w:t>before 29 November 2018.</w:t>
      </w:r>
    </w:p>
    <w:p w:rsidR="00C125A5" w:rsidRDefault="00B8279B" w:rsidP="00C125A5">
      <w:pPr>
        <w:autoSpaceDE w:val="0"/>
        <w:autoSpaceDN w:val="0"/>
        <w:adjustRightInd w:val="0"/>
        <w:spacing w:after="120"/>
      </w:pPr>
      <w:r>
        <w:t>This reflected s</w:t>
      </w:r>
      <w:r w:rsidR="00400555">
        <w:t>ubsection 34(</w:t>
      </w:r>
      <w:proofErr w:type="spellStart"/>
      <w:r w:rsidR="00400555">
        <w:t>2E</w:t>
      </w:r>
      <w:proofErr w:type="spellEnd"/>
      <w:r w:rsidR="00400555">
        <w:t xml:space="preserve">) of the </w:t>
      </w:r>
      <w:proofErr w:type="spellStart"/>
      <w:r w:rsidR="00400555">
        <w:t>BCI</w:t>
      </w:r>
      <w:proofErr w:type="spellEnd"/>
      <w:r w:rsidR="00400555">
        <w:t xml:space="preserve"> Act as it stood prior to the commencement of the </w:t>
      </w:r>
      <w:r w:rsidR="00400555" w:rsidRPr="0027094F">
        <w:rPr>
          <w:i/>
        </w:rPr>
        <w:t xml:space="preserve">Building and Construction Industry (Improving Productivity) Amendment Act 2017 </w:t>
      </w:r>
      <w:r w:rsidR="00400555">
        <w:t>(the </w:t>
      </w:r>
      <w:r w:rsidR="00400555" w:rsidRPr="0027094F">
        <w:t>Amendment Act)</w:t>
      </w:r>
      <w:r w:rsidR="00400555">
        <w:t>. It</w:t>
      </w:r>
      <w:r>
        <w:t xml:space="preserve"> provided that if a document issued un</w:t>
      </w:r>
      <w:r w:rsidR="00400555">
        <w:t xml:space="preserve">der subsection 34(1) of the </w:t>
      </w:r>
      <w:proofErr w:type="spellStart"/>
      <w:r w:rsidR="00400555">
        <w:t>BCI</w:t>
      </w:r>
      <w:proofErr w:type="spellEnd"/>
      <w:r w:rsidR="00400555">
        <w:t> </w:t>
      </w:r>
      <w:r>
        <w:t>Act includes requirements in relation to the content of building enterprise agreements, a building industry part</w:t>
      </w:r>
      <w:r w:rsidR="00CA7651">
        <w:t>icipant may, before 29 November </w:t>
      </w:r>
      <w:r>
        <w:t>2018, submit expressions of interest, tender for and be awarded building work funded (whether directly or indirectly) by the Commonwealth or a Commonwealth authority even if a building enterprise agreement, made before the document is issued, that covers the building industry participant does not comply with any one or more of the requirements.</w:t>
      </w:r>
    </w:p>
    <w:p w:rsidR="00B8279B" w:rsidRDefault="007D4214" w:rsidP="007D4214">
      <w:pPr>
        <w:autoSpaceDE w:val="0"/>
        <w:autoSpaceDN w:val="0"/>
        <w:adjustRightInd w:val="0"/>
        <w:spacing w:after="120"/>
      </w:pPr>
      <w:r>
        <w:t xml:space="preserve">The </w:t>
      </w:r>
      <w:r w:rsidRPr="0027094F">
        <w:t>Amendment Act</w:t>
      </w:r>
      <w:r>
        <w:t xml:space="preserve"> amended s</w:t>
      </w:r>
      <w:r w:rsidR="00C125A5">
        <w:t>ubs</w:t>
      </w:r>
      <w:r>
        <w:t>ection 34(</w:t>
      </w:r>
      <w:proofErr w:type="spellStart"/>
      <w:r>
        <w:t>2E</w:t>
      </w:r>
      <w:proofErr w:type="spellEnd"/>
      <w:r>
        <w:t xml:space="preserve">) of the </w:t>
      </w:r>
      <w:proofErr w:type="spellStart"/>
      <w:r w:rsidR="00B8279B">
        <w:t>BCI</w:t>
      </w:r>
      <w:proofErr w:type="spellEnd"/>
      <w:r w:rsidR="00B8279B">
        <w:t> </w:t>
      </w:r>
      <w:r>
        <w:t>Act</w:t>
      </w:r>
      <w:r w:rsidR="004863CE">
        <w:t xml:space="preserve"> to</w:t>
      </w:r>
      <w:r w:rsidR="00B8279B">
        <w:t>:</w:t>
      </w:r>
    </w:p>
    <w:p w:rsidR="00B8279B" w:rsidRDefault="00B8279B" w:rsidP="00A13C82">
      <w:pPr>
        <w:pStyle w:val="ListParagraph"/>
        <w:numPr>
          <w:ilvl w:val="0"/>
          <w:numId w:val="17"/>
        </w:numPr>
        <w:spacing w:after="120" w:line="276" w:lineRule="auto"/>
        <w:contextualSpacing w:val="0"/>
      </w:pPr>
      <w:r>
        <w:t>bring forward</w:t>
      </w:r>
      <w:r w:rsidR="004863CE">
        <w:t xml:space="preserve"> </w:t>
      </w:r>
      <w:r>
        <w:t xml:space="preserve">the expiry of the </w:t>
      </w:r>
      <w:r w:rsidR="00752634">
        <w:t xml:space="preserve">transitional </w:t>
      </w:r>
      <w:r>
        <w:t>exemption to the end of 31 August 2017; and</w:t>
      </w:r>
    </w:p>
    <w:p w:rsidR="00B8279B" w:rsidRDefault="00B8279B" w:rsidP="00A13C82">
      <w:pPr>
        <w:pStyle w:val="ListParagraph"/>
        <w:numPr>
          <w:ilvl w:val="0"/>
          <w:numId w:val="17"/>
        </w:numPr>
        <w:spacing w:after="120" w:line="276" w:lineRule="auto"/>
        <w:contextualSpacing w:val="0"/>
      </w:pPr>
      <w:proofErr w:type="gramStart"/>
      <w:r>
        <w:t>limit</w:t>
      </w:r>
      <w:proofErr w:type="gramEnd"/>
      <w:r>
        <w:t xml:space="preserve"> the scope of the </w:t>
      </w:r>
      <w:r w:rsidR="00752634">
        <w:t xml:space="preserve">transitional </w:t>
      </w:r>
      <w:r>
        <w:t>exemption to only enabling the submitting of expressions of interest or tenders.</w:t>
      </w:r>
    </w:p>
    <w:p w:rsidR="00CD1083" w:rsidRDefault="00CD1083" w:rsidP="00CD1083">
      <w:pPr>
        <w:autoSpaceDE w:val="0"/>
        <w:autoSpaceDN w:val="0"/>
        <w:adjustRightInd w:val="0"/>
        <w:spacing w:after="120"/>
      </w:pPr>
      <w:r>
        <w:t>The Amendment Act also</w:t>
      </w:r>
      <w:r w:rsidR="001019D8">
        <w:t xml:space="preserve"> provides</w:t>
      </w:r>
      <w:r>
        <w:t xml:space="preserve"> that the amendments made to subsection 34(</w:t>
      </w:r>
      <w:proofErr w:type="spellStart"/>
      <w:r>
        <w:t>2E</w:t>
      </w:r>
      <w:proofErr w:type="spellEnd"/>
      <w:r>
        <w:t xml:space="preserve">) of the </w:t>
      </w:r>
      <w:proofErr w:type="spellStart"/>
      <w:r>
        <w:t>BCI</w:t>
      </w:r>
      <w:proofErr w:type="spellEnd"/>
      <w:r>
        <w:t> Act only apply in relation to expressions of interest or tenders submitted after th</w:t>
      </w:r>
      <w:r w:rsidR="00A36CA8">
        <w:t>os</w:t>
      </w:r>
      <w:r>
        <w:t>e</w:t>
      </w:r>
      <w:r w:rsidR="00A36CA8">
        <w:t xml:space="preserve"> amendments</w:t>
      </w:r>
      <w:r>
        <w:t xml:space="preserve"> commence.</w:t>
      </w:r>
    </w:p>
    <w:p w:rsidR="005101C9" w:rsidRDefault="007D4214" w:rsidP="005101C9">
      <w:pPr>
        <w:autoSpaceDE w:val="0"/>
        <w:autoSpaceDN w:val="0"/>
        <w:adjustRightInd w:val="0"/>
        <w:spacing w:after="120"/>
      </w:pPr>
      <w:r>
        <w:t xml:space="preserve">The purpose of the </w:t>
      </w:r>
      <w:r>
        <w:rPr>
          <w:i/>
        </w:rPr>
        <w:t xml:space="preserve">Code for the Tendering and Performance of Building Work Amendment Instrument 2017 </w:t>
      </w:r>
      <w:r>
        <w:t>(the Amendment Instrument) is to align the 2016 Co</w:t>
      </w:r>
      <w:r w:rsidR="004863CE">
        <w:t>de with new subsection </w:t>
      </w:r>
      <w:r>
        <w:t>34(</w:t>
      </w:r>
      <w:proofErr w:type="spellStart"/>
      <w:r>
        <w:t>2E</w:t>
      </w:r>
      <w:proofErr w:type="spellEnd"/>
      <w:r>
        <w:t>)</w:t>
      </w:r>
      <w:r w:rsidR="00C808E6">
        <w:t xml:space="preserve"> of the </w:t>
      </w:r>
      <w:proofErr w:type="spellStart"/>
      <w:r w:rsidR="00C808E6">
        <w:t>BCI</w:t>
      </w:r>
      <w:proofErr w:type="spellEnd"/>
      <w:r w:rsidR="00C808E6">
        <w:t> Act</w:t>
      </w:r>
      <w:r w:rsidR="00752634">
        <w:t xml:space="preserve"> and to provide additional transitional exemptions to assist building contractors and building industry participants with the transition to compliance with the 2016 Code</w:t>
      </w:r>
      <w:r w:rsidR="005101C9">
        <w:t xml:space="preserve">. </w:t>
      </w:r>
    </w:p>
    <w:p w:rsidR="00497F2B" w:rsidRDefault="004A14E4" w:rsidP="00497F2B">
      <w:pPr>
        <w:autoSpaceDE w:val="0"/>
        <w:autoSpaceDN w:val="0"/>
        <w:adjustRightInd w:val="0"/>
        <w:spacing w:after="120"/>
      </w:pPr>
      <w:r>
        <w:t>Details of the Amendment</w:t>
      </w:r>
      <w:r w:rsidR="007E7B54">
        <w:t xml:space="preserve"> Instrument </w:t>
      </w:r>
      <w:r w:rsidR="00C808E6">
        <w:t>are</w:t>
      </w:r>
      <w:r w:rsidR="00C808E6" w:rsidRPr="00BE06CE">
        <w:t xml:space="preserve"> </w:t>
      </w:r>
      <w:r w:rsidRPr="00BE06CE">
        <w:t xml:space="preserve">set out at </w:t>
      </w:r>
      <w:r w:rsidRPr="007631A4">
        <w:rPr>
          <w:u w:val="single"/>
        </w:rPr>
        <w:t>Attachment A</w:t>
      </w:r>
      <w:r w:rsidRPr="00BE06CE">
        <w:t>.</w:t>
      </w:r>
    </w:p>
    <w:p w:rsidR="00400555" w:rsidRDefault="00400555" w:rsidP="00C14622">
      <w:pPr>
        <w:shd w:val="clear" w:color="auto" w:fill="FFFFFF"/>
        <w:spacing w:before="120"/>
      </w:pPr>
      <w:r>
        <w:t>An advance release of the code of practice that was proposed to be made under subsection</w:t>
      </w:r>
      <w:r w:rsidR="00752634">
        <w:t> </w:t>
      </w:r>
      <w:r>
        <w:t xml:space="preserve">34(1) of the </w:t>
      </w:r>
      <w:proofErr w:type="spellStart"/>
      <w:r>
        <w:t>BCI</w:t>
      </w:r>
      <w:proofErr w:type="spellEnd"/>
      <w:r>
        <w:t xml:space="preserve"> Act was made available on the Department of Employment’s website in April 2014 and a further advance release was made available in November 2014. The Department has provided extensive advice to key industry stakeholders, including both employer and employee associations, and construction industry employers in relation to the advance release since it was first published in April 2014.</w:t>
      </w:r>
    </w:p>
    <w:p w:rsidR="00C14622" w:rsidRDefault="00497F2B" w:rsidP="00C14622">
      <w:pPr>
        <w:shd w:val="clear" w:color="auto" w:fill="FFFFFF"/>
        <w:spacing w:before="120"/>
        <w:rPr>
          <w:color w:val="000000"/>
        </w:rPr>
      </w:pPr>
      <w:r w:rsidRPr="00497F2B">
        <w:rPr>
          <w:color w:val="000000"/>
        </w:rPr>
        <w:t xml:space="preserve">Consultation on the </w:t>
      </w:r>
      <w:r>
        <w:rPr>
          <w:color w:val="000000"/>
        </w:rPr>
        <w:t xml:space="preserve">Amendment Instrument </w:t>
      </w:r>
      <w:r w:rsidRPr="00497F2B">
        <w:rPr>
          <w:color w:val="000000"/>
        </w:rPr>
        <w:t>was not</w:t>
      </w:r>
      <w:r>
        <w:rPr>
          <w:color w:val="000000"/>
        </w:rPr>
        <w:t xml:space="preserve"> undertaken </w:t>
      </w:r>
      <w:r w:rsidRPr="00497F2B">
        <w:rPr>
          <w:color w:val="000000"/>
        </w:rPr>
        <w:t>as</w:t>
      </w:r>
      <w:r>
        <w:rPr>
          <w:color w:val="000000"/>
        </w:rPr>
        <w:t xml:space="preserve"> i</w:t>
      </w:r>
      <w:r w:rsidRPr="00497F2B">
        <w:rPr>
          <w:color w:val="000000"/>
        </w:rPr>
        <w:t>t does not substantially alter existing arrangements.</w:t>
      </w:r>
    </w:p>
    <w:p w:rsidR="00C14622" w:rsidRDefault="004A14E4" w:rsidP="00C14622">
      <w:pPr>
        <w:shd w:val="clear" w:color="auto" w:fill="FFFFFF"/>
        <w:spacing w:before="120"/>
        <w:rPr>
          <w:color w:val="000000"/>
        </w:rPr>
      </w:pPr>
      <w:r w:rsidRPr="00BE06CE">
        <w:rPr>
          <w:color w:val="000000"/>
        </w:rPr>
        <w:t xml:space="preserve">The Office of Best Practice Regulation has advised that no Regulation Impact Statement is required as the </w:t>
      </w:r>
      <w:r w:rsidR="00A36CA8">
        <w:rPr>
          <w:color w:val="000000"/>
        </w:rPr>
        <w:t>changes</w:t>
      </w:r>
      <w:r>
        <w:rPr>
          <w:color w:val="000000"/>
        </w:rPr>
        <w:t xml:space="preserve"> </w:t>
      </w:r>
      <w:r w:rsidRPr="00475B18">
        <w:rPr>
          <w:color w:val="000000"/>
        </w:rPr>
        <w:t xml:space="preserve">are minor in nature </w:t>
      </w:r>
      <w:r w:rsidR="00C808E6" w:rsidRPr="00475B18">
        <w:rPr>
          <w:color w:val="000000"/>
        </w:rPr>
        <w:t>(</w:t>
      </w:r>
      <w:proofErr w:type="spellStart"/>
      <w:r w:rsidRPr="00BE06CE">
        <w:rPr>
          <w:color w:val="000000"/>
        </w:rPr>
        <w:t>OBPR</w:t>
      </w:r>
      <w:proofErr w:type="spellEnd"/>
      <w:r w:rsidRPr="00BE06CE">
        <w:rPr>
          <w:color w:val="000000"/>
        </w:rPr>
        <w:t xml:space="preserve"> </w:t>
      </w:r>
      <w:r w:rsidR="00C808E6">
        <w:rPr>
          <w:color w:val="000000"/>
        </w:rPr>
        <w:t>reference number</w:t>
      </w:r>
      <w:r w:rsidRPr="00BE06CE">
        <w:rPr>
          <w:color w:val="000000"/>
        </w:rPr>
        <w:t xml:space="preserve"> </w:t>
      </w:r>
      <w:r w:rsidR="00A36CA8">
        <w:rPr>
          <w:color w:val="000000"/>
        </w:rPr>
        <w:t>21897</w:t>
      </w:r>
      <w:r w:rsidR="00C808E6">
        <w:rPr>
          <w:color w:val="000000"/>
        </w:rPr>
        <w:t>)</w:t>
      </w:r>
      <w:r w:rsidRPr="00BE06CE">
        <w:rPr>
          <w:color w:val="000000"/>
        </w:rPr>
        <w:t>.</w:t>
      </w:r>
    </w:p>
    <w:p w:rsidR="00C14622" w:rsidRDefault="004A14E4" w:rsidP="00C14622">
      <w:pPr>
        <w:shd w:val="clear" w:color="auto" w:fill="FFFFFF"/>
        <w:spacing w:before="120"/>
      </w:pPr>
      <w:r w:rsidRPr="00BE06CE">
        <w:t>A Statement of Compatibility with Human Rights has been completed for the</w:t>
      </w:r>
      <w:r w:rsidR="007E7B54">
        <w:t xml:space="preserve"> Amendment Instrument </w:t>
      </w:r>
      <w:r w:rsidRPr="00BE06CE">
        <w:t xml:space="preserve">in accordance with the </w:t>
      </w:r>
      <w:r w:rsidRPr="00BE06CE">
        <w:rPr>
          <w:i/>
          <w:iCs/>
        </w:rPr>
        <w:t>Human Rights (Parliamentary Scrutiny) Act 2011</w:t>
      </w:r>
      <w:r w:rsidRPr="00BE06CE">
        <w:t xml:space="preserve">. The Statement’s assessment is that the </w:t>
      </w:r>
      <w:r w:rsidR="007E7B54">
        <w:t>Amendment Instrument is</w:t>
      </w:r>
      <w:r w:rsidRPr="00BE06CE">
        <w:t xml:space="preserve"> compatible with human rights. A copy of the Statement is </w:t>
      </w:r>
      <w:r>
        <w:t xml:space="preserve">at </w:t>
      </w:r>
      <w:r w:rsidRPr="00BE06CE">
        <w:rPr>
          <w:u w:val="single"/>
        </w:rPr>
        <w:t>Attachment B</w:t>
      </w:r>
      <w:r w:rsidRPr="00BE06CE">
        <w:t>.</w:t>
      </w:r>
    </w:p>
    <w:p w:rsidR="00C14622" w:rsidRDefault="004A14E4" w:rsidP="00C14622">
      <w:pPr>
        <w:shd w:val="clear" w:color="auto" w:fill="FFFFFF"/>
        <w:spacing w:before="120"/>
      </w:pPr>
      <w:r w:rsidRPr="00BE06CE">
        <w:t xml:space="preserve">The </w:t>
      </w:r>
      <w:r>
        <w:t>Amendment</w:t>
      </w:r>
      <w:r w:rsidR="007E7B54">
        <w:t xml:space="preserve"> Instrument is</w:t>
      </w:r>
      <w:r>
        <w:t xml:space="preserve"> </w:t>
      </w:r>
      <w:r w:rsidRPr="00BE06CE">
        <w:t xml:space="preserve">a legislative instrument for the purposes of the </w:t>
      </w:r>
      <w:r w:rsidRPr="00BE06CE">
        <w:rPr>
          <w:i/>
        </w:rPr>
        <w:t>Legislation</w:t>
      </w:r>
      <w:r w:rsidR="00C808E6">
        <w:rPr>
          <w:i/>
        </w:rPr>
        <w:t> </w:t>
      </w:r>
      <w:r w:rsidRPr="00BE06CE">
        <w:rPr>
          <w:i/>
        </w:rPr>
        <w:t>Act</w:t>
      </w:r>
      <w:r w:rsidR="00C808E6">
        <w:rPr>
          <w:i/>
        </w:rPr>
        <w:t> </w:t>
      </w:r>
      <w:r w:rsidRPr="00BE06CE">
        <w:rPr>
          <w:i/>
        </w:rPr>
        <w:t>2003</w:t>
      </w:r>
      <w:r w:rsidRPr="00BE06CE">
        <w:t xml:space="preserve">. </w:t>
      </w:r>
    </w:p>
    <w:p w:rsidR="004A14E4" w:rsidRDefault="004A14E4" w:rsidP="00C14622">
      <w:pPr>
        <w:shd w:val="clear" w:color="auto" w:fill="FFFFFF"/>
        <w:spacing w:before="120"/>
        <w:sectPr w:rsidR="004A14E4">
          <w:footerReference w:type="default" r:id="rId8"/>
          <w:pgSz w:w="11906" w:h="16838"/>
          <w:pgMar w:top="1440" w:right="1440" w:bottom="1440" w:left="1440" w:header="708" w:footer="708" w:gutter="0"/>
          <w:cols w:space="708"/>
          <w:docGrid w:linePitch="360"/>
        </w:sectPr>
      </w:pPr>
      <w:r w:rsidRPr="00BE06CE">
        <w:t xml:space="preserve">The </w:t>
      </w:r>
      <w:r>
        <w:t xml:space="preserve">Amendment </w:t>
      </w:r>
      <w:r w:rsidR="007E7B54">
        <w:t xml:space="preserve">Instrument </w:t>
      </w:r>
      <w:r w:rsidRPr="00BE06CE">
        <w:t>commence</w:t>
      </w:r>
      <w:r w:rsidR="00C808E6">
        <w:t>s</w:t>
      </w:r>
      <w:r w:rsidRPr="00BE06CE">
        <w:t xml:space="preserve"> on the</w:t>
      </w:r>
      <w:r>
        <w:t xml:space="preserve"> later of the</w:t>
      </w:r>
      <w:r w:rsidR="007E7B54">
        <w:t xml:space="preserve"> start of the</w:t>
      </w:r>
      <w:r w:rsidRPr="00BE06CE">
        <w:t xml:space="preserve"> day after </w:t>
      </w:r>
      <w:r>
        <w:t>the</w:t>
      </w:r>
      <w:r w:rsidR="007E7B54">
        <w:t xml:space="preserve"> instrument is </w:t>
      </w:r>
      <w:r w:rsidRPr="00BE06CE">
        <w:t>registered on the Federal Register of Legislation</w:t>
      </w:r>
      <w:r>
        <w:t xml:space="preserve"> and the commencement of the </w:t>
      </w:r>
      <w:r w:rsidR="007E7B54">
        <w:t>Amendment Act</w:t>
      </w:r>
      <w:r w:rsidRPr="00BE06CE">
        <w:t>.</w:t>
      </w:r>
    </w:p>
    <w:p w:rsidR="001A006B" w:rsidRPr="008A1679" w:rsidRDefault="001A006B" w:rsidP="001A006B">
      <w:pPr>
        <w:tabs>
          <w:tab w:val="right" w:pos="4536"/>
        </w:tabs>
        <w:spacing w:after="120"/>
        <w:ind w:left="5760" w:right="91" w:hanging="5760"/>
        <w:jc w:val="right"/>
        <w:rPr>
          <w:b/>
          <w:u w:val="single"/>
        </w:rPr>
      </w:pPr>
      <w:r w:rsidRPr="008A1679">
        <w:rPr>
          <w:b/>
          <w:u w:val="single"/>
        </w:rPr>
        <w:t>ATTACHMENT A</w:t>
      </w:r>
    </w:p>
    <w:p w:rsidR="001A006B" w:rsidRPr="00C45FBB" w:rsidRDefault="001A006B" w:rsidP="001A006B">
      <w:pPr>
        <w:tabs>
          <w:tab w:val="right" w:pos="4536"/>
        </w:tabs>
        <w:spacing w:after="120"/>
        <w:ind w:right="91"/>
        <w:rPr>
          <w:u w:val="single"/>
        </w:rPr>
      </w:pPr>
      <w:r w:rsidRPr="00C45FBB">
        <w:rPr>
          <w:u w:val="single"/>
        </w:rPr>
        <w:t>Section 1 – Name</w:t>
      </w:r>
    </w:p>
    <w:p w:rsidR="001A006B" w:rsidRPr="00C45FBB" w:rsidRDefault="001A006B" w:rsidP="00C45FBB">
      <w:pPr>
        <w:pStyle w:val="ListParagraph"/>
        <w:keepLines/>
        <w:numPr>
          <w:ilvl w:val="0"/>
          <w:numId w:val="6"/>
        </w:numPr>
        <w:spacing w:after="120"/>
        <w:ind w:left="567" w:hanging="567"/>
        <w:contextualSpacing w:val="0"/>
        <w:rPr>
          <w:color w:val="000000"/>
        </w:rPr>
      </w:pPr>
      <w:r w:rsidRPr="00C45FBB">
        <w:t>This</w:t>
      </w:r>
      <w:r w:rsidRPr="00C45FBB">
        <w:rPr>
          <w:color w:val="000000"/>
        </w:rPr>
        <w:t xml:space="preserve"> section provides that the name of th</w:t>
      </w:r>
      <w:r w:rsidR="00884F91" w:rsidRPr="00C45FBB">
        <w:rPr>
          <w:color w:val="000000"/>
        </w:rPr>
        <w:t>is</w:t>
      </w:r>
      <w:r w:rsidRPr="00C45FBB">
        <w:rPr>
          <w:color w:val="000000"/>
        </w:rPr>
        <w:t xml:space="preserve"> </w:t>
      </w:r>
      <w:r w:rsidR="00884F91" w:rsidRPr="00C45FBB">
        <w:rPr>
          <w:color w:val="000000"/>
        </w:rPr>
        <w:t>i</w:t>
      </w:r>
      <w:r w:rsidRPr="00C45FBB">
        <w:rPr>
          <w:color w:val="000000"/>
        </w:rPr>
        <w:t xml:space="preserve">nstrument is the </w:t>
      </w:r>
      <w:r w:rsidR="00FB794C" w:rsidRPr="00C45FBB">
        <w:rPr>
          <w:i/>
          <w:color w:val="000000"/>
        </w:rPr>
        <w:t>C</w:t>
      </w:r>
      <w:r w:rsidR="002F225C" w:rsidRPr="00C45FBB">
        <w:rPr>
          <w:i/>
          <w:color w:val="000000"/>
        </w:rPr>
        <w:t xml:space="preserve">ode for the Performance and Tendering of Building Work Amendment Instrument 2017 </w:t>
      </w:r>
      <w:r w:rsidRPr="00C45FBB">
        <w:rPr>
          <w:color w:val="000000"/>
        </w:rPr>
        <w:t>(</w:t>
      </w:r>
      <w:r w:rsidR="00884F91" w:rsidRPr="00C45FBB">
        <w:rPr>
          <w:color w:val="000000"/>
        </w:rPr>
        <w:t xml:space="preserve">the </w:t>
      </w:r>
      <w:r w:rsidR="002F225C" w:rsidRPr="00C45FBB">
        <w:rPr>
          <w:color w:val="000000"/>
        </w:rPr>
        <w:t>Amendment Instrument</w:t>
      </w:r>
      <w:r w:rsidRPr="00C45FBB">
        <w:rPr>
          <w:color w:val="000000"/>
        </w:rPr>
        <w:t>).</w:t>
      </w:r>
    </w:p>
    <w:p w:rsidR="001A006B" w:rsidRPr="00C45FBB" w:rsidRDefault="001A006B" w:rsidP="001A006B">
      <w:pPr>
        <w:tabs>
          <w:tab w:val="right" w:pos="4536"/>
        </w:tabs>
        <w:spacing w:after="120"/>
        <w:ind w:right="91"/>
        <w:rPr>
          <w:u w:val="single"/>
        </w:rPr>
      </w:pPr>
      <w:r w:rsidRPr="00C45FBB">
        <w:rPr>
          <w:u w:val="single"/>
        </w:rPr>
        <w:t>Section 2 – Commencement</w:t>
      </w:r>
    </w:p>
    <w:p w:rsidR="001A006B" w:rsidRPr="00C45FBB" w:rsidRDefault="001A006B" w:rsidP="00C45FBB">
      <w:pPr>
        <w:pStyle w:val="ListParagraph"/>
        <w:keepLines/>
        <w:numPr>
          <w:ilvl w:val="0"/>
          <w:numId w:val="6"/>
        </w:numPr>
        <w:spacing w:after="120"/>
        <w:ind w:left="567" w:hanging="567"/>
        <w:contextualSpacing w:val="0"/>
        <w:rPr>
          <w:color w:val="000000"/>
        </w:rPr>
      </w:pPr>
      <w:r w:rsidRPr="00C45FBB">
        <w:t>This</w:t>
      </w:r>
      <w:r w:rsidRPr="00C45FBB">
        <w:rPr>
          <w:color w:val="000000"/>
        </w:rPr>
        <w:t xml:space="preserve"> section provides </w:t>
      </w:r>
      <w:r w:rsidR="002F225C" w:rsidRPr="00C45FBB">
        <w:rPr>
          <w:color w:val="000000"/>
        </w:rPr>
        <w:t>for the commencement of the Amendment Instrument</w:t>
      </w:r>
      <w:r w:rsidRPr="00C45FBB">
        <w:rPr>
          <w:color w:val="000000"/>
        </w:rPr>
        <w:t>.</w:t>
      </w:r>
    </w:p>
    <w:p w:rsidR="001A006B" w:rsidRPr="00C45FBB" w:rsidRDefault="001A006B" w:rsidP="001A006B">
      <w:pPr>
        <w:tabs>
          <w:tab w:val="right" w:pos="4536"/>
        </w:tabs>
        <w:spacing w:after="120"/>
        <w:ind w:right="91"/>
        <w:rPr>
          <w:u w:val="single"/>
        </w:rPr>
      </w:pPr>
      <w:r w:rsidRPr="00C45FBB">
        <w:rPr>
          <w:u w:val="single"/>
        </w:rPr>
        <w:t>Section 3 – Authority</w:t>
      </w:r>
    </w:p>
    <w:p w:rsidR="001A006B" w:rsidRPr="00C45FBB" w:rsidRDefault="001A006B" w:rsidP="00C45FBB">
      <w:pPr>
        <w:pStyle w:val="ListParagraph"/>
        <w:keepLines/>
        <w:numPr>
          <w:ilvl w:val="0"/>
          <w:numId w:val="6"/>
        </w:numPr>
        <w:spacing w:after="120"/>
        <w:ind w:left="567" w:hanging="567"/>
        <w:contextualSpacing w:val="0"/>
        <w:rPr>
          <w:color w:val="000000"/>
        </w:rPr>
      </w:pPr>
      <w:r w:rsidRPr="00C45FBB">
        <w:t>This</w:t>
      </w:r>
      <w:r w:rsidRPr="00C45FBB">
        <w:rPr>
          <w:color w:val="000000"/>
        </w:rPr>
        <w:t xml:space="preserve"> section provides that the </w:t>
      </w:r>
      <w:r w:rsidR="002F225C" w:rsidRPr="00C45FBB">
        <w:rPr>
          <w:color w:val="000000"/>
        </w:rPr>
        <w:t xml:space="preserve">Amendment Instrument is </w:t>
      </w:r>
      <w:r w:rsidRPr="00C45FBB">
        <w:rPr>
          <w:color w:val="000000"/>
        </w:rPr>
        <w:t xml:space="preserve">made under </w:t>
      </w:r>
      <w:r w:rsidR="001E7C3C" w:rsidRPr="00C45FBB">
        <w:rPr>
          <w:color w:val="000000"/>
        </w:rPr>
        <w:t xml:space="preserve">subsection 34(1) </w:t>
      </w:r>
      <w:r w:rsidR="00884F91" w:rsidRPr="00C45FBB">
        <w:rPr>
          <w:color w:val="000000"/>
        </w:rPr>
        <w:t xml:space="preserve">of </w:t>
      </w:r>
      <w:r w:rsidRPr="00C45FBB">
        <w:rPr>
          <w:color w:val="000000"/>
        </w:rPr>
        <w:t xml:space="preserve">the </w:t>
      </w:r>
      <w:r w:rsidRPr="00C45FBB">
        <w:rPr>
          <w:i/>
          <w:color w:val="000000"/>
        </w:rPr>
        <w:t xml:space="preserve">Building and Construction Industry (Improving Productivity) Act 2016 </w:t>
      </w:r>
      <w:r w:rsidRPr="00C45FBB">
        <w:rPr>
          <w:color w:val="000000"/>
        </w:rPr>
        <w:t xml:space="preserve">(the </w:t>
      </w:r>
      <w:proofErr w:type="spellStart"/>
      <w:r w:rsidR="00884F91" w:rsidRPr="00C45FBB">
        <w:rPr>
          <w:color w:val="000000"/>
        </w:rPr>
        <w:t>BCI</w:t>
      </w:r>
      <w:proofErr w:type="spellEnd"/>
      <w:r w:rsidR="00884F91" w:rsidRPr="00C45FBB">
        <w:rPr>
          <w:color w:val="000000"/>
        </w:rPr>
        <w:t> </w:t>
      </w:r>
      <w:r w:rsidRPr="00C45FBB">
        <w:rPr>
          <w:color w:val="000000"/>
        </w:rPr>
        <w:t>Act).</w:t>
      </w:r>
    </w:p>
    <w:p w:rsidR="001A006B" w:rsidRPr="00C45FBB" w:rsidRDefault="001A006B" w:rsidP="001A006B">
      <w:pPr>
        <w:shd w:val="clear" w:color="auto" w:fill="FFFFFF"/>
        <w:spacing w:after="120"/>
        <w:rPr>
          <w:color w:val="000000"/>
        </w:rPr>
      </w:pPr>
      <w:r w:rsidRPr="00C45FBB">
        <w:rPr>
          <w:color w:val="000000"/>
          <w:u w:val="single"/>
        </w:rPr>
        <w:t xml:space="preserve">Section 4 – </w:t>
      </w:r>
      <w:r w:rsidR="002F225C" w:rsidRPr="00C45FBB">
        <w:rPr>
          <w:color w:val="000000"/>
          <w:u w:val="single"/>
        </w:rPr>
        <w:t>Schedules</w:t>
      </w:r>
    </w:p>
    <w:p w:rsidR="00FB794C" w:rsidRPr="00C45FBB" w:rsidRDefault="00884F91" w:rsidP="00C45FBB">
      <w:pPr>
        <w:pStyle w:val="ListParagraph"/>
        <w:keepLines/>
        <w:numPr>
          <w:ilvl w:val="0"/>
          <w:numId w:val="6"/>
        </w:numPr>
        <w:spacing w:after="120"/>
        <w:ind w:left="567" w:hanging="567"/>
        <w:contextualSpacing w:val="0"/>
      </w:pPr>
      <w:r w:rsidRPr="00C45FBB">
        <w:t>This</w:t>
      </w:r>
      <w:r w:rsidRPr="00C45FBB">
        <w:rPr>
          <w:color w:val="000000"/>
        </w:rPr>
        <w:t xml:space="preserve"> section</w:t>
      </w:r>
      <w:r w:rsidR="00FB794C" w:rsidRPr="00C45FBB">
        <w:rPr>
          <w:color w:val="000000"/>
        </w:rPr>
        <w:t xml:space="preserve"> provides that each instrument that is specified in a Schedule to the Amendment Instrument is amended or repealed as set out in the applicable items in the Schedule concerned, and any other item in a Schedule to this instrument has effect according to its terms.</w:t>
      </w:r>
    </w:p>
    <w:p w:rsidR="00FB794C" w:rsidRPr="00C45FBB" w:rsidRDefault="00FB794C" w:rsidP="00FB794C">
      <w:pPr>
        <w:spacing w:after="120" w:line="276" w:lineRule="auto"/>
        <w:rPr>
          <w:b/>
        </w:rPr>
      </w:pPr>
      <w:r w:rsidRPr="00C45FBB">
        <w:rPr>
          <w:b/>
        </w:rPr>
        <w:t xml:space="preserve">Schedule 1 </w:t>
      </w:r>
      <w:r w:rsidR="007D4214" w:rsidRPr="00C45FBB">
        <w:rPr>
          <w:b/>
        </w:rPr>
        <w:t>–</w:t>
      </w:r>
      <w:r w:rsidRPr="00C45FBB">
        <w:rPr>
          <w:b/>
        </w:rPr>
        <w:t xml:space="preserve"> Amendments</w:t>
      </w:r>
    </w:p>
    <w:p w:rsidR="007D4214" w:rsidRPr="00C45FBB" w:rsidRDefault="007D4214" w:rsidP="00FB794C">
      <w:pPr>
        <w:spacing w:after="120" w:line="276" w:lineRule="auto"/>
        <w:rPr>
          <w:b/>
          <w:i/>
        </w:rPr>
      </w:pPr>
      <w:r w:rsidRPr="00C45FBB">
        <w:rPr>
          <w:b/>
          <w:i/>
        </w:rPr>
        <w:t>Code for the Tendering and Performance of Building Work 2016</w:t>
      </w:r>
    </w:p>
    <w:p w:rsidR="00354FE1" w:rsidRPr="00C45FBB" w:rsidRDefault="00354FE1" w:rsidP="00354FE1">
      <w:pPr>
        <w:pStyle w:val="paragraph"/>
        <w:keepNext/>
        <w:spacing w:after="120"/>
        <w:rPr>
          <w:sz w:val="24"/>
          <w:szCs w:val="24"/>
          <w:u w:val="single"/>
        </w:rPr>
      </w:pPr>
      <w:r w:rsidRPr="00C45FBB">
        <w:rPr>
          <w:sz w:val="24"/>
          <w:szCs w:val="24"/>
          <w:u w:val="single"/>
        </w:rPr>
        <w:t>Item 1 – Subsection 11(2)</w:t>
      </w:r>
    </w:p>
    <w:p w:rsidR="00354FE1" w:rsidRPr="00C45FBB" w:rsidRDefault="00354FE1" w:rsidP="00C45FBB">
      <w:pPr>
        <w:pStyle w:val="ListParagraph"/>
        <w:keepLines/>
        <w:numPr>
          <w:ilvl w:val="0"/>
          <w:numId w:val="6"/>
        </w:numPr>
        <w:spacing w:after="120"/>
        <w:ind w:left="567" w:hanging="567"/>
        <w:contextualSpacing w:val="0"/>
        <w:rPr>
          <w:rStyle w:val="apple-converted-space"/>
        </w:rPr>
      </w:pPr>
      <w:r w:rsidRPr="00C45FBB">
        <w:t>Subsection</w:t>
      </w:r>
      <w:r w:rsidRPr="00C45FBB">
        <w:rPr>
          <w:color w:val="000000"/>
          <w:shd w:val="clear" w:color="auto" w:fill="FFFFFF"/>
        </w:rPr>
        <w:t> 11(1) prohibits code covered entities from being covered by an enterprise agreement in respect of building work which includes certain clauses. Subsection 11(3) provides a non-exhaustive list of examples of clauses that are prohibited by subsection 11(1).</w:t>
      </w:r>
      <w:r w:rsidRPr="00C45FBB">
        <w:rPr>
          <w:rStyle w:val="apple-converted-space"/>
          <w:color w:val="000000"/>
          <w:shd w:val="clear" w:color="auto" w:fill="FFFFFF"/>
        </w:rPr>
        <w:t> </w:t>
      </w:r>
    </w:p>
    <w:p w:rsidR="00354FE1" w:rsidRPr="00C45FBB" w:rsidRDefault="00354FE1" w:rsidP="00C45FBB">
      <w:pPr>
        <w:pStyle w:val="ListParagraph"/>
        <w:keepLines/>
        <w:numPr>
          <w:ilvl w:val="0"/>
          <w:numId w:val="6"/>
        </w:numPr>
        <w:spacing w:after="120"/>
        <w:ind w:left="567" w:hanging="567"/>
        <w:contextualSpacing w:val="0"/>
      </w:pPr>
      <w:r w:rsidRPr="00C45FBB">
        <w:t>Sections</w:t>
      </w:r>
      <w:r w:rsidRPr="00C45FBB">
        <w:rPr>
          <w:rStyle w:val="apple-converted-space"/>
          <w:color w:val="000000"/>
          <w:shd w:val="clear" w:color="auto" w:fill="FFFFFF"/>
        </w:rPr>
        <w:t xml:space="preserve"> 8, 24 and 26 of the </w:t>
      </w:r>
      <w:r w:rsidR="008167F9" w:rsidRPr="00C45FBB">
        <w:rPr>
          <w:rStyle w:val="apple-converted-space"/>
          <w:i/>
          <w:color w:val="000000"/>
          <w:shd w:val="clear" w:color="auto" w:fill="FFFFFF"/>
        </w:rPr>
        <w:t>Code for the Tendering and Performance of Building Work 2016</w:t>
      </w:r>
      <w:r w:rsidR="008167F9" w:rsidRPr="00C45FBB">
        <w:rPr>
          <w:rStyle w:val="apple-converted-space"/>
          <w:color w:val="000000"/>
          <w:shd w:val="clear" w:color="auto" w:fill="FFFFFF"/>
        </w:rPr>
        <w:t xml:space="preserve"> (the </w:t>
      </w:r>
      <w:r w:rsidRPr="00C45FBB">
        <w:rPr>
          <w:rStyle w:val="apple-converted-space"/>
          <w:color w:val="000000"/>
          <w:shd w:val="clear" w:color="auto" w:fill="FFFFFF"/>
        </w:rPr>
        <w:t>2016 Code</w:t>
      </w:r>
      <w:r w:rsidR="008167F9" w:rsidRPr="00C45FBB">
        <w:rPr>
          <w:rStyle w:val="apple-converted-space"/>
          <w:color w:val="000000"/>
          <w:shd w:val="clear" w:color="auto" w:fill="FFFFFF"/>
        </w:rPr>
        <w:t>)</w:t>
      </w:r>
      <w:r w:rsidRPr="00C45FBB">
        <w:rPr>
          <w:rStyle w:val="apple-converted-space"/>
          <w:color w:val="000000"/>
          <w:shd w:val="clear" w:color="auto" w:fill="FFFFFF"/>
        </w:rPr>
        <w:t xml:space="preserve"> require code covered entities and funding entities seeking to engage a building contractor or building industry participant to undertake building work to make compliance with section 11 a condition of submitting and expression of interest or tender, and prohibit them from entering into agreements or contracts in respect of building work with a contractor or participant that does not comply with section 11.</w:t>
      </w:r>
    </w:p>
    <w:p w:rsidR="00354FE1" w:rsidRPr="00C45FBB" w:rsidRDefault="00354FE1" w:rsidP="00C45FBB">
      <w:pPr>
        <w:pStyle w:val="ListParagraph"/>
        <w:keepLines/>
        <w:numPr>
          <w:ilvl w:val="0"/>
          <w:numId w:val="6"/>
        </w:numPr>
        <w:spacing w:after="120"/>
        <w:ind w:left="567" w:hanging="567"/>
        <w:contextualSpacing w:val="0"/>
      </w:pPr>
      <w:r w:rsidRPr="00C45FBB">
        <w:rPr>
          <w:rStyle w:val="apple-converted-space"/>
          <w:color w:val="000000"/>
          <w:shd w:val="clear" w:color="auto" w:fill="FFFFFF"/>
        </w:rPr>
        <w:t> </w:t>
      </w:r>
      <w:r w:rsidRPr="00C45FBB">
        <w:t>Subsection</w:t>
      </w:r>
      <w:r w:rsidRPr="00C45FBB">
        <w:rPr>
          <w:color w:val="000000"/>
          <w:shd w:val="clear" w:color="auto" w:fill="FFFFFF"/>
        </w:rPr>
        <w:t xml:space="preserve"> 11(2) currently contains a transitional exemption from the requirements in subsections 11(1) and 11(3). It provides that until 29 November 2018, subsections 11(1) and 11(3) do not apply to building contractors and building industry participants in respect of an enterprise agreement made before </w:t>
      </w:r>
      <w:r w:rsidR="008167F9" w:rsidRPr="00C45FBB">
        <w:rPr>
          <w:color w:val="000000"/>
          <w:shd w:val="clear" w:color="auto" w:fill="FFFFFF"/>
        </w:rPr>
        <w:t>2 December 2016</w:t>
      </w:r>
      <w:r w:rsidRPr="00C45FBB">
        <w:rPr>
          <w:color w:val="000000"/>
          <w:shd w:val="clear" w:color="auto" w:fill="FFFFFF"/>
        </w:rPr>
        <w:t>.</w:t>
      </w:r>
    </w:p>
    <w:p w:rsidR="00354FE1" w:rsidRPr="00C45FBB" w:rsidRDefault="00354FE1" w:rsidP="00C45FBB">
      <w:pPr>
        <w:pStyle w:val="ListParagraph"/>
        <w:keepLines/>
        <w:numPr>
          <w:ilvl w:val="0"/>
          <w:numId w:val="6"/>
        </w:numPr>
        <w:spacing w:after="120"/>
        <w:ind w:left="567" w:hanging="567"/>
        <w:contextualSpacing w:val="0"/>
      </w:pPr>
      <w:r w:rsidRPr="00C45FBB">
        <w:rPr>
          <w:color w:val="000000"/>
          <w:shd w:val="clear" w:color="auto" w:fill="FFFFFF"/>
        </w:rPr>
        <w:t xml:space="preserve">Item 1 repeals and substitutes 11(2). New subsection 11(2) provides </w:t>
      </w:r>
      <w:r w:rsidRPr="00C45FBB">
        <w:t>that subsections 11(1) and 11(3) are subject to Schedule 5.</w:t>
      </w:r>
    </w:p>
    <w:p w:rsidR="00354FE1" w:rsidRPr="00C45FBB" w:rsidRDefault="00354FE1" w:rsidP="00354FE1">
      <w:pPr>
        <w:pStyle w:val="paragraph"/>
        <w:keepNext/>
        <w:spacing w:after="120"/>
        <w:rPr>
          <w:sz w:val="24"/>
          <w:szCs w:val="24"/>
          <w:u w:val="single"/>
        </w:rPr>
      </w:pPr>
      <w:r w:rsidRPr="00C45FBB">
        <w:rPr>
          <w:sz w:val="24"/>
          <w:szCs w:val="24"/>
          <w:u w:val="single"/>
        </w:rPr>
        <w:t xml:space="preserve">Item 2 – Subsections </w:t>
      </w:r>
      <w:proofErr w:type="gramStart"/>
      <w:r w:rsidRPr="00C45FBB">
        <w:rPr>
          <w:sz w:val="24"/>
          <w:szCs w:val="24"/>
          <w:u w:val="single"/>
        </w:rPr>
        <w:t>11A(</w:t>
      </w:r>
      <w:proofErr w:type="gramEnd"/>
      <w:r w:rsidRPr="00C45FBB">
        <w:rPr>
          <w:sz w:val="24"/>
          <w:szCs w:val="24"/>
          <w:u w:val="single"/>
        </w:rPr>
        <w:t>2) and 15(2)</w:t>
      </w:r>
    </w:p>
    <w:p w:rsidR="00354FE1" w:rsidRPr="00C45FBB" w:rsidRDefault="00354FE1" w:rsidP="00C45FBB">
      <w:pPr>
        <w:pStyle w:val="ListParagraph"/>
        <w:keepLines/>
        <w:numPr>
          <w:ilvl w:val="0"/>
          <w:numId w:val="6"/>
        </w:numPr>
        <w:spacing w:after="120"/>
        <w:ind w:left="567" w:hanging="567"/>
        <w:contextualSpacing w:val="0"/>
      </w:pPr>
      <w:r w:rsidRPr="00C45FBB">
        <w:t>Subsection</w:t>
      </w:r>
      <w:r w:rsidRPr="00C45FBB">
        <w:rPr>
          <w:color w:val="000000"/>
          <w:shd w:val="clear" w:color="auto" w:fill="FFFFFF"/>
        </w:rPr>
        <w:t xml:space="preserve"> </w:t>
      </w:r>
      <w:proofErr w:type="gramStart"/>
      <w:r w:rsidRPr="00C45FBB">
        <w:rPr>
          <w:color w:val="000000"/>
          <w:shd w:val="clear" w:color="auto" w:fill="FFFFFF"/>
        </w:rPr>
        <w:t>11A(</w:t>
      </w:r>
      <w:proofErr w:type="gramEnd"/>
      <w:r w:rsidRPr="00C45FBB">
        <w:rPr>
          <w:color w:val="000000"/>
          <w:shd w:val="clear" w:color="auto" w:fill="FFFFFF"/>
        </w:rPr>
        <w:t xml:space="preserve">1) prohibits code covered entities from being covered by an </w:t>
      </w:r>
      <w:r w:rsidR="00A13C82" w:rsidRPr="00C45FBB">
        <w:rPr>
          <w:color w:val="000000"/>
          <w:shd w:val="clear" w:color="auto" w:fill="FFFFFF"/>
        </w:rPr>
        <w:t xml:space="preserve">enterprise </w:t>
      </w:r>
      <w:r w:rsidRPr="00C45FBB">
        <w:rPr>
          <w:color w:val="000000"/>
          <w:shd w:val="clear" w:color="auto" w:fill="FFFFFF"/>
        </w:rPr>
        <w:t>agreement in respect of building work that contains clauses which purport to remedy, or render ineffective clauses which are inconsistent with section 11, or that requires or provides for the application of terms and conditions in an enterprise agreement that does not cover and apply to the relevant employer and employees.</w:t>
      </w:r>
    </w:p>
    <w:p w:rsidR="00354FE1" w:rsidRPr="00C45FBB" w:rsidRDefault="00354FE1" w:rsidP="00C45FBB">
      <w:pPr>
        <w:pStyle w:val="ListParagraph"/>
        <w:keepLines/>
        <w:numPr>
          <w:ilvl w:val="0"/>
          <w:numId w:val="6"/>
        </w:numPr>
        <w:spacing w:after="120"/>
        <w:ind w:left="567" w:hanging="567"/>
        <w:contextualSpacing w:val="0"/>
      </w:pPr>
      <w:r w:rsidRPr="00C45FBB">
        <w:rPr>
          <w:color w:val="000000"/>
          <w:shd w:val="clear" w:color="auto" w:fill="FFFFFF"/>
        </w:rPr>
        <w:t xml:space="preserve">Subsection </w:t>
      </w:r>
      <w:proofErr w:type="gramStart"/>
      <w:r w:rsidRPr="00C45FBB">
        <w:rPr>
          <w:color w:val="000000"/>
          <w:shd w:val="clear" w:color="auto" w:fill="FFFFFF"/>
        </w:rPr>
        <w:t>11A(</w:t>
      </w:r>
      <w:proofErr w:type="gramEnd"/>
      <w:r w:rsidRPr="00C45FBB">
        <w:rPr>
          <w:color w:val="000000"/>
          <w:shd w:val="clear" w:color="auto" w:fill="FFFFFF"/>
        </w:rPr>
        <w:t>2) currently provides that until 29 November 2018, subsection 11A(1) does not apply to building contractors and building industry participants in respect of an enterprise agreement made before 2 December 2016.</w:t>
      </w:r>
    </w:p>
    <w:p w:rsidR="00354FE1" w:rsidRPr="00C45FBB" w:rsidRDefault="00354FE1" w:rsidP="00C45FBB">
      <w:pPr>
        <w:pStyle w:val="ListParagraph"/>
        <w:keepLines/>
        <w:numPr>
          <w:ilvl w:val="0"/>
          <w:numId w:val="6"/>
        </w:numPr>
        <w:spacing w:after="120"/>
        <w:ind w:left="567" w:hanging="567"/>
        <w:contextualSpacing w:val="0"/>
      </w:pPr>
      <w:r w:rsidRPr="00C45FBB">
        <w:t xml:space="preserve">Subsection 15(1) requires </w:t>
      </w:r>
      <w:r w:rsidRPr="00C45FBB">
        <w:rPr>
          <w:color w:val="000000"/>
          <w:shd w:val="clear" w:color="auto" w:fill="FFFFFF"/>
        </w:rPr>
        <w:t xml:space="preserve">code covered entities to ensure that an enterprise agreement that covers the entity in respect of building work includes a term for settling disputes in accordance with the </w:t>
      </w:r>
      <w:r w:rsidRPr="00C45FBB">
        <w:rPr>
          <w:i/>
          <w:color w:val="000000"/>
          <w:shd w:val="clear" w:color="auto" w:fill="FFFFFF"/>
        </w:rPr>
        <w:t xml:space="preserve">Fair Work Act 2009. </w:t>
      </w:r>
      <w:r w:rsidRPr="00C45FBB">
        <w:rPr>
          <w:color w:val="000000"/>
          <w:shd w:val="clear" w:color="auto" w:fill="FFFFFF"/>
        </w:rPr>
        <w:t>If the dispute settlement term provides for arbitration of a dispute or other binding outcome, the term must require any decision of the arbiter to be consistent with the code of practice.</w:t>
      </w:r>
    </w:p>
    <w:p w:rsidR="00354FE1" w:rsidRPr="00C45FBB" w:rsidRDefault="00354FE1" w:rsidP="00C45FBB">
      <w:pPr>
        <w:pStyle w:val="ListParagraph"/>
        <w:keepLines/>
        <w:numPr>
          <w:ilvl w:val="0"/>
          <w:numId w:val="6"/>
        </w:numPr>
        <w:spacing w:after="120"/>
        <w:ind w:left="567" w:hanging="567"/>
        <w:contextualSpacing w:val="0"/>
      </w:pPr>
      <w:r w:rsidRPr="00C45FBB">
        <w:rPr>
          <w:color w:val="000000"/>
          <w:shd w:val="clear" w:color="auto" w:fill="FFFFFF"/>
        </w:rPr>
        <w:t>Subsection 15(2) currently provides that until 29 November 2018, subsection 15(1) does not apply to building contractors and building industry participants in respect of an enterprise agreement made before 2 December 2016.</w:t>
      </w:r>
    </w:p>
    <w:p w:rsidR="00354FE1" w:rsidRPr="00C45FBB" w:rsidRDefault="00354FE1" w:rsidP="00C45FBB">
      <w:pPr>
        <w:pStyle w:val="ListParagraph"/>
        <w:keepLines/>
        <w:numPr>
          <w:ilvl w:val="0"/>
          <w:numId w:val="6"/>
        </w:numPr>
        <w:spacing w:after="120"/>
        <w:ind w:left="567" w:hanging="567"/>
        <w:contextualSpacing w:val="0"/>
      </w:pPr>
      <w:r w:rsidRPr="00C45FBB">
        <w:rPr>
          <w:color w:val="000000"/>
          <w:shd w:val="clear" w:color="auto" w:fill="FFFFFF"/>
        </w:rPr>
        <w:t xml:space="preserve">Item 2 repeals and substitutes subsections </w:t>
      </w:r>
      <w:proofErr w:type="gramStart"/>
      <w:r w:rsidRPr="00C45FBB">
        <w:rPr>
          <w:color w:val="000000"/>
          <w:shd w:val="clear" w:color="auto" w:fill="FFFFFF"/>
        </w:rPr>
        <w:t>11A(</w:t>
      </w:r>
      <w:proofErr w:type="gramEnd"/>
      <w:r w:rsidRPr="00C45FBB">
        <w:rPr>
          <w:color w:val="000000"/>
          <w:shd w:val="clear" w:color="auto" w:fill="FFFFFF"/>
        </w:rPr>
        <w:t>2) and 15(2). New subsections </w:t>
      </w:r>
      <w:proofErr w:type="gramStart"/>
      <w:r w:rsidRPr="00C45FBB">
        <w:rPr>
          <w:color w:val="000000"/>
          <w:shd w:val="clear" w:color="auto" w:fill="FFFFFF"/>
        </w:rPr>
        <w:t>11A(</w:t>
      </w:r>
      <w:proofErr w:type="gramEnd"/>
      <w:r w:rsidRPr="00C45FBB">
        <w:rPr>
          <w:color w:val="000000"/>
          <w:shd w:val="clear" w:color="auto" w:fill="FFFFFF"/>
        </w:rPr>
        <w:t>2) and 15(2) provide that subsections 11A(1) and 15(1) respectively are subject to Schedule 5.</w:t>
      </w:r>
    </w:p>
    <w:p w:rsidR="00354FE1" w:rsidRPr="00C45FBB" w:rsidRDefault="00354FE1" w:rsidP="00354FE1">
      <w:pPr>
        <w:pStyle w:val="paragraph"/>
        <w:keepNext/>
        <w:spacing w:after="120"/>
        <w:rPr>
          <w:sz w:val="24"/>
          <w:szCs w:val="24"/>
          <w:u w:val="single"/>
        </w:rPr>
      </w:pPr>
      <w:r w:rsidRPr="00C45FBB">
        <w:rPr>
          <w:sz w:val="24"/>
          <w:szCs w:val="24"/>
          <w:u w:val="single"/>
        </w:rPr>
        <w:t>Item 3 – At the end of the instrument</w:t>
      </w:r>
    </w:p>
    <w:p w:rsidR="008167F9" w:rsidRPr="00C45FBB" w:rsidRDefault="008167F9" w:rsidP="00C45FBB">
      <w:pPr>
        <w:pStyle w:val="ListParagraph"/>
        <w:keepLines/>
        <w:numPr>
          <w:ilvl w:val="0"/>
          <w:numId w:val="6"/>
        </w:numPr>
        <w:spacing w:after="120"/>
        <w:ind w:left="567" w:hanging="567"/>
        <w:contextualSpacing w:val="0"/>
      </w:pPr>
      <w:r w:rsidRPr="00C45FBB">
        <w:t>Item 3 inserts a new Schedule 5</w:t>
      </w:r>
      <w:r w:rsidR="00752634" w:rsidRPr="00C45FBB">
        <w:t>.</w:t>
      </w:r>
      <w:r w:rsidRPr="00C45FBB">
        <w:t xml:space="preserve"> </w:t>
      </w:r>
      <w:r w:rsidR="00752634" w:rsidRPr="00C45FBB">
        <w:t xml:space="preserve">Item 1 of new Schedule 5 </w:t>
      </w:r>
      <w:r w:rsidRPr="00C45FBB">
        <w:t>deals with the application of sections 11, 11A and 15.</w:t>
      </w:r>
    </w:p>
    <w:p w:rsidR="008167F9" w:rsidRPr="00C45FBB" w:rsidRDefault="00752634" w:rsidP="00C45FBB">
      <w:pPr>
        <w:pStyle w:val="ListParagraph"/>
        <w:keepLines/>
        <w:numPr>
          <w:ilvl w:val="0"/>
          <w:numId w:val="6"/>
        </w:numPr>
        <w:spacing w:after="120"/>
        <w:ind w:left="567" w:hanging="567"/>
        <w:contextualSpacing w:val="0"/>
      </w:pPr>
      <w:proofErr w:type="spellStart"/>
      <w:r w:rsidRPr="00C45FBB">
        <w:t>Subitem</w:t>
      </w:r>
      <w:proofErr w:type="spellEnd"/>
      <w:r w:rsidRPr="00C45FBB">
        <w:t xml:space="preserve"> 1(1) of </w:t>
      </w:r>
      <w:r w:rsidR="00ED05EC" w:rsidRPr="00C45FBB">
        <w:t xml:space="preserve">new </w:t>
      </w:r>
      <w:r w:rsidRPr="00C45FBB">
        <w:t xml:space="preserve">Schedule 5 </w:t>
      </w:r>
      <w:r w:rsidR="008167F9" w:rsidRPr="00C45FBB">
        <w:t>provides that subsections 11(1) and 11(3), 11A(1) and 15(1) do not apply in relation to an enterprise agreement made before 2 December 2016 that covers a building contractor, building industry participant, or a related entity of a building contractor or building industry participant, to the extent that the requirements in those subsections must be met for the purposes of</w:t>
      </w:r>
      <w:r w:rsidR="009B46FE" w:rsidRPr="00C45FBB">
        <w:t>:</w:t>
      </w:r>
    </w:p>
    <w:p w:rsidR="008167F9" w:rsidRPr="00C45FBB" w:rsidRDefault="00752634" w:rsidP="00CE004D">
      <w:pPr>
        <w:pStyle w:val="ListParagraph"/>
        <w:numPr>
          <w:ilvl w:val="0"/>
          <w:numId w:val="22"/>
        </w:numPr>
        <w:spacing w:after="120" w:line="276" w:lineRule="auto"/>
        <w:contextualSpacing w:val="0"/>
      </w:pPr>
      <w:r w:rsidRPr="00C45FBB">
        <w:t xml:space="preserve">the </w:t>
      </w:r>
      <w:r w:rsidR="008167F9" w:rsidRPr="00C45FBB">
        <w:t xml:space="preserve">lodging </w:t>
      </w:r>
      <w:r w:rsidRPr="00C45FBB">
        <w:t xml:space="preserve">of </w:t>
      </w:r>
      <w:r w:rsidR="008167F9" w:rsidRPr="00C45FBB">
        <w:t>an expression of interest or tender by the contractor or participant before 1 September 2017; or</w:t>
      </w:r>
    </w:p>
    <w:p w:rsidR="00A53A2A" w:rsidRPr="00C45FBB" w:rsidRDefault="009B46FE" w:rsidP="00CE004D">
      <w:pPr>
        <w:pStyle w:val="ListParagraph"/>
        <w:numPr>
          <w:ilvl w:val="0"/>
          <w:numId w:val="22"/>
        </w:numPr>
        <w:spacing w:after="120" w:line="276" w:lineRule="auto"/>
        <w:contextualSpacing w:val="0"/>
      </w:pPr>
      <w:r w:rsidRPr="00C45FBB">
        <w:t>t</w:t>
      </w:r>
      <w:r w:rsidR="008167F9" w:rsidRPr="00C45FBB">
        <w:t>he awarding, before 29 November 2018, of building</w:t>
      </w:r>
      <w:r w:rsidR="00ED05EC" w:rsidRPr="00C45FBB">
        <w:t xml:space="preserve"> work relating to an expression</w:t>
      </w:r>
      <w:r w:rsidR="008167F9" w:rsidRPr="00C45FBB">
        <w:t xml:space="preserve"> of interest or tender lodged </w:t>
      </w:r>
      <w:r w:rsidR="00020457" w:rsidRPr="00C45FBB">
        <w:t xml:space="preserve">by the contractor or participant </w:t>
      </w:r>
      <w:r w:rsidR="008167F9" w:rsidRPr="00C45FBB">
        <w:t xml:space="preserve">in the period beginning on 2 December 2016 and ending at the commencement of the </w:t>
      </w:r>
      <w:r w:rsidR="008167F9" w:rsidRPr="00C45FBB">
        <w:rPr>
          <w:i/>
        </w:rPr>
        <w:t xml:space="preserve">Building and Construction Industry (Improving Productivity) </w:t>
      </w:r>
      <w:r w:rsidR="00020457" w:rsidRPr="00C45FBB">
        <w:rPr>
          <w:i/>
        </w:rPr>
        <w:t xml:space="preserve">Amendment </w:t>
      </w:r>
      <w:r w:rsidR="008167F9" w:rsidRPr="00C45FBB">
        <w:rPr>
          <w:i/>
        </w:rPr>
        <w:t>Act 2017</w:t>
      </w:r>
      <w:r w:rsidR="00703916" w:rsidRPr="00C45FBB">
        <w:t xml:space="preserve"> (the Amendment Act</w:t>
      </w:r>
      <w:r w:rsidR="00020457" w:rsidRPr="00C45FBB">
        <w:t xml:space="preserve"> commencement</w:t>
      </w:r>
      <w:r w:rsidR="00703916" w:rsidRPr="00C45FBB">
        <w:t>)</w:t>
      </w:r>
      <w:r w:rsidR="00A53A2A" w:rsidRPr="00C45FBB">
        <w:t>;</w:t>
      </w:r>
      <w:r w:rsidR="00C45FBB">
        <w:t xml:space="preserve"> or</w:t>
      </w:r>
    </w:p>
    <w:p w:rsidR="009B34BF" w:rsidRPr="00C45FBB" w:rsidRDefault="008167F9" w:rsidP="00CE004D">
      <w:pPr>
        <w:pStyle w:val="ListParagraph"/>
        <w:numPr>
          <w:ilvl w:val="0"/>
          <w:numId w:val="22"/>
        </w:numPr>
        <w:spacing w:after="120" w:line="276" w:lineRule="auto"/>
        <w:contextualSpacing w:val="0"/>
      </w:pPr>
      <w:r w:rsidRPr="00C45FBB">
        <w:t xml:space="preserve">the undertaking of </w:t>
      </w:r>
      <w:r w:rsidR="00A53A2A" w:rsidRPr="00C45FBB">
        <w:t xml:space="preserve">building </w:t>
      </w:r>
      <w:r w:rsidRPr="00C45FBB">
        <w:t>work</w:t>
      </w:r>
      <w:r w:rsidR="00A53A2A" w:rsidRPr="00C45FBB">
        <w:t xml:space="preserve"> referred to in paragraph</w:t>
      </w:r>
      <w:r w:rsidR="00020457" w:rsidRPr="00C45FBB">
        <w:t xml:space="preserve"> (b)</w:t>
      </w:r>
      <w:r w:rsidR="009B34BF" w:rsidRPr="00C45FBB">
        <w:t>; or</w:t>
      </w:r>
    </w:p>
    <w:p w:rsidR="009B34BF" w:rsidRPr="00C45FBB" w:rsidRDefault="009B34BF" w:rsidP="00CE004D">
      <w:pPr>
        <w:pStyle w:val="ListParagraph"/>
        <w:numPr>
          <w:ilvl w:val="0"/>
          <w:numId w:val="22"/>
        </w:numPr>
        <w:spacing w:after="120" w:line="276" w:lineRule="auto"/>
        <w:contextualSpacing w:val="0"/>
      </w:pPr>
      <w:r w:rsidRPr="00C45FBB">
        <w:t xml:space="preserve">the awarding, before 1 September 2017, of building work relating to an expression of interest or tender lodged </w:t>
      </w:r>
      <w:r w:rsidR="00020457" w:rsidRPr="00C45FBB">
        <w:t xml:space="preserve">by the contractor or participant </w:t>
      </w:r>
      <w:r w:rsidRPr="00C45FBB">
        <w:t>after the Amendment Act commencement if the enterprise agreement does not apply to the contractor, participant or related entity in respect of that building work; or</w:t>
      </w:r>
    </w:p>
    <w:p w:rsidR="009B34BF" w:rsidRPr="00C45FBB" w:rsidRDefault="009B34BF" w:rsidP="00CE004D">
      <w:pPr>
        <w:pStyle w:val="ListParagraph"/>
        <w:numPr>
          <w:ilvl w:val="0"/>
          <w:numId w:val="22"/>
        </w:numPr>
        <w:spacing w:after="120" w:line="276" w:lineRule="auto"/>
        <w:contextualSpacing w:val="0"/>
      </w:pPr>
      <w:proofErr w:type="gramStart"/>
      <w:r w:rsidRPr="00C45FBB">
        <w:t>the</w:t>
      </w:r>
      <w:proofErr w:type="gramEnd"/>
      <w:r w:rsidRPr="00C45FBB">
        <w:t xml:space="preserve"> undertaking of building work referred to in</w:t>
      </w:r>
      <w:r w:rsidR="00A53A2A" w:rsidRPr="00C45FBB">
        <w:t xml:space="preserve"> paragraph</w:t>
      </w:r>
      <w:r w:rsidR="00020457" w:rsidRPr="00C45FBB">
        <w:t xml:space="preserve"> (d)</w:t>
      </w:r>
      <w:r w:rsidRPr="00C45FBB">
        <w:t>.</w:t>
      </w:r>
    </w:p>
    <w:p w:rsidR="00835A73" w:rsidRPr="00C45FBB" w:rsidRDefault="00835A73" w:rsidP="00C45FBB">
      <w:pPr>
        <w:pStyle w:val="ListParagraph"/>
        <w:keepLines/>
        <w:numPr>
          <w:ilvl w:val="0"/>
          <w:numId w:val="6"/>
        </w:numPr>
        <w:spacing w:after="120"/>
        <w:ind w:left="567" w:hanging="567"/>
        <w:contextualSpacing w:val="0"/>
      </w:pPr>
      <w:r w:rsidRPr="00C45FBB">
        <w:t xml:space="preserve">The effect of </w:t>
      </w:r>
      <w:proofErr w:type="spellStart"/>
      <w:r w:rsidR="00020457" w:rsidRPr="00C45FBB">
        <w:t>sub</w:t>
      </w:r>
      <w:r w:rsidRPr="00C45FBB">
        <w:t>item</w:t>
      </w:r>
      <w:proofErr w:type="spellEnd"/>
      <w:r w:rsidRPr="00C45FBB">
        <w:t xml:space="preserve"> 1</w:t>
      </w:r>
      <w:r w:rsidR="00020457" w:rsidRPr="00C45FBB">
        <w:t>(1)</w:t>
      </w:r>
      <w:r w:rsidRPr="00C45FBB">
        <w:t xml:space="preserve"> of new Schedule 5 is as follows: </w:t>
      </w:r>
    </w:p>
    <w:p w:rsidR="00020457" w:rsidRPr="00C45FBB" w:rsidRDefault="00020457" w:rsidP="00835A73">
      <w:pPr>
        <w:pStyle w:val="ListParagraph"/>
        <w:numPr>
          <w:ilvl w:val="0"/>
          <w:numId w:val="17"/>
        </w:numPr>
        <w:spacing w:after="120" w:line="276" w:lineRule="auto"/>
        <w:contextualSpacing w:val="0"/>
      </w:pPr>
      <w:r w:rsidRPr="00C45FBB">
        <w:t xml:space="preserve">A building contractor or building industry participant may lodge an expression of interest or tender for Commonwealth funded building work before 1 September 2017, even if </w:t>
      </w:r>
      <w:r w:rsidR="0006720F" w:rsidRPr="00C45FBB">
        <w:t>the contractor, participant</w:t>
      </w:r>
      <w:r w:rsidRPr="00C45FBB">
        <w:t xml:space="preserve"> or a related entity </w:t>
      </w:r>
      <w:r w:rsidR="0006720F" w:rsidRPr="00C45FBB">
        <w:t>is</w:t>
      </w:r>
      <w:r w:rsidRPr="00C45FBB">
        <w:t xml:space="preserve"> covered by an enterprise agreement in respect of building work, made before 2 December 2016, that does not comply with one or more of subsections 11(1) and (3), </w:t>
      </w:r>
      <w:proofErr w:type="spellStart"/>
      <w:proofErr w:type="gramStart"/>
      <w:r w:rsidRPr="00C45FBB">
        <w:t>s11A</w:t>
      </w:r>
      <w:proofErr w:type="spellEnd"/>
      <w:r w:rsidRPr="00C45FBB">
        <w:t>(</w:t>
      </w:r>
      <w:proofErr w:type="gramEnd"/>
      <w:r w:rsidRPr="00C45FBB">
        <w:t>1) and 15(1)</w:t>
      </w:r>
      <w:r w:rsidRPr="00C45FBB">
        <w:t xml:space="preserve"> (</w:t>
      </w:r>
      <w:r w:rsidRPr="00C45FBB">
        <w:t>paragraph 1(1)(a)).</w:t>
      </w:r>
    </w:p>
    <w:p w:rsidR="00020457" w:rsidRPr="00C45FBB" w:rsidRDefault="00835A73" w:rsidP="0006720F">
      <w:pPr>
        <w:pStyle w:val="ListParagraph"/>
        <w:numPr>
          <w:ilvl w:val="0"/>
          <w:numId w:val="17"/>
        </w:numPr>
        <w:spacing w:after="120" w:line="276" w:lineRule="auto"/>
        <w:contextualSpacing w:val="0"/>
      </w:pPr>
      <w:r w:rsidRPr="00C45FBB">
        <w:t xml:space="preserve">If a building contractor or building industry participant lodged an expression of interest or tender between 2 December 2016 and the </w:t>
      </w:r>
      <w:r w:rsidR="00020457" w:rsidRPr="00C45FBB">
        <w:t xml:space="preserve">Amendment Act </w:t>
      </w:r>
      <w:r w:rsidRPr="00C45FBB">
        <w:t xml:space="preserve">commencement that contractor or participant may, before 29 November 2018, be awarded Commonwealth funded building work relating to that expression of interest or tender, even if </w:t>
      </w:r>
      <w:r w:rsidR="0006720F" w:rsidRPr="00C45FBB">
        <w:t xml:space="preserve">the contractor, participant </w:t>
      </w:r>
      <w:r w:rsidR="009D0ADB" w:rsidRPr="00C45FBB">
        <w:t xml:space="preserve">or </w:t>
      </w:r>
      <w:r w:rsidR="00A53A2A" w:rsidRPr="00C45FBB">
        <w:t>a</w:t>
      </w:r>
      <w:r w:rsidR="009D0ADB" w:rsidRPr="00C45FBB">
        <w:t xml:space="preserve"> related entit</w:t>
      </w:r>
      <w:r w:rsidR="00A53A2A" w:rsidRPr="00C45FBB">
        <w:t>y</w:t>
      </w:r>
      <w:r w:rsidRPr="00C45FBB">
        <w:t xml:space="preserve"> </w:t>
      </w:r>
      <w:r w:rsidR="0006720F" w:rsidRPr="00C45FBB">
        <w:t>is</w:t>
      </w:r>
      <w:r w:rsidR="00F96C89" w:rsidRPr="00C45FBB">
        <w:t xml:space="preserve"> </w:t>
      </w:r>
      <w:r w:rsidRPr="00C45FBB">
        <w:t xml:space="preserve">covered by an enterprise agreement in respect of building work, made before 2 December 2016, that does not comply with </w:t>
      </w:r>
      <w:r w:rsidR="00703916" w:rsidRPr="00C45FBB">
        <w:t xml:space="preserve">one or more of </w:t>
      </w:r>
      <w:r w:rsidRPr="00C45FBB">
        <w:t xml:space="preserve">subsections 11(1) </w:t>
      </w:r>
      <w:r w:rsidR="00703916" w:rsidRPr="00C45FBB">
        <w:t xml:space="preserve">and </w:t>
      </w:r>
      <w:r w:rsidRPr="00C45FBB">
        <w:t>(3)</w:t>
      </w:r>
      <w:r w:rsidR="00C45FBB">
        <w:t xml:space="preserve">, </w:t>
      </w:r>
      <w:proofErr w:type="spellStart"/>
      <w:r w:rsidR="00703916" w:rsidRPr="00C45FBB">
        <w:t>11A</w:t>
      </w:r>
      <w:proofErr w:type="spellEnd"/>
      <w:r w:rsidR="00703916" w:rsidRPr="00C45FBB">
        <w:t>(1) and 15(1)</w:t>
      </w:r>
      <w:r w:rsidR="00020457" w:rsidRPr="00C45FBB">
        <w:t xml:space="preserve"> (paragraph 1(1)(b))</w:t>
      </w:r>
      <w:r w:rsidRPr="00C45FBB">
        <w:t>.</w:t>
      </w:r>
    </w:p>
    <w:p w:rsidR="00835A73" w:rsidRPr="00C45FBB" w:rsidRDefault="00020457" w:rsidP="0006720F">
      <w:pPr>
        <w:pStyle w:val="ListParagraph"/>
        <w:numPr>
          <w:ilvl w:val="0"/>
          <w:numId w:val="17"/>
        </w:numPr>
        <w:spacing w:after="120" w:line="276" w:lineRule="auto"/>
        <w:contextualSpacing w:val="0"/>
      </w:pPr>
      <w:r w:rsidRPr="00C45FBB">
        <w:t>Subsections</w:t>
      </w:r>
      <w:r w:rsidR="00835A73" w:rsidRPr="00C45FBB">
        <w:t xml:space="preserve"> </w:t>
      </w:r>
      <w:r w:rsidRPr="00C45FBB">
        <w:t>11(1) and (3)</w:t>
      </w:r>
      <w:r w:rsidR="00C45FBB">
        <w:t xml:space="preserve">, </w:t>
      </w:r>
      <w:proofErr w:type="spellStart"/>
      <w:proofErr w:type="gramStart"/>
      <w:r w:rsidRPr="00C45FBB">
        <w:t>11A</w:t>
      </w:r>
      <w:proofErr w:type="spellEnd"/>
      <w:r w:rsidRPr="00C45FBB">
        <w:t>(</w:t>
      </w:r>
      <w:proofErr w:type="gramEnd"/>
      <w:r w:rsidRPr="00C45FBB">
        <w:t>1) and 15(1)</w:t>
      </w:r>
      <w:r w:rsidR="00F96C89" w:rsidRPr="00C45FBB">
        <w:t xml:space="preserve"> will not apply in relation to an enterprise agreement </w:t>
      </w:r>
      <w:r w:rsidR="00316AA0" w:rsidRPr="00C45FBB">
        <w:t xml:space="preserve">made before 2 December 2016 </w:t>
      </w:r>
      <w:r w:rsidR="00F96C89" w:rsidRPr="00C45FBB">
        <w:t>that covers the contractor</w:t>
      </w:r>
      <w:r w:rsidR="00316AA0" w:rsidRPr="00C45FBB">
        <w:t xml:space="preserve">, </w:t>
      </w:r>
      <w:r w:rsidR="00F96C89" w:rsidRPr="00C45FBB">
        <w:t xml:space="preserve"> participant</w:t>
      </w:r>
      <w:r w:rsidR="00316AA0" w:rsidRPr="00C45FBB">
        <w:t xml:space="preserve"> or related entity</w:t>
      </w:r>
      <w:r w:rsidR="00F96C89" w:rsidRPr="00C45FBB">
        <w:t xml:space="preserve"> </w:t>
      </w:r>
      <w:r w:rsidR="00316AA0" w:rsidRPr="00C45FBB">
        <w:t>to the extent that those subsections must be met when</w:t>
      </w:r>
      <w:r w:rsidR="00F96C89" w:rsidRPr="00C45FBB">
        <w:t xml:space="preserve"> </w:t>
      </w:r>
      <w:r w:rsidR="00316AA0" w:rsidRPr="00C45FBB">
        <w:t xml:space="preserve">the contractor or participant is </w:t>
      </w:r>
      <w:r w:rsidR="00F96C89" w:rsidRPr="00C45FBB">
        <w:t>undertaking the building work referred to in paragraph 1(1)(b) (paragraph 1(1)(c)).</w:t>
      </w:r>
    </w:p>
    <w:p w:rsidR="00CA3353" w:rsidRPr="00C45FBB" w:rsidRDefault="00F96C89" w:rsidP="00BD0D9E">
      <w:pPr>
        <w:pStyle w:val="ListParagraph"/>
        <w:numPr>
          <w:ilvl w:val="0"/>
          <w:numId w:val="17"/>
        </w:numPr>
        <w:spacing w:after="120" w:line="276" w:lineRule="auto"/>
        <w:contextualSpacing w:val="0"/>
      </w:pPr>
      <w:r w:rsidRPr="00C45FBB">
        <w:t xml:space="preserve">If </w:t>
      </w:r>
      <w:r w:rsidR="00BD0D9E" w:rsidRPr="00C45FBB">
        <w:t>a</w:t>
      </w:r>
      <w:r w:rsidR="0096683B" w:rsidRPr="00C45FBB">
        <w:t xml:space="preserve"> </w:t>
      </w:r>
      <w:r w:rsidR="009B34BF" w:rsidRPr="00C45FBB">
        <w:t>building contractor or building industry participant</w:t>
      </w:r>
      <w:r w:rsidR="005510AC" w:rsidRPr="00C45FBB">
        <w:t xml:space="preserve"> </w:t>
      </w:r>
      <w:r w:rsidR="007E33A4" w:rsidRPr="00C45FBB">
        <w:t>lodge</w:t>
      </w:r>
      <w:r w:rsidR="00BD0D9E" w:rsidRPr="00C45FBB">
        <w:t>s</w:t>
      </w:r>
      <w:r w:rsidR="007E33A4" w:rsidRPr="00C45FBB">
        <w:t xml:space="preserve"> an expression of interest or tender for Commonwealth funded building work after the </w:t>
      </w:r>
      <w:r w:rsidRPr="00C45FBB">
        <w:t xml:space="preserve">Amendment Act </w:t>
      </w:r>
      <w:r w:rsidR="007E33A4" w:rsidRPr="00C45FBB">
        <w:t>commencement</w:t>
      </w:r>
      <w:r w:rsidR="00BD0D9E" w:rsidRPr="00C45FBB">
        <w:t xml:space="preserve"> that </w:t>
      </w:r>
      <w:r w:rsidRPr="00C45FBB">
        <w:t xml:space="preserve">contractor or </w:t>
      </w:r>
      <w:r w:rsidR="00BD0D9E" w:rsidRPr="00C45FBB">
        <w:t xml:space="preserve">participant may, </w:t>
      </w:r>
      <w:r w:rsidRPr="00C45FBB">
        <w:t>before</w:t>
      </w:r>
      <w:r w:rsidR="00BC1E41" w:rsidRPr="00C45FBB">
        <w:t xml:space="preserve"> 1 September 2017</w:t>
      </w:r>
      <w:r w:rsidR="00BD0D9E" w:rsidRPr="00C45FBB">
        <w:t>,</w:t>
      </w:r>
      <w:r w:rsidR="005510AC" w:rsidRPr="00C45FBB">
        <w:t xml:space="preserve"> be awarded </w:t>
      </w:r>
      <w:r w:rsidR="00BD0D9E" w:rsidRPr="00C45FBB">
        <w:t xml:space="preserve">that </w:t>
      </w:r>
      <w:r w:rsidR="005510AC" w:rsidRPr="00C45FBB">
        <w:t xml:space="preserve">work </w:t>
      </w:r>
      <w:r w:rsidR="00BC1E41" w:rsidRPr="00C45FBB">
        <w:t xml:space="preserve">even if </w:t>
      </w:r>
      <w:r w:rsidR="0006720F" w:rsidRPr="00C45FBB">
        <w:t>the contractor, participant</w:t>
      </w:r>
      <w:r w:rsidR="009D0ADB" w:rsidRPr="00C45FBB">
        <w:t xml:space="preserve"> or a </w:t>
      </w:r>
      <w:r w:rsidR="005510AC" w:rsidRPr="00C45FBB">
        <w:t xml:space="preserve">related entity </w:t>
      </w:r>
      <w:r w:rsidR="0006720F" w:rsidRPr="00C45FBB">
        <w:t>are</w:t>
      </w:r>
      <w:r w:rsidR="005510AC" w:rsidRPr="00C45FBB">
        <w:t xml:space="preserve"> covered by an enterprise agreement </w:t>
      </w:r>
      <w:r w:rsidRPr="00C45FBB">
        <w:t xml:space="preserve">that does not </w:t>
      </w:r>
      <w:r w:rsidRPr="00C45FBB">
        <w:t xml:space="preserve">comply with one or more of subsections </w:t>
      </w:r>
      <w:r w:rsidR="00C45FBB">
        <w:t xml:space="preserve">11(1) and (3), </w:t>
      </w:r>
      <w:proofErr w:type="spellStart"/>
      <w:r w:rsidRPr="00C45FBB">
        <w:t>11A</w:t>
      </w:r>
      <w:proofErr w:type="spellEnd"/>
      <w:r w:rsidRPr="00C45FBB">
        <w:t>(1) and 15(1)</w:t>
      </w:r>
      <w:r w:rsidRPr="00C45FBB">
        <w:t>, provided that</w:t>
      </w:r>
      <w:r w:rsidR="00C45FBB">
        <w:t xml:space="preserve"> the</w:t>
      </w:r>
      <w:r w:rsidRPr="00C45FBB">
        <w:t xml:space="preserve"> enterprise agreement does not apply to the contractor, participant or related entity</w:t>
      </w:r>
      <w:r w:rsidR="005510AC" w:rsidRPr="00C45FBB">
        <w:t xml:space="preserve"> in respect of th</w:t>
      </w:r>
      <w:r w:rsidR="00ED05EC" w:rsidRPr="00C45FBB">
        <w:t>e</w:t>
      </w:r>
      <w:r w:rsidRPr="00C45FBB">
        <w:t xml:space="preserve"> </w:t>
      </w:r>
      <w:r w:rsidR="005510AC" w:rsidRPr="00C45FBB">
        <w:t>building work</w:t>
      </w:r>
      <w:r w:rsidR="00ED05EC" w:rsidRPr="00C45FBB">
        <w:t xml:space="preserve"> that is the subject of the expression of interest or tender</w:t>
      </w:r>
      <w:r w:rsidR="00CA3353" w:rsidRPr="00C45FBB">
        <w:t xml:space="preserve"> (paragraph 1(1)(d))</w:t>
      </w:r>
      <w:r w:rsidR="005510AC" w:rsidRPr="00C45FBB">
        <w:t>.</w:t>
      </w:r>
    </w:p>
    <w:p w:rsidR="000C0BC0" w:rsidRPr="00C45FBB" w:rsidRDefault="007E0E7D" w:rsidP="00BD0D9E">
      <w:pPr>
        <w:pStyle w:val="ListParagraph"/>
        <w:numPr>
          <w:ilvl w:val="0"/>
          <w:numId w:val="17"/>
        </w:numPr>
        <w:spacing w:after="120" w:line="276" w:lineRule="auto"/>
        <w:contextualSpacing w:val="0"/>
      </w:pPr>
      <w:r w:rsidRPr="00C45FBB">
        <w:t>This means that building contractors and building industry participants that are covered by multiple enterprise agreements (made before 2 December 2016) can be awarded building work during this period if they ensure</w:t>
      </w:r>
      <w:r w:rsidR="000C0BC0" w:rsidRPr="00C45FBB">
        <w:t xml:space="preserve"> that</w:t>
      </w:r>
      <w:r w:rsidRPr="00C45FBB">
        <w:t xml:space="preserve"> the </w:t>
      </w:r>
      <w:r w:rsidR="000C0BC0" w:rsidRPr="00C45FBB">
        <w:t xml:space="preserve">particular </w:t>
      </w:r>
      <w:r w:rsidRPr="00C45FBB">
        <w:t>enterprise a</w:t>
      </w:r>
      <w:r w:rsidR="00CA3353" w:rsidRPr="00C45FBB">
        <w:t>greement</w:t>
      </w:r>
      <w:r w:rsidR="000C0BC0" w:rsidRPr="00C45FBB">
        <w:t>/s</w:t>
      </w:r>
      <w:r w:rsidR="00CA3353" w:rsidRPr="00C45FBB">
        <w:t xml:space="preserve"> that will apply to the</w:t>
      </w:r>
      <w:r w:rsidRPr="00C45FBB">
        <w:t xml:space="preserve"> work</w:t>
      </w:r>
      <w:r w:rsidR="00CA3353" w:rsidRPr="00C45FBB">
        <w:t xml:space="preserve"> that is the subject of the expression of interest or tender compl</w:t>
      </w:r>
      <w:r w:rsidR="0006720F" w:rsidRPr="00C45FBB">
        <w:t>y</w:t>
      </w:r>
      <w:r w:rsidRPr="00C45FBB">
        <w:t xml:space="preserve"> with the 2016 Code</w:t>
      </w:r>
      <w:r w:rsidR="00CA3353" w:rsidRPr="00C45FBB">
        <w:t>.</w:t>
      </w:r>
      <w:r w:rsidRPr="00C45FBB">
        <w:t xml:space="preserve"> </w:t>
      </w:r>
    </w:p>
    <w:p w:rsidR="00A53A2A" w:rsidRPr="00C45FBB" w:rsidRDefault="000C0BC0" w:rsidP="00BD0D9E">
      <w:pPr>
        <w:pStyle w:val="ListParagraph"/>
        <w:numPr>
          <w:ilvl w:val="0"/>
          <w:numId w:val="17"/>
        </w:numPr>
        <w:spacing w:after="120" w:line="276" w:lineRule="auto"/>
        <w:contextualSpacing w:val="0"/>
      </w:pPr>
      <w:r w:rsidRPr="00C45FBB">
        <w:t>Subsections 11(1) and (3)</w:t>
      </w:r>
      <w:r w:rsidR="00C45FBB">
        <w:t xml:space="preserve">, </w:t>
      </w:r>
      <w:proofErr w:type="spellStart"/>
      <w:proofErr w:type="gramStart"/>
      <w:r w:rsidRPr="00C45FBB">
        <w:t>11A</w:t>
      </w:r>
      <w:proofErr w:type="spellEnd"/>
      <w:r w:rsidRPr="00C45FBB">
        <w:t>(</w:t>
      </w:r>
      <w:proofErr w:type="gramEnd"/>
      <w:r w:rsidRPr="00C45FBB">
        <w:t xml:space="preserve">1) and 15(1) will not apply in relation to an enterprise agreement </w:t>
      </w:r>
      <w:r w:rsidR="00316AA0" w:rsidRPr="00C45FBB">
        <w:t xml:space="preserve">made before 2 December 2016 </w:t>
      </w:r>
      <w:r w:rsidR="00834717" w:rsidRPr="00C45FBB">
        <w:t xml:space="preserve">that </w:t>
      </w:r>
      <w:r w:rsidR="00316AA0" w:rsidRPr="00C45FBB">
        <w:t xml:space="preserve">covers the contractor, participant, or related entity, but </w:t>
      </w:r>
      <w:r w:rsidR="00834717" w:rsidRPr="00C45FBB">
        <w:t>does not appl</w:t>
      </w:r>
      <w:r w:rsidR="0006720F" w:rsidRPr="00C45FBB">
        <w:t xml:space="preserve">y in relation </w:t>
      </w:r>
      <w:r w:rsidR="00834717" w:rsidRPr="00C45FBB">
        <w:t xml:space="preserve">to the particular </w:t>
      </w:r>
      <w:r w:rsidR="00316AA0" w:rsidRPr="00C45FBB">
        <w:t xml:space="preserve">work, to the extent that those subsections must be met when the contractor or participant is </w:t>
      </w:r>
      <w:r w:rsidRPr="00C45FBB">
        <w:t>undertaking the building work referred to in paragraph 1(1)(</w:t>
      </w:r>
      <w:r w:rsidR="00834717" w:rsidRPr="00C45FBB">
        <w:t>d</w:t>
      </w:r>
      <w:r w:rsidRPr="00C45FBB">
        <w:t>) (paragraph 1(1)(</w:t>
      </w:r>
      <w:r w:rsidR="00834717" w:rsidRPr="00C45FBB">
        <w:t>e</w:t>
      </w:r>
      <w:r w:rsidRPr="00C45FBB">
        <w:t>)).</w:t>
      </w:r>
    </w:p>
    <w:p w:rsidR="00DA65F0" w:rsidRPr="00C45FBB" w:rsidRDefault="0006720F" w:rsidP="00C45FBB">
      <w:pPr>
        <w:pStyle w:val="ListParagraph"/>
        <w:keepLines/>
        <w:numPr>
          <w:ilvl w:val="0"/>
          <w:numId w:val="6"/>
        </w:numPr>
        <w:spacing w:after="120"/>
        <w:ind w:left="567" w:hanging="567"/>
        <w:contextualSpacing w:val="0"/>
        <w:rPr>
          <w:color w:val="000000"/>
        </w:rPr>
      </w:pPr>
      <w:proofErr w:type="spellStart"/>
      <w:r w:rsidRPr="00C45FBB">
        <w:t>Subi</w:t>
      </w:r>
      <w:r w:rsidR="006405F7" w:rsidRPr="00C45FBB">
        <w:t>tem</w:t>
      </w:r>
      <w:proofErr w:type="spellEnd"/>
      <w:r w:rsidR="006405F7" w:rsidRPr="00C45FBB">
        <w:t xml:space="preserve"> </w:t>
      </w:r>
      <w:r w:rsidRPr="00C45FBB">
        <w:t>1(2)</w:t>
      </w:r>
      <w:r w:rsidR="006405F7" w:rsidRPr="00C45FBB">
        <w:t xml:space="preserve"> of new Schedule 5 provides that s</w:t>
      </w:r>
      <w:r w:rsidR="006405F7" w:rsidRPr="00C45FBB">
        <w:rPr>
          <w:color w:val="000000"/>
        </w:rPr>
        <w:t>ubsections 11(1) and (3), 11A(1) and 15(1) do not apply in relation to an enterprise agreement</w:t>
      </w:r>
      <w:r w:rsidR="00DA65F0" w:rsidRPr="00C45FBB">
        <w:rPr>
          <w:color w:val="000000"/>
        </w:rPr>
        <w:t xml:space="preserve"> that covers a building contractor, a building industry participant, or a related entity of a building contractor or building industry participant if</w:t>
      </w:r>
      <w:r w:rsidR="00A53A2A" w:rsidRPr="00C45FBB">
        <w:rPr>
          <w:color w:val="000000"/>
        </w:rPr>
        <w:t>:</w:t>
      </w:r>
      <w:r w:rsidR="00DA65F0" w:rsidRPr="00C45FBB">
        <w:rPr>
          <w:color w:val="000000"/>
        </w:rPr>
        <w:t xml:space="preserve"> </w:t>
      </w:r>
    </w:p>
    <w:p w:rsidR="00DA65F0" w:rsidRPr="00C45FBB" w:rsidRDefault="00DA65F0" w:rsidP="00A13C82">
      <w:pPr>
        <w:pStyle w:val="ListParagraph"/>
        <w:numPr>
          <w:ilvl w:val="1"/>
          <w:numId w:val="23"/>
        </w:numPr>
        <w:spacing w:after="120"/>
        <w:ind w:left="993" w:hanging="426"/>
        <w:contextualSpacing w:val="0"/>
        <w:rPr>
          <w:color w:val="000000"/>
        </w:rPr>
      </w:pPr>
      <w:r w:rsidRPr="00C45FBB">
        <w:rPr>
          <w:color w:val="000000"/>
        </w:rPr>
        <w:t xml:space="preserve">the enterprise agreement </w:t>
      </w:r>
      <w:r w:rsidR="0067692E" w:rsidRPr="00C45FBB">
        <w:rPr>
          <w:color w:val="000000"/>
        </w:rPr>
        <w:t xml:space="preserve">was made before 2 December 2016 and </w:t>
      </w:r>
      <w:r w:rsidRPr="00C45FBB">
        <w:rPr>
          <w:color w:val="000000"/>
        </w:rPr>
        <w:t>applies to the contractor, participant or related entity in respect only of building work relating to an expression of interest or tender lodged by the contractor or participant before 2 December 2016; or</w:t>
      </w:r>
    </w:p>
    <w:p w:rsidR="0067692E" w:rsidRPr="00C45FBB" w:rsidRDefault="00DA65F0" w:rsidP="00A13C82">
      <w:pPr>
        <w:pStyle w:val="ListParagraph"/>
        <w:numPr>
          <w:ilvl w:val="1"/>
          <w:numId w:val="23"/>
        </w:numPr>
        <w:spacing w:after="120"/>
        <w:ind w:left="993" w:hanging="426"/>
        <w:contextualSpacing w:val="0"/>
        <w:rPr>
          <w:color w:val="000000"/>
        </w:rPr>
      </w:pPr>
      <w:proofErr w:type="gramStart"/>
      <w:r w:rsidRPr="00C45FBB">
        <w:rPr>
          <w:color w:val="000000"/>
        </w:rPr>
        <w:t>the</w:t>
      </w:r>
      <w:proofErr w:type="gramEnd"/>
      <w:r w:rsidRPr="00C45FBB">
        <w:rPr>
          <w:color w:val="000000"/>
        </w:rPr>
        <w:t xml:space="preserve"> enterprise agreement was made before 25 April 2014 and that agreement has not been varied in accordance with section 207 of the </w:t>
      </w:r>
      <w:r w:rsidR="00A13C82" w:rsidRPr="00C45FBB">
        <w:rPr>
          <w:i/>
          <w:color w:val="000000"/>
        </w:rPr>
        <w:t>Fair Work Act 2009</w:t>
      </w:r>
      <w:r w:rsidR="00C45FBB">
        <w:rPr>
          <w:color w:val="000000"/>
        </w:rPr>
        <w:t xml:space="preserve"> (FW Act)</w:t>
      </w:r>
      <w:r w:rsidR="00A13C82" w:rsidRPr="00C45FBB">
        <w:rPr>
          <w:i/>
          <w:color w:val="000000"/>
        </w:rPr>
        <w:t>.</w:t>
      </w:r>
    </w:p>
    <w:p w:rsidR="009D0ADB" w:rsidRPr="00C45FBB" w:rsidRDefault="0067692E" w:rsidP="00C45FBB">
      <w:pPr>
        <w:pStyle w:val="ListParagraph"/>
        <w:keepLines/>
        <w:numPr>
          <w:ilvl w:val="0"/>
          <w:numId w:val="6"/>
        </w:numPr>
        <w:spacing w:after="120"/>
        <w:ind w:left="567" w:hanging="567"/>
        <w:contextualSpacing w:val="0"/>
      </w:pPr>
      <w:r w:rsidRPr="00C45FBB">
        <w:t xml:space="preserve">The effect of </w:t>
      </w:r>
      <w:proofErr w:type="spellStart"/>
      <w:r w:rsidR="0006720F" w:rsidRPr="00C45FBB">
        <w:t>sub</w:t>
      </w:r>
      <w:r w:rsidRPr="00C45FBB">
        <w:t>item</w:t>
      </w:r>
      <w:proofErr w:type="spellEnd"/>
      <w:r w:rsidRPr="00C45FBB">
        <w:t xml:space="preserve"> </w:t>
      </w:r>
      <w:r w:rsidR="0006720F" w:rsidRPr="00C45FBB">
        <w:t>1(2)</w:t>
      </w:r>
      <w:r w:rsidRPr="00C45FBB">
        <w:t xml:space="preserve"> of Schedule 5 is</w:t>
      </w:r>
      <w:r w:rsidR="00A53A2A" w:rsidRPr="00C45FBB">
        <w:t xml:space="preserve"> as follows:</w:t>
      </w:r>
    </w:p>
    <w:p w:rsidR="00AE43CA" w:rsidRPr="00C45FBB" w:rsidRDefault="0006720F" w:rsidP="00CE004D">
      <w:pPr>
        <w:pStyle w:val="ListParagraph"/>
        <w:numPr>
          <w:ilvl w:val="0"/>
          <w:numId w:val="17"/>
        </w:numPr>
        <w:spacing w:after="120"/>
        <w:contextualSpacing w:val="0"/>
      </w:pPr>
      <w:r w:rsidRPr="00C45FBB">
        <w:t>A</w:t>
      </w:r>
      <w:r w:rsidR="00E51448" w:rsidRPr="00C45FBB">
        <w:t xml:space="preserve"> </w:t>
      </w:r>
      <w:r w:rsidR="0067692E" w:rsidRPr="00C45FBB">
        <w:t>building contractor or building industry participant</w:t>
      </w:r>
      <w:r w:rsidR="00E51448" w:rsidRPr="00C45FBB">
        <w:t xml:space="preserve"> </w:t>
      </w:r>
      <w:r w:rsidR="00AE43CA" w:rsidRPr="00C45FBB">
        <w:t>doe</w:t>
      </w:r>
      <w:r w:rsidR="00E51448" w:rsidRPr="00C45FBB">
        <w:t xml:space="preserve">s not </w:t>
      </w:r>
      <w:r w:rsidR="00AE43CA" w:rsidRPr="00C45FBB">
        <w:t>need</w:t>
      </w:r>
      <w:r w:rsidR="00E51448" w:rsidRPr="00C45FBB">
        <w:t xml:space="preserve"> to</w:t>
      </w:r>
      <w:r w:rsidR="009D0ADB" w:rsidRPr="00C45FBB">
        <w:t xml:space="preserve"> take action to ensure </w:t>
      </w:r>
      <w:r w:rsidR="00AE43CA" w:rsidRPr="00C45FBB">
        <w:t xml:space="preserve">that </w:t>
      </w:r>
      <w:r w:rsidR="00E51448" w:rsidRPr="00C45FBB">
        <w:t>enterprise agreement</w:t>
      </w:r>
      <w:r w:rsidR="00AE43CA" w:rsidRPr="00C45FBB">
        <w:t>s</w:t>
      </w:r>
      <w:r w:rsidR="00E51448" w:rsidRPr="00C45FBB">
        <w:t xml:space="preserve"> </w:t>
      </w:r>
      <w:r w:rsidR="00AE43CA" w:rsidRPr="00C45FBB">
        <w:t xml:space="preserve">made before 2 December 2016 </w:t>
      </w:r>
      <w:r w:rsidR="00E51448" w:rsidRPr="00C45FBB">
        <w:t xml:space="preserve">that </w:t>
      </w:r>
      <w:r w:rsidR="00AE43CA" w:rsidRPr="00C45FBB">
        <w:t>cover</w:t>
      </w:r>
      <w:r w:rsidR="00E51448" w:rsidRPr="00C45FBB">
        <w:t xml:space="preserve"> th</w:t>
      </w:r>
      <w:r w:rsidR="00AE43CA" w:rsidRPr="00C45FBB">
        <w:t xml:space="preserve">at contractor, participant </w:t>
      </w:r>
      <w:r w:rsidR="00A53A2A" w:rsidRPr="00C45FBB">
        <w:t xml:space="preserve">or related entity </w:t>
      </w:r>
      <w:r w:rsidR="00AE43CA" w:rsidRPr="00C45FBB">
        <w:t>are</w:t>
      </w:r>
      <w:r w:rsidR="009D0ADB" w:rsidRPr="00C45FBB">
        <w:t xml:space="preserve"> compliant </w:t>
      </w:r>
      <w:r w:rsidR="00AE43CA" w:rsidRPr="00C45FBB">
        <w:t xml:space="preserve">with the 2016 Code </w:t>
      </w:r>
      <w:r w:rsidR="009D0ADB" w:rsidRPr="00C45FBB">
        <w:t xml:space="preserve">if </w:t>
      </w:r>
      <w:r w:rsidR="00AE43CA" w:rsidRPr="00C45FBB">
        <w:t>those</w:t>
      </w:r>
      <w:r w:rsidR="009D0ADB" w:rsidRPr="00C45FBB">
        <w:t xml:space="preserve"> </w:t>
      </w:r>
      <w:r w:rsidR="00E51448" w:rsidRPr="00C45FBB">
        <w:t>enterprise agreement</w:t>
      </w:r>
      <w:r w:rsidR="00AE43CA" w:rsidRPr="00C45FBB">
        <w:t>s</w:t>
      </w:r>
      <w:r w:rsidR="00E51448" w:rsidRPr="00C45FBB">
        <w:t xml:space="preserve"> only </w:t>
      </w:r>
      <w:r w:rsidR="00AE43CA" w:rsidRPr="00C45FBB">
        <w:t xml:space="preserve">apply to building work that </w:t>
      </w:r>
      <w:r w:rsidR="00E51448" w:rsidRPr="00C45FBB">
        <w:t>relates to an expression of interest or tender lodged before 2 December 2016</w:t>
      </w:r>
      <w:r w:rsidR="00AE43CA" w:rsidRPr="00C45FBB">
        <w:t xml:space="preserve"> (i.e. building work to which the </w:t>
      </w:r>
      <w:r w:rsidR="00AE43CA" w:rsidRPr="00C45FBB">
        <w:rPr>
          <w:i/>
        </w:rPr>
        <w:t>Building Code 2013</w:t>
      </w:r>
      <w:r w:rsidR="00AE43CA" w:rsidRPr="00C45FBB">
        <w:t xml:space="preserve"> applies or applied) (paragraph 1(2</w:t>
      </w:r>
      <w:proofErr w:type="gramStart"/>
      <w:r w:rsidR="00AE43CA" w:rsidRPr="00C45FBB">
        <w:t>)(</w:t>
      </w:r>
      <w:proofErr w:type="gramEnd"/>
      <w:r w:rsidR="00AE43CA" w:rsidRPr="00C45FBB">
        <w:t>a))</w:t>
      </w:r>
      <w:r w:rsidR="00C45FBB">
        <w:t>.</w:t>
      </w:r>
    </w:p>
    <w:p w:rsidR="009D0ADB" w:rsidRPr="00C45FBB" w:rsidRDefault="00AE43CA" w:rsidP="00CE004D">
      <w:pPr>
        <w:pStyle w:val="ListParagraph"/>
        <w:numPr>
          <w:ilvl w:val="0"/>
          <w:numId w:val="17"/>
        </w:numPr>
        <w:spacing w:after="120"/>
        <w:contextualSpacing w:val="0"/>
      </w:pPr>
      <w:r w:rsidRPr="00C45FBB">
        <w:t xml:space="preserve">This means </w:t>
      </w:r>
      <w:r w:rsidR="00E3772F" w:rsidRPr="00C45FBB">
        <w:t>that</w:t>
      </w:r>
      <w:r w:rsidRPr="00C45FBB">
        <w:t xml:space="preserve"> building contractors and building</w:t>
      </w:r>
      <w:r w:rsidR="00E3772F" w:rsidRPr="00C45FBB">
        <w:t xml:space="preserve"> industry participants do not need to </w:t>
      </w:r>
      <w:r w:rsidRPr="00C45FBB">
        <w:t xml:space="preserve">make enterprise agreements made before 2 December 2016 compliant </w:t>
      </w:r>
      <w:r w:rsidR="00E3772F" w:rsidRPr="00C45FBB">
        <w:t xml:space="preserve">with the 2016 Code </w:t>
      </w:r>
      <w:r w:rsidRPr="00C45FBB">
        <w:t>if those enterprise agreements will not apply to any building work for which an expression of interest or tender was lodged after the commencement of the 2016 Code</w:t>
      </w:r>
      <w:r w:rsidR="00E3772F" w:rsidRPr="00C45FBB">
        <w:t xml:space="preserve"> (i.e. building work to which the 2016 Code applies)</w:t>
      </w:r>
      <w:r w:rsidRPr="00C45FBB">
        <w:t>.</w:t>
      </w:r>
    </w:p>
    <w:p w:rsidR="006405F7" w:rsidRPr="00C45FBB" w:rsidRDefault="00AE43CA" w:rsidP="00CE004D">
      <w:pPr>
        <w:pStyle w:val="ListParagraph"/>
        <w:numPr>
          <w:ilvl w:val="0"/>
          <w:numId w:val="17"/>
        </w:numPr>
        <w:spacing w:after="120"/>
        <w:contextualSpacing w:val="0"/>
      </w:pPr>
      <w:r w:rsidRPr="00C45FBB">
        <w:t>A</w:t>
      </w:r>
      <w:r w:rsidR="006405F7" w:rsidRPr="00C45FBB">
        <w:t xml:space="preserve"> </w:t>
      </w:r>
      <w:r w:rsidR="00E3772F" w:rsidRPr="00C45FBB">
        <w:t xml:space="preserve">building contractor or </w:t>
      </w:r>
      <w:r w:rsidR="004141C0" w:rsidRPr="00C45FBB">
        <w:t>building industry participant</w:t>
      </w:r>
      <w:r w:rsidR="006E0FAE" w:rsidRPr="00C45FBB">
        <w:t xml:space="preserve"> </w:t>
      </w:r>
      <w:r w:rsidR="006405F7" w:rsidRPr="00C45FBB">
        <w:t xml:space="preserve">may lodge expressions of interest, tender for and be awarded Commonwealth funded building work even if </w:t>
      </w:r>
      <w:r w:rsidR="009D0ADB" w:rsidRPr="00C45FBB">
        <w:t>the</w:t>
      </w:r>
      <w:r w:rsidR="00E3772F" w:rsidRPr="00C45FBB">
        <w:t xml:space="preserve"> contractor, participant</w:t>
      </w:r>
      <w:r w:rsidR="00A53A2A" w:rsidRPr="00C45FBB">
        <w:t xml:space="preserve"> or a </w:t>
      </w:r>
      <w:r w:rsidR="009D0ADB" w:rsidRPr="00C45FBB">
        <w:t xml:space="preserve">related entity </w:t>
      </w:r>
      <w:r w:rsidR="00E3772F" w:rsidRPr="00C45FBB">
        <w:t>is</w:t>
      </w:r>
      <w:r w:rsidR="00E3772F" w:rsidRPr="00C45FBB">
        <w:t xml:space="preserve"> </w:t>
      </w:r>
      <w:r w:rsidR="009D0ADB" w:rsidRPr="00C45FBB">
        <w:t xml:space="preserve">covered by an enterprise agreement made before 25 April 2014 </w:t>
      </w:r>
      <w:r w:rsidR="006405F7" w:rsidRPr="00C45FBB">
        <w:t xml:space="preserve">that </w:t>
      </w:r>
      <w:r w:rsidR="00E3772F" w:rsidRPr="00C45FBB">
        <w:t>doe</w:t>
      </w:r>
      <w:r w:rsidR="006405F7" w:rsidRPr="00C45FBB">
        <w:t xml:space="preserve">s not </w:t>
      </w:r>
      <w:r w:rsidR="00E3772F" w:rsidRPr="00C45FBB">
        <w:t xml:space="preserve">comply with the 2016 Code, provided </w:t>
      </w:r>
      <w:r w:rsidR="004141C0" w:rsidRPr="00C45FBB">
        <w:t xml:space="preserve">that agreement </w:t>
      </w:r>
      <w:r w:rsidR="006E0FAE" w:rsidRPr="00C45FBB">
        <w:t xml:space="preserve">has </w:t>
      </w:r>
      <w:r w:rsidR="00E3772F" w:rsidRPr="00C45FBB">
        <w:t xml:space="preserve">not </w:t>
      </w:r>
      <w:r w:rsidR="006E0FAE" w:rsidRPr="00C45FBB">
        <w:t xml:space="preserve">been </w:t>
      </w:r>
      <w:r w:rsidR="004141C0" w:rsidRPr="00C45FBB">
        <w:t xml:space="preserve">varied </w:t>
      </w:r>
      <w:r w:rsidR="00E3772F" w:rsidRPr="00C45FBB">
        <w:t>in accordance with section 207 of the</w:t>
      </w:r>
      <w:r w:rsidR="00C45FBB">
        <w:t xml:space="preserve"> FW Act</w:t>
      </w:r>
      <w:r w:rsidR="00E3772F" w:rsidRPr="00C45FBB">
        <w:t xml:space="preserve"> (paragraph 1(2</w:t>
      </w:r>
      <w:proofErr w:type="gramStart"/>
      <w:r w:rsidR="00E3772F" w:rsidRPr="00C45FBB">
        <w:t>)(</w:t>
      </w:r>
      <w:proofErr w:type="gramEnd"/>
      <w:r w:rsidR="00E3772F" w:rsidRPr="00C45FBB">
        <w:t>b))</w:t>
      </w:r>
      <w:r w:rsidR="00A53A2A" w:rsidRPr="00C45FBB">
        <w:t>.</w:t>
      </w:r>
      <w:r w:rsidR="00176318" w:rsidRPr="00C45FBB">
        <w:t xml:space="preserve"> </w:t>
      </w:r>
      <w:r w:rsidR="004141C0" w:rsidRPr="00C45FBB">
        <w:t xml:space="preserve"> </w:t>
      </w:r>
    </w:p>
    <w:p w:rsidR="00E3772F" w:rsidRPr="00C45FBB" w:rsidRDefault="00E3772F" w:rsidP="00CE004D">
      <w:pPr>
        <w:pStyle w:val="ListParagraph"/>
        <w:numPr>
          <w:ilvl w:val="0"/>
          <w:numId w:val="17"/>
        </w:numPr>
        <w:spacing w:after="120"/>
        <w:contextualSpacing w:val="0"/>
      </w:pPr>
      <w:r w:rsidRPr="00C45FBB">
        <w:t xml:space="preserve">This means that building contractors and building industry participants do not need to make enterprise agreements made on or before 24 April 2014 </w:t>
      </w:r>
      <w:r w:rsidR="00FB1F67" w:rsidRPr="00C45FBB">
        <w:t xml:space="preserve">(and not varied) </w:t>
      </w:r>
      <w:r w:rsidRPr="00C45FBB">
        <w:t>compliant with the 2016 Code.</w:t>
      </w:r>
    </w:p>
    <w:p w:rsidR="006405F7" w:rsidRPr="00C45FBB" w:rsidRDefault="00E3772F" w:rsidP="00FB1F67">
      <w:pPr>
        <w:pStyle w:val="ListParagraph"/>
        <w:numPr>
          <w:ilvl w:val="0"/>
          <w:numId w:val="17"/>
        </w:numPr>
        <w:spacing w:after="120"/>
        <w:contextualSpacing w:val="0"/>
      </w:pPr>
      <w:r w:rsidRPr="00C45FBB">
        <w:t xml:space="preserve">This reflects the intention, as stated in the advance release of the </w:t>
      </w:r>
      <w:r w:rsidR="00FB1F67" w:rsidRPr="00C45FBB">
        <w:t xml:space="preserve">code of practice </w:t>
      </w:r>
      <w:r w:rsidRPr="00C45FBB">
        <w:t xml:space="preserve">that was </w:t>
      </w:r>
      <w:r w:rsidR="00FB1F67" w:rsidRPr="00C45FBB">
        <w:t xml:space="preserve">made available </w:t>
      </w:r>
      <w:r w:rsidRPr="00C45FBB">
        <w:t xml:space="preserve">on the Department of Employment’s website in April 2014 and updated in November 2014 that the enterprise agreement content rules would only apply to enterprise agreements </w:t>
      </w:r>
      <w:r w:rsidR="00FB1F67" w:rsidRPr="00C45FBB">
        <w:t xml:space="preserve">that were </w:t>
      </w:r>
      <w:r w:rsidRPr="00C45FBB">
        <w:t xml:space="preserve">made after 24 April 2014. </w:t>
      </w:r>
      <w:r w:rsidR="006405F7" w:rsidRPr="00C45FBB">
        <w:t xml:space="preserve"> </w:t>
      </w:r>
    </w:p>
    <w:p w:rsidR="00FB1F67" w:rsidRPr="00C45FBB" w:rsidRDefault="00FB1F67" w:rsidP="00C45FBB">
      <w:pPr>
        <w:pStyle w:val="ListParagraph"/>
        <w:keepLines/>
        <w:numPr>
          <w:ilvl w:val="0"/>
          <w:numId w:val="6"/>
        </w:numPr>
        <w:spacing w:after="120"/>
        <w:ind w:left="567" w:hanging="567"/>
        <w:contextualSpacing w:val="0"/>
      </w:pPr>
      <w:r w:rsidRPr="00C45FBB">
        <w:t>Other than as provided in item 1 of new Schedule 5</w:t>
      </w:r>
      <w:r w:rsidRPr="00C45FBB">
        <w:t>, from 1 September 2017 onwards, a building contractor or building industry participant may only lodge expressions of interest, tender for and be awarded Commonwealth funded building work if any enterprise agreement in respect of building work that covers them, or a related entity, is code compliant.</w:t>
      </w:r>
    </w:p>
    <w:p w:rsidR="00FB1F67" w:rsidRPr="00C45FBB" w:rsidRDefault="00FB1F67" w:rsidP="00C45FBB">
      <w:pPr>
        <w:pStyle w:val="ListParagraph"/>
        <w:keepLines/>
        <w:numPr>
          <w:ilvl w:val="0"/>
          <w:numId w:val="6"/>
        </w:numPr>
        <w:spacing w:after="120"/>
        <w:ind w:left="567" w:hanging="567"/>
        <w:contextualSpacing w:val="0"/>
      </w:pPr>
      <w:r w:rsidRPr="00C45FBB">
        <w:t xml:space="preserve">For the avoidance of doubt, a building contractor or building industry participant that was awarded Commonwealth funded building work before the commencement of the Amendment Act is entitled to undertake, or continue to undertake, that work after the commencement of the Amendment Act. </w:t>
      </w:r>
    </w:p>
    <w:p w:rsidR="00354FE1" w:rsidRPr="00C45FBB" w:rsidRDefault="00354FE1" w:rsidP="000E5C38">
      <w:pPr>
        <w:tabs>
          <w:tab w:val="right" w:pos="4536"/>
        </w:tabs>
        <w:spacing w:after="120"/>
        <w:ind w:left="5760" w:right="91" w:hanging="5760"/>
        <w:jc w:val="right"/>
        <w:rPr>
          <w:u w:val="single"/>
        </w:rPr>
        <w:sectPr w:rsidR="00354FE1" w:rsidRPr="00C45FBB">
          <w:pgSz w:w="11906" w:h="16838"/>
          <w:pgMar w:top="1440" w:right="1440" w:bottom="1440" w:left="1440" w:header="708" w:footer="708" w:gutter="0"/>
          <w:cols w:space="708"/>
          <w:docGrid w:linePitch="360"/>
        </w:sectPr>
      </w:pPr>
    </w:p>
    <w:p w:rsidR="000E5C38" w:rsidRDefault="000E5C38" w:rsidP="000E5C38">
      <w:pPr>
        <w:tabs>
          <w:tab w:val="right" w:pos="4536"/>
        </w:tabs>
        <w:spacing w:after="120"/>
        <w:ind w:left="5760" w:right="91" w:hanging="5760"/>
        <w:jc w:val="right"/>
        <w:rPr>
          <w:b/>
        </w:rPr>
      </w:pPr>
      <w:r>
        <w:rPr>
          <w:b/>
          <w:u w:val="single"/>
        </w:rPr>
        <w:t>ATTACHMENT B</w:t>
      </w:r>
    </w:p>
    <w:p w:rsidR="0060004B" w:rsidRDefault="0060004B" w:rsidP="000E5C38">
      <w:pPr>
        <w:pStyle w:val="OverviewNotesheading"/>
        <w:spacing w:after="120" w:line="240" w:lineRule="auto"/>
        <w:jc w:val="center"/>
        <w:rPr>
          <w:rFonts w:ascii="Times New Roman" w:hAnsi="Times New Roman"/>
          <w:sz w:val="24"/>
          <w:szCs w:val="24"/>
          <w:u w:val="none"/>
        </w:rPr>
      </w:pPr>
    </w:p>
    <w:p w:rsidR="000E5C38" w:rsidRPr="005500AC" w:rsidRDefault="000E5C38" w:rsidP="00CE004D">
      <w:pPr>
        <w:pStyle w:val="OverviewNotesheading"/>
        <w:spacing w:after="240" w:line="240" w:lineRule="auto"/>
        <w:jc w:val="center"/>
        <w:rPr>
          <w:rFonts w:ascii="Times New Roman" w:hAnsi="Times New Roman"/>
          <w:sz w:val="24"/>
          <w:szCs w:val="24"/>
          <w:u w:val="none"/>
        </w:rPr>
      </w:pPr>
      <w:r w:rsidRPr="005500AC">
        <w:rPr>
          <w:rFonts w:ascii="Times New Roman" w:hAnsi="Times New Roman"/>
          <w:sz w:val="24"/>
          <w:szCs w:val="24"/>
          <w:u w:val="none"/>
        </w:rPr>
        <w:t>Statement of Compatibility with Human Rights</w:t>
      </w:r>
    </w:p>
    <w:p w:rsidR="000E5C38" w:rsidRPr="00981092" w:rsidRDefault="000E5C38" w:rsidP="00CE004D">
      <w:pPr>
        <w:spacing w:after="240"/>
        <w:rPr>
          <w:i/>
        </w:rPr>
      </w:pPr>
      <w:r w:rsidRPr="00981092">
        <w:rPr>
          <w:i/>
        </w:rPr>
        <w:t>Prepared in accordance with Part 3 of the Human Rights (Parliamentary Scrutiny) Act 2011</w:t>
      </w:r>
    </w:p>
    <w:p w:rsidR="000E5C38" w:rsidRDefault="0060004B" w:rsidP="00CE004D">
      <w:pPr>
        <w:spacing w:after="240"/>
        <w:rPr>
          <w:rFonts w:eastAsiaTheme="minorHAnsi"/>
          <w:b/>
          <w:i/>
          <w:lang w:eastAsia="en-US"/>
        </w:rPr>
      </w:pPr>
      <w:r>
        <w:rPr>
          <w:rFonts w:eastAsiaTheme="minorHAnsi"/>
          <w:b/>
          <w:i/>
          <w:lang w:eastAsia="en-US"/>
        </w:rPr>
        <w:t xml:space="preserve">Code for the Tendering and Performance of </w:t>
      </w:r>
      <w:r w:rsidR="009B46FE">
        <w:rPr>
          <w:rFonts w:eastAsiaTheme="minorHAnsi"/>
          <w:b/>
          <w:i/>
          <w:lang w:eastAsia="en-US"/>
        </w:rPr>
        <w:t>Building</w:t>
      </w:r>
      <w:r>
        <w:rPr>
          <w:rFonts w:eastAsiaTheme="minorHAnsi"/>
          <w:b/>
          <w:i/>
          <w:lang w:eastAsia="en-US"/>
        </w:rPr>
        <w:t xml:space="preserve"> Work Amendment Instrument 2017 </w:t>
      </w:r>
    </w:p>
    <w:p w:rsidR="000E5C38" w:rsidRPr="00981092" w:rsidRDefault="000E5C38" w:rsidP="000E5C38">
      <w:pPr>
        <w:spacing w:after="120"/>
        <w:rPr>
          <w:rFonts w:eastAsiaTheme="minorHAnsi"/>
          <w:lang w:eastAsia="en-US"/>
        </w:rPr>
      </w:pPr>
      <w:r w:rsidRPr="00981092">
        <w:rPr>
          <w:rFonts w:eastAsiaTheme="minorHAnsi"/>
          <w:lang w:eastAsia="en-US"/>
        </w:rPr>
        <w:t>Th</w:t>
      </w:r>
      <w:r>
        <w:rPr>
          <w:rFonts w:eastAsiaTheme="minorHAnsi"/>
          <w:lang w:eastAsia="en-US"/>
        </w:rPr>
        <w:t xml:space="preserve">e </w:t>
      </w:r>
      <w:r>
        <w:rPr>
          <w:rFonts w:eastAsiaTheme="minorHAnsi"/>
          <w:i/>
          <w:lang w:eastAsia="en-US"/>
        </w:rPr>
        <w:t xml:space="preserve">Code for the Tendering and Performance of Building Work Amendment Instrument 2017 </w:t>
      </w:r>
      <w:r>
        <w:rPr>
          <w:rFonts w:eastAsiaTheme="minorHAnsi"/>
          <w:lang w:eastAsia="en-US"/>
        </w:rPr>
        <w:t>(</w:t>
      </w:r>
      <w:r w:rsidR="0061311C">
        <w:rPr>
          <w:rFonts w:eastAsiaTheme="minorHAnsi"/>
          <w:lang w:eastAsia="en-US"/>
        </w:rPr>
        <w:t xml:space="preserve">the </w:t>
      </w:r>
      <w:r>
        <w:rPr>
          <w:rFonts w:eastAsiaTheme="minorHAnsi"/>
          <w:lang w:eastAsia="en-US"/>
        </w:rPr>
        <w:t>Amendment Instrument) is</w:t>
      </w:r>
      <w:r w:rsidRPr="00981092">
        <w:rPr>
          <w:rFonts w:eastAsiaTheme="minorHAnsi"/>
          <w:lang w:eastAsia="en-US"/>
        </w:rPr>
        <w:t xml:space="preserve"> compatible with the human rights and freedoms recognised or declared in the international instruments listed in section 3 of the </w:t>
      </w:r>
      <w:r w:rsidRPr="00981092">
        <w:rPr>
          <w:rFonts w:eastAsiaTheme="minorHAnsi"/>
          <w:i/>
          <w:lang w:eastAsia="en-US"/>
        </w:rPr>
        <w:t>Human Rights</w:t>
      </w:r>
      <w:r>
        <w:rPr>
          <w:rFonts w:eastAsiaTheme="minorHAnsi"/>
          <w:i/>
          <w:lang w:eastAsia="en-US"/>
        </w:rPr>
        <w:t xml:space="preserve"> </w:t>
      </w:r>
      <w:r w:rsidRPr="00981092">
        <w:rPr>
          <w:rFonts w:eastAsiaTheme="minorHAnsi"/>
          <w:i/>
          <w:lang w:eastAsia="en-US"/>
        </w:rPr>
        <w:t>(Parliamentary Scrutiny) Act 2011</w:t>
      </w:r>
      <w:r w:rsidRPr="00981092">
        <w:rPr>
          <w:rFonts w:eastAsiaTheme="minorHAnsi"/>
          <w:lang w:eastAsia="en-US"/>
        </w:rPr>
        <w:t>.</w:t>
      </w:r>
    </w:p>
    <w:p w:rsidR="000E5C38" w:rsidRPr="00981092" w:rsidRDefault="000E5C38" w:rsidP="004339A9">
      <w:pPr>
        <w:spacing w:after="120"/>
        <w:rPr>
          <w:rFonts w:eastAsiaTheme="minorHAnsi"/>
          <w:b/>
          <w:lang w:eastAsia="en-US"/>
        </w:rPr>
      </w:pPr>
      <w:r w:rsidRPr="00981092">
        <w:rPr>
          <w:rFonts w:eastAsiaTheme="minorHAnsi"/>
          <w:b/>
          <w:lang w:eastAsia="en-US"/>
        </w:rPr>
        <w:t xml:space="preserve">Overview </w:t>
      </w:r>
    </w:p>
    <w:p w:rsidR="0061311C" w:rsidRDefault="0061311C" w:rsidP="004339A9">
      <w:pPr>
        <w:autoSpaceDE w:val="0"/>
        <w:autoSpaceDN w:val="0"/>
        <w:adjustRightInd w:val="0"/>
        <w:spacing w:after="120"/>
      </w:pPr>
      <w:r>
        <w:t xml:space="preserve">The </w:t>
      </w:r>
      <w:r>
        <w:rPr>
          <w:i/>
        </w:rPr>
        <w:t xml:space="preserve">Code for the Tendering and Performance of Building Work 2016 </w:t>
      </w:r>
      <w:r>
        <w:t xml:space="preserve">(the 2016 Code), issued under subsection 34(1) of </w:t>
      </w:r>
      <w:r w:rsidR="00FB1F67">
        <w:t xml:space="preserve">the </w:t>
      </w:r>
      <w:r w:rsidR="00FB1F67" w:rsidRPr="00FB1F67">
        <w:rPr>
          <w:i/>
        </w:rPr>
        <w:t>Building and Construction Industry (Improving Productivity) Act 2016</w:t>
      </w:r>
      <w:r w:rsidR="00FB1F67">
        <w:t xml:space="preserve"> (</w:t>
      </w:r>
      <w:r>
        <w:t xml:space="preserve">the </w:t>
      </w:r>
      <w:proofErr w:type="spellStart"/>
      <w:r>
        <w:t>BCI</w:t>
      </w:r>
      <w:proofErr w:type="spellEnd"/>
      <w:r>
        <w:t xml:space="preserve"> Act</w:t>
      </w:r>
      <w:r w:rsidR="00FB1F67">
        <w:t>)</w:t>
      </w:r>
      <w:r>
        <w:t>, contains requirements in relation to enterprise agreement content that affect the eligibility of a building contractor or building industry participant to submit expressions of interest, tender for and be awarded Commonwealth funded building work. The 2016 Code commenced on 2 December 2016.</w:t>
      </w:r>
    </w:p>
    <w:p w:rsidR="0061311C" w:rsidRDefault="0061311C" w:rsidP="004339A9">
      <w:pPr>
        <w:shd w:val="clear" w:color="auto" w:fill="FFFFFF"/>
        <w:spacing w:after="120"/>
        <w:rPr>
          <w:color w:val="000000"/>
        </w:rPr>
      </w:pPr>
      <w:r>
        <w:rPr>
          <w:color w:val="000000"/>
          <w:shd w:val="clear" w:color="auto" w:fill="FFFFFF"/>
        </w:rPr>
        <w:t>The human right</w:t>
      </w:r>
      <w:r w:rsidR="00C45FBB">
        <w:rPr>
          <w:color w:val="000000"/>
          <w:shd w:val="clear" w:color="auto" w:fill="FFFFFF"/>
        </w:rPr>
        <w:t>s</w:t>
      </w:r>
      <w:r>
        <w:rPr>
          <w:color w:val="000000"/>
          <w:shd w:val="clear" w:color="auto" w:fill="FFFFFF"/>
        </w:rPr>
        <w:t xml:space="preserve"> implications of the enterprise agreement content requirements are dealt with comprehensively in the Statement of Compatibility with Human Rights for the 2016 Code.</w:t>
      </w:r>
      <w:r>
        <w:rPr>
          <w:rStyle w:val="FootnoteReference"/>
          <w:color w:val="000000"/>
          <w:shd w:val="clear" w:color="auto" w:fill="FFFFFF"/>
        </w:rPr>
        <w:footnoteReference w:id="1"/>
      </w:r>
    </w:p>
    <w:p w:rsidR="0061311C" w:rsidRDefault="0061311C" w:rsidP="004339A9">
      <w:pPr>
        <w:autoSpaceDE w:val="0"/>
        <w:autoSpaceDN w:val="0"/>
        <w:adjustRightInd w:val="0"/>
        <w:spacing w:after="120"/>
      </w:pPr>
      <w:r>
        <w:t xml:space="preserve">The 2016 Code currently provides that until 29 November 2018, the enterprise agreement content rules in sections 11, </w:t>
      </w:r>
      <w:proofErr w:type="spellStart"/>
      <w:r>
        <w:t>11A</w:t>
      </w:r>
      <w:proofErr w:type="spellEnd"/>
      <w:r>
        <w:t xml:space="preserve"> and 15 do not apply in respect of an enterprise agreement made before 2 December 2016. This means that building contractors and building industry participants that are covered by an enterprise agreement made before 2 December 2016 that is not code compliant are eligible to submit expressions of interest, tender for and be awarded Commonwealth funded building work before 29 November 2018.</w:t>
      </w:r>
    </w:p>
    <w:p w:rsidR="0061311C" w:rsidRDefault="0061311C" w:rsidP="004339A9">
      <w:pPr>
        <w:autoSpaceDE w:val="0"/>
        <w:autoSpaceDN w:val="0"/>
        <w:adjustRightInd w:val="0"/>
        <w:spacing w:after="120"/>
      </w:pPr>
      <w:r>
        <w:t>This reflected subsection 34(</w:t>
      </w:r>
      <w:proofErr w:type="spellStart"/>
      <w:r>
        <w:t>2E</w:t>
      </w:r>
      <w:proofErr w:type="spellEnd"/>
      <w:r>
        <w:t xml:space="preserve">) of the </w:t>
      </w:r>
      <w:proofErr w:type="spellStart"/>
      <w:r>
        <w:t>BCI</w:t>
      </w:r>
      <w:proofErr w:type="spellEnd"/>
      <w:r>
        <w:t xml:space="preserve"> Act as it stood prior to the commencement of the </w:t>
      </w:r>
      <w:r w:rsidRPr="0027094F">
        <w:rPr>
          <w:i/>
        </w:rPr>
        <w:t xml:space="preserve">Building and Construction Industry (Improving Productivity) Amendment Act 2017 </w:t>
      </w:r>
      <w:r>
        <w:t>(the </w:t>
      </w:r>
      <w:r w:rsidRPr="0027094F">
        <w:t>Amendment Act)</w:t>
      </w:r>
      <w:r>
        <w:t xml:space="preserve">. It provided that if a document issued under subsection 34(1) of the </w:t>
      </w:r>
      <w:proofErr w:type="spellStart"/>
      <w:r>
        <w:t>BCI</w:t>
      </w:r>
      <w:proofErr w:type="spellEnd"/>
      <w:r>
        <w:t> Act includes requirements in relation to the content of building enterprise agreements, a building industry participant may, before 29 November 2018, submit expressions of interest, tender for and be awarded building work funded (whether directly or indirectly) by the Commonwealth or a Commonwealth authority even if a building enterprise agreement, made before the document is issued, that covers the building industry participant does not comply with any one or more of the requirements.</w:t>
      </w:r>
    </w:p>
    <w:p w:rsidR="0061311C" w:rsidRDefault="0061311C" w:rsidP="004339A9">
      <w:pPr>
        <w:autoSpaceDE w:val="0"/>
        <w:autoSpaceDN w:val="0"/>
        <w:adjustRightInd w:val="0"/>
        <w:spacing w:after="120"/>
      </w:pPr>
      <w:r>
        <w:t xml:space="preserve">The </w:t>
      </w:r>
      <w:r w:rsidRPr="0027094F">
        <w:t>Amendment Act</w:t>
      </w:r>
      <w:r>
        <w:t xml:space="preserve"> amended subsection 34(</w:t>
      </w:r>
      <w:proofErr w:type="spellStart"/>
      <w:r>
        <w:t>2E</w:t>
      </w:r>
      <w:proofErr w:type="spellEnd"/>
      <w:r>
        <w:t xml:space="preserve">) of the </w:t>
      </w:r>
      <w:proofErr w:type="spellStart"/>
      <w:r>
        <w:t>BCI</w:t>
      </w:r>
      <w:proofErr w:type="spellEnd"/>
      <w:r>
        <w:t> Act to:</w:t>
      </w:r>
    </w:p>
    <w:p w:rsidR="0061311C" w:rsidRDefault="0061311C" w:rsidP="00A13C82">
      <w:pPr>
        <w:pStyle w:val="ListParagraph"/>
        <w:numPr>
          <w:ilvl w:val="0"/>
          <w:numId w:val="17"/>
        </w:numPr>
        <w:spacing w:after="120" w:line="276" w:lineRule="auto"/>
        <w:contextualSpacing w:val="0"/>
      </w:pPr>
      <w:r>
        <w:t>bring forward the expiry of the transitional exemption to the end of 31 August 2017; and</w:t>
      </w:r>
    </w:p>
    <w:p w:rsidR="0061311C" w:rsidRDefault="0061311C" w:rsidP="00A13C82">
      <w:pPr>
        <w:pStyle w:val="ListParagraph"/>
        <w:numPr>
          <w:ilvl w:val="0"/>
          <w:numId w:val="17"/>
        </w:numPr>
        <w:spacing w:after="120" w:line="276" w:lineRule="auto"/>
        <w:contextualSpacing w:val="0"/>
      </w:pPr>
      <w:proofErr w:type="gramStart"/>
      <w:r>
        <w:t>limit</w:t>
      </w:r>
      <w:proofErr w:type="gramEnd"/>
      <w:r>
        <w:t xml:space="preserve"> the scope of the transitional exemption to only enabling the submitting of expressions of interest or tenders.</w:t>
      </w:r>
    </w:p>
    <w:p w:rsidR="0061311C" w:rsidRDefault="0061311C" w:rsidP="004339A9">
      <w:pPr>
        <w:autoSpaceDE w:val="0"/>
        <w:autoSpaceDN w:val="0"/>
        <w:adjustRightInd w:val="0"/>
        <w:spacing w:after="120"/>
      </w:pPr>
      <w:r>
        <w:t>The Amendment Act also provides that the amendments made to subsection 34(</w:t>
      </w:r>
      <w:proofErr w:type="spellStart"/>
      <w:r>
        <w:t>2E</w:t>
      </w:r>
      <w:proofErr w:type="spellEnd"/>
      <w:r>
        <w:t xml:space="preserve">) of the </w:t>
      </w:r>
      <w:proofErr w:type="spellStart"/>
      <w:r>
        <w:t>BCI</w:t>
      </w:r>
      <w:proofErr w:type="spellEnd"/>
      <w:r>
        <w:t> Act only apply in relation to expressions of interest or tenders submitted after those amendments commence.</w:t>
      </w:r>
    </w:p>
    <w:p w:rsidR="00A32C11" w:rsidRDefault="0061311C" w:rsidP="004339A9">
      <w:pPr>
        <w:autoSpaceDE w:val="0"/>
        <w:autoSpaceDN w:val="0"/>
        <w:adjustRightInd w:val="0"/>
        <w:spacing w:after="120"/>
      </w:pPr>
      <w:r>
        <w:t>The purpose of the Amendment Instrument is to align the 2016 Code with new subsection 34(</w:t>
      </w:r>
      <w:proofErr w:type="spellStart"/>
      <w:r>
        <w:t>2E</w:t>
      </w:r>
      <w:proofErr w:type="spellEnd"/>
      <w:r>
        <w:t xml:space="preserve">) of the </w:t>
      </w:r>
      <w:proofErr w:type="spellStart"/>
      <w:r>
        <w:t>BCI</w:t>
      </w:r>
      <w:proofErr w:type="spellEnd"/>
      <w:r>
        <w:t xml:space="preserve"> Act and to provide additional transitional exemptions to assist building contractors and building industry participants with the transition to compliance with the 2016 Code. </w:t>
      </w:r>
      <w:r>
        <w:rPr>
          <w:color w:val="000000"/>
        </w:rPr>
        <w:t>It does not introduce any new enterprise agreement content requirements into the 2016 Code.</w:t>
      </w:r>
    </w:p>
    <w:p w:rsidR="00A32C11" w:rsidRDefault="00A32C11" w:rsidP="004339A9">
      <w:pPr>
        <w:spacing w:after="120"/>
        <w:rPr>
          <w:b/>
        </w:rPr>
      </w:pPr>
      <w:r>
        <w:rPr>
          <w:b/>
        </w:rPr>
        <w:t>Human rights Implications</w:t>
      </w:r>
    </w:p>
    <w:p w:rsidR="009E02B2" w:rsidRDefault="0061311C" w:rsidP="004339A9">
      <w:pPr>
        <w:shd w:val="clear" w:color="auto" w:fill="FFFFFF"/>
        <w:spacing w:after="120"/>
        <w:rPr>
          <w:color w:val="000000"/>
        </w:rPr>
      </w:pPr>
      <w:r>
        <w:rPr>
          <w:color w:val="000000"/>
        </w:rPr>
        <w:t>T</w:t>
      </w:r>
      <w:r w:rsidR="009D0ADB">
        <w:rPr>
          <w:color w:val="000000"/>
        </w:rPr>
        <w:t xml:space="preserve">he </w:t>
      </w:r>
      <w:r>
        <w:rPr>
          <w:color w:val="000000"/>
        </w:rPr>
        <w:t>Amendment I</w:t>
      </w:r>
      <w:r w:rsidR="009D0ADB">
        <w:rPr>
          <w:color w:val="000000"/>
        </w:rPr>
        <w:t>nstrument</w:t>
      </w:r>
      <w:r w:rsidR="00D01F0A">
        <w:rPr>
          <w:color w:val="000000"/>
        </w:rPr>
        <w:t xml:space="preserve"> </w:t>
      </w:r>
      <w:r w:rsidR="008E5008">
        <w:rPr>
          <w:color w:val="000000"/>
        </w:rPr>
        <w:t xml:space="preserve">does not </w:t>
      </w:r>
      <w:r w:rsidR="00D01F0A">
        <w:rPr>
          <w:color w:val="000000"/>
        </w:rPr>
        <w:t>engage any</w:t>
      </w:r>
      <w:r w:rsidR="00504368">
        <w:rPr>
          <w:color w:val="000000"/>
        </w:rPr>
        <w:t xml:space="preserve"> of the applicabl</w:t>
      </w:r>
      <w:r>
        <w:rPr>
          <w:color w:val="000000"/>
        </w:rPr>
        <w:t>e</w:t>
      </w:r>
      <w:r w:rsidR="009E02B2">
        <w:rPr>
          <w:color w:val="000000"/>
        </w:rPr>
        <w:t xml:space="preserve"> rights</w:t>
      </w:r>
      <w:r w:rsidR="00504368">
        <w:rPr>
          <w:color w:val="000000"/>
        </w:rPr>
        <w:t xml:space="preserve"> </w:t>
      </w:r>
      <w:r>
        <w:rPr>
          <w:color w:val="000000"/>
        </w:rPr>
        <w:t>or</w:t>
      </w:r>
      <w:r w:rsidR="00504368">
        <w:rPr>
          <w:color w:val="000000"/>
        </w:rPr>
        <w:t xml:space="preserve"> freedoms</w:t>
      </w:r>
      <w:r w:rsidR="009E02B2">
        <w:rPr>
          <w:color w:val="000000"/>
        </w:rPr>
        <w:t xml:space="preserve">. </w:t>
      </w:r>
    </w:p>
    <w:p w:rsidR="008E5008" w:rsidRDefault="008E5008" w:rsidP="004339A9">
      <w:pPr>
        <w:shd w:val="clear" w:color="auto" w:fill="FFFFFF"/>
        <w:spacing w:after="120"/>
        <w:rPr>
          <w:b/>
          <w:color w:val="000000"/>
        </w:rPr>
      </w:pPr>
      <w:r>
        <w:rPr>
          <w:b/>
          <w:color w:val="000000"/>
        </w:rPr>
        <w:t>Conclusion</w:t>
      </w:r>
    </w:p>
    <w:p w:rsidR="008E5008" w:rsidRPr="006E5501" w:rsidRDefault="008E5008" w:rsidP="004339A9">
      <w:pPr>
        <w:pStyle w:val="SCHRtext"/>
        <w:keepNext/>
        <w:keepLines/>
        <w:spacing w:after="120"/>
      </w:pPr>
      <w:r w:rsidRPr="00BE169D">
        <w:t xml:space="preserve">The amendments to the </w:t>
      </w:r>
      <w:r w:rsidR="00CC0393">
        <w:t xml:space="preserve">2016 Code </w:t>
      </w:r>
      <w:r w:rsidR="0061311C">
        <w:t xml:space="preserve">contained in the Amendment Instrument </w:t>
      </w:r>
      <w:r w:rsidR="00CC0393">
        <w:t>a</w:t>
      </w:r>
      <w:r w:rsidRPr="00BE169D">
        <w:t xml:space="preserve">re compatible with human rights and freedoms recognised or declared in the international instruments listed in section 3 of the </w:t>
      </w:r>
      <w:r w:rsidRPr="00BE169D">
        <w:rPr>
          <w:i/>
        </w:rPr>
        <w:t>Human Rights (Parliamentary Scrutiny) Act 2011</w:t>
      </w:r>
      <w:r w:rsidR="00D8250B">
        <w:rPr>
          <w:i/>
        </w:rPr>
        <w:t xml:space="preserve"> </w:t>
      </w:r>
      <w:r w:rsidR="00D01F0A">
        <w:t xml:space="preserve">as </w:t>
      </w:r>
      <w:r w:rsidR="0061311C">
        <w:t>they</w:t>
      </w:r>
      <w:r w:rsidR="00D01F0A">
        <w:t xml:space="preserve"> do not engage </w:t>
      </w:r>
      <w:r w:rsidR="0061311C">
        <w:t>any of those rights or freedoms</w:t>
      </w:r>
      <w:r w:rsidRPr="00BE169D">
        <w:t xml:space="preserve">. </w:t>
      </w:r>
    </w:p>
    <w:p w:rsidR="008E5008" w:rsidRPr="006E5501" w:rsidRDefault="008E5008" w:rsidP="004339A9">
      <w:pPr>
        <w:keepLines/>
        <w:spacing w:after="120"/>
      </w:pPr>
      <w:r w:rsidRPr="006E5501">
        <w:rPr>
          <w:b/>
          <w:bCs/>
        </w:rPr>
        <w:t xml:space="preserve">Minister for Employment, Senator </w:t>
      </w:r>
      <w:r>
        <w:rPr>
          <w:b/>
        </w:rPr>
        <w:t>the Hon</w:t>
      </w:r>
      <w:r w:rsidRPr="006E5501">
        <w:rPr>
          <w:b/>
        </w:rPr>
        <w:t xml:space="preserve"> </w:t>
      </w:r>
      <w:r>
        <w:rPr>
          <w:b/>
        </w:rPr>
        <w:t>Michaelia Cash</w:t>
      </w:r>
      <w:r w:rsidRPr="006E5501">
        <w:rPr>
          <w:b/>
        </w:rPr>
        <w:t xml:space="preserve"> </w:t>
      </w:r>
    </w:p>
    <w:p w:rsidR="008E5008" w:rsidRPr="008E5008" w:rsidRDefault="008E5008" w:rsidP="004339A9">
      <w:pPr>
        <w:shd w:val="clear" w:color="auto" w:fill="FFFFFF"/>
        <w:spacing w:after="120"/>
        <w:rPr>
          <w:color w:val="000000"/>
        </w:rPr>
      </w:pPr>
    </w:p>
    <w:sectPr w:rsidR="008E5008" w:rsidRPr="008E50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FB" w:rsidRDefault="00007AFB">
      <w:r>
        <w:separator/>
      </w:r>
    </w:p>
  </w:endnote>
  <w:endnote w:type="continuationSeparator" w:id="0">
    <w:p w:rsidR="00007AFB" w:rsidRDefault="0000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591971"/>
      <w:docPartObj>
        <w:docPartGallery w:val="Page Numbers (Bottom of Page)"/>
        <w:docPartUnique/>
      </w:docPartObj>
    </w:sdtPr>
    <w:sdtEndPr>
      <w:rPr>
        <w:noProof/>
      </w:rPr>
    </w:sdtEndPr>
    <w:sdtContent>
      <w:p w:rsidR="00F07968" w:rsidRDefault="00F07968">
        <w:pPr>
          <w:pStyle w:val="Footer"/>
          <w:jc w:val="center"/>
        </w:pPr>
        <w:r>
          <w:fldChar w:fldCharType="begin"/>
        </w:r>
        <w:r>
          <w:instrText xml:space="preserve"> PAGE   \* MERGEFORMAT </w:instrText>
        </w:r>
        <w:r>
          <w:fldChar w:fldCharType="separate"/>
        </w:r>
        <w:r w:rsidR="00FC3026">
          <w:rPr>
            <w:noProof/>
          </w:rPr>
          <w:t>1</w:t>
        </w:r>
        <w:r>
          <w:rPr>
            <w:noProof/>
          </w:rPr>
          <w:fldChar w:fldCharType="end"/>
        </w:r>
      </w:p>
    </w:sdtContent>
  </w:sdt>
  <w:p w:rsidR="00F07968" w:rsidRDefault="00F0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FB" w:rsidRDefault="00007AFB">
      <w:r>
        <w:separator/>
      </w:r>
    </w:p>
  </w:footnote>
  <w:footnote w:type="continuationSeparator" w:id="0">
    <w:p w:rsidR="00007AFB" w:rsidRDefault="00007AFB">
      <w:r>
        <w:continuationSeparator/>
      </w:r>
    </w:p>
  </w:footnote>
  <w:footnote w:id="1">
    <w:p w:rsidR="0061311C" w:rsidRDefault="0061311C" w:rsidP="0061311C">
      <w:pPr>
        <w:pStyle w:val="FootnoteText"/>
      </w:pPr>
      <w:r>
        <w:rPr>
          <w:rStyle w:val="FootnoteReference"/>
        </w:rPr>
        <w:footnoteRef/>
      </w:r>
      <w:r>
        <w:t xml:space="preserve"> </w:t>
      </w:r>
      <w:r>
        <w:rPr>
          <w:i/>
        </w:rPr>
        <w:t xml:space="preserve">Explanatory Statement to the Code for the Tendering and Performance of Building Work </w:t>
      </w:r>
      <w:hyperlink r:id="rId1" w:history="1">
        <w:r w:rsidRPr="00BD165F">
          <w:rPr>
            <w:rStyle w:val="Hyperlink"/>
          </w:rPr>
          <w:t>https://www.legislation.gov.au/Details/F2016L01859/Explanatory%20Statement/Text</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7ADAD2"/>
    <w:lvl w:ilvl="0">
      <w:start w:val="1"/>
      <w:numFmt w:val="decimal"/>
      <w:lvlText w:val="%1."/>
      <w:lvlJc w:val="left"/>
      <w:pPr>
        <w:tabs>
          <w:tab w:val="num" w:pos="360"/>
        </w:tabs>
        <w:ind w:left="360" w:hanging="360"/>
      </w:pPr>
    </w:lvl>
  </w:abstractNum>
  <w:abstractNum w:abstractNumId="1">
    <w:nsid w:val="012813D4"/>
    <w:multiLevelType w:val="hybridMultilevel"/>
    <w:tmpl w:val="14D0BB4A"/>
    <w:lvl w:ilvl="0" w:tplc="9F36633C">
      <w:start w:val="1"/>
      <w:numFmt w:val="decimal"/>
      <w:lvlText w:val="%1."/>
      <w:lvlJc w:val="left"/>
      <w:pPr>
        <w:ind w:left="928" w:hanging="360"/>
      </w:pPr>
      <w:rPr>
        <w:rFonts w:ascii="Times New Roman" w:hAnsi="Times New Roman" w:cs="Times New Roman" w:hint="default"/>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DB4328C"/>
    <w:multiLevelType w:val="hybridMultilevel"/>
    <w:tmpl w:val="BC9AF18C"/>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3">
    <w:nsid w:val="2070279E"/>
    <w:multiLevelType w:val="hybridMultilevel"/>
    <w:tmpl w:val="079A03DC"/>
    <w:lvl w:ilvl="0" w:tplc="0C090001">
      <w:start w:val="1"/>
      <w:numFmt w:val="bullet"/>
      <w:lvlText w:val=""/>
      <w:lvlJc w:val="left"/>
      <w:pPr>
        <w:ind w:left="928" w:hanging="360"/>
      </w:pPr>
      <w:rPr>
        <w:rFonts w:ascii="Symbol" w:hAnsi="Symbol" w:hint="default"/>
        <w:sz w:val="22"/>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DF0931"/>
    <w:multiLevelType w:val="hybridMultilevel"/>
    <w:tmpl w:val="8A2E9192"/>
    <w:lvl w:ilvl="0" w:tplc="583C4FD8">
      <w:start w:val="20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644687"/>
    <w:multiLevelType w:val="hybridMultilevel"/>
    <w:tmpl w:val="E3386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3A4002"/>
    <w:multiLevelType w:val="hybridMultilevel"/>
    <w:tmpl w:val="7FDEDE2C"/>
    <w:lvl w:ilvl="0" w:tplc="9668ABE4">
      <w:start w:val="1"/>
      <w:numFmt w:val="decimal"/>
      <w:lvlText w:val="%1."/>
      <w:lvlJc w:val="left"/>
      <w:pPr>
        <w:ind w:left="928" w:hanging="360"/>
      </w:pPr>
      <w:rPr>
        <w:rFonts w:ascii="Times New Roman" w:hAnsi="Times New Roman" w:cs="Times New Roman" w:hint="default"/>
        <w:sz w:val="22"/>
      </w:rPr>
    </w:lvl>
    <w:lvl w:ilvl="1" w:tplc="3514C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651CC8"/>
    <w:multiLevelType w:val="hybridMultilevel"/>
    <w:tmpl w:val="21CCE94E"/>
    <w:lvl w:ilvl="0" w:tplc="9668ABE4">
      <w:start w:val="1"/>
      <w:numFmt w:val="decimal"/>
      <w:lvlText w:val="%1."/>
      <w:lvlJc w:val="left"/>
      <w:pPr>
        <w:ind w:left="928" w:hanging="360"/>
      </w:pPr>
      <w:rPr>
        <w:rFonts w:ascii="Times New Roman" w:hAnsi="Times New Roman" w:cs="Times New Roman" w:hint="default"/>
        <w:sz w:val="22"/>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A91455"/>
    <w:multiLevelType w:val="multilevel"/>
    <w:tmpl w:val="79C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E726E3C"/>
    <w:multiLevelType w:val="hybridMultilevel"/>
    <w:tmpl w:val="78FCF362"/>
    <w:lvl w:ilvl="0" w:tplc="9668ABE4">
      <w:start w:val="1"/>
      <w:numFmt w:val="decimal"/>
      <w:lvlText w:val="%1."/>
      <w:lvlJc w:val="left"/>
      <w:pPr>
        <w:ind w:left="928" w:hanging="360"/>
      </w:pPr>
      <w:rPr>
        <w:rFonts w:ascii="Times New Roman" w:hAnsi="Times New Roman" w:cs="Times New Roman" w:hint="default"/>
        <w:sz w:val="22"/>
      </w:rPr>
    </w:lvl>
    <w:lvl w:ilvl="1" w:tplc="3514C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E7560AD"/>
    <w:multiLevelType w:val="hybridMultilevel"/>
    <w:tmpl w:val="C0BA1DE2"/>
    <w:lvl w:ilvl="0" w:tplc="8A8CBC76">
      <w:start w:val="1"/>
      <w:numFmt w:val="decimal"/>
      <w:lvlText w:val="(%1)"/>
      <w:lvlJc w:val="left"/>
      <w:pPr>
        <w:ind w:left="360" w:hanging="360"/>
      </w:pPr>
      <w:rPr>
        <w:rFonts w:hint="default"/>
      </w:rPr>
    </w:lvl>
    <w:lvl w:ilvl="1" w:tplc="934AE7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29E613A"/>
    <w:multiLevelType w:val="hybridMultilevel"/>
    <w:tmpl w:val="6C7A05FA"/>
    <w:lvl w:ilvl="0" w:tplc="59E890B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476F85"/>
    <w:multiLevelType w:val="hybridMultilevel"/>
    <w:tmpl w:val="EF4CD6A2"/>
    <w:lvl w:ilvl="0" w:tplc="C330A3A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C755D4"/>
    <w:multiLevelType w:val="hybridMultilevel"/>
    <w:tmpl w:val="F30E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943CE7"/>
    <w:multiLevelType w:val="hybridMultilevel"/>
    <w:tmpl w:val="2436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6C17E57"/>
    <w:multiLevelType w:val="hybridMultilevel"/>
    <w:tmpl w:val="9120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82431A"/>
    <w:multiLevelType w:val="hybridMultilevel"/>
    <w:tmpl w:val="CB90C7AC"/>
    <w:lvl w:ilvl="0" w:tplc="CAFE1068">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AC136F"/>
    <w:multiLevelType w:val="hybridMultilevel"/>
    <w:tmpl w:val="6D32916A"/>
    <w:lvl w:ilvl="0" w:tplc="9668ABE4">
      <w:start w:val="1"/>
      <w:numFmt w:val="decimal"/>
      <w:lvlText w:val="%1."/>
      <w:lvlJc w:val="left"/>
      <w:pPr>
        <w:ind w:left="928" w:hanging="360"/>
      </w:pPr>
      <w:rPr>
        <w:rFonts w:ascii="Times New Roman" w:hAnsi="Times New Roman" w:cs="Times New Roman" w:hint="default"/>
        <w:sz w:val="22"/>
      </w:rPr>
    </w:lvl>
    <w:lvl w:ilvl="1" w:tplc="3514C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B060F6B"/>
    <w:multiLevelType w:val="multilevel"/>
    <w:tmpl w:val="5C8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801814"/>
    <w:multiLevelType w:val="hybridMultilevel"/>
    <w:tmpl w:val="1214EAAA"/>
    <w:lvl w:ilvl="0" w:tplc="44364E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954D6F"/>
    <w:multiLevelType w:val="hybridMultilevel"/>
    <w:tmpl w:val="D2802564"/>
    <w:lvl w:ilvl="0" w:tplc="3514C34A">
      <w:start w:val="1"/>
      <w:numFmt w:val="lowerLetter"/>
      <w:lvlText w:val="(%1)"/>
      <w:lvlJc w:val="left"/>
      <w:pPr>
        <w:ind w:left="928" w:hanging="360"/>
      </w:pPr>
      <w:rPr>
        <w:rFonts w:hint="default"/>
        <w:sz w:val="22"/>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91B6415"/>
    <w:multiLevelType w:val="hybridMultilevel"/>
    <w:tmpl w:val="007E5524"/>
    <w:lvl w:ilvl="0" w:tplc="A9ACD00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02638A"/>
    <w:multiLevelType w:val="hybridMultilevel"/>
    <w:tmpl w:val="8EDC234C"/>
    <w:lvl w:ilvl="0" w:tplc="85382856">
      <w:start w:val="1"/>
      <w:numFmt w:val="decimal"/>
      <w:pStyle w:val="Itemtextnumbered"/>
      <w:lvlText w:val="%1."/>
      <w:lvlJc w:val="left"/>
      <w:pPr>
        <w:tabs>
          <w:tab w:val="num" w:pos="227"/>
        </w:tabs>
        <w:ind w:left="284" w:hanging="284"/>
      </w:pPr>
      <w:rPr>
        <w:rFonts w:ascii="Times New Roman" w:hAnsi="Times New Roman" w:hint="default"/>
        <w:b w:val="0"/>
        <w:i w:val="0"/>
        <w:sz w:val="24"/>
      </w:rPr>
    </w:lvl>
    <w:lvl w:ilvl="1" w:tplc="0C09001B">
      <w:start w:val="1"/>
      <w:numFmt w:val="lowerRoman"/>
      <w:lvlText w:val="%2."/>
      <w:lvlJc w:val="right"/>
      <w:pPr>
        <w:tabs>
          <w:tab w:val="num" w:pos="502"/>
        </w:tabs>
        <w:ind w:left="502" w:hanging="360"/>
      </w:pPr>
      <w:rPr>
        <w:rFonts w:hint="default"/>
        <w:b/>
      </w:rPr>
    </w:lvl>
    <w:lvl w:ilvl="2" w:tplc="0C09001B">
      <w:start w:val="1"/>
      <w:numFmt w:val="lowerRoman"/>
      <w:lvlText w:val="%3."/>
      <w:lvlJc w:val="right"/>
      <w:pPr>
        <w:tabs>
          <w:tab w:val="num" w:pos="2160"/>
        </w:tabs>
        <w:ind w:left="2160" w:hanging="180"/>
      </w:pPr>
      <w:rPr>
        <w:b w:val="0"/>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5"/>
  </w:num>
  <w:num w:numId="4">
    <w:abstractNumId w:val="12"/>
  </w:num>
  <w:num w:numId="5">
    <w:abstractNumId w:val="11"/>
  </w:num>
  <w:num w:numId="6">
    <w:abstractNumId w:val="1"/>
  </w:num>
  <w:num w:numId="7">
    <w:abstractNumId w:val="14"/>
  </w:num>
  <w:num w:numId="8">
    <w:abstractNumId w:val="13"/>
  </w:num>
  <w:num w:numId="9">
    <w:abstractNumId w:val="7"/>
  </w:num>
  <w:num w:numId="10">
    <w:abstractNumId w:val="18"/>
  </w:num>
  <w:num w:numId="11">
    <w:abstractNumId w:val="4"/>
  </w:num>
  <w:num w:numId="12">
    <w:abstractNumId w:val="19"/>
  </w:num>
  <w:num w:numId="13">
    <w:abstractNumId w:val="8"/>
  </w:num>
  <w:num w:numId="14">
    <w:abstractNumId w:val="22"/>
  </w:num>
  <w:num w:numId="15">
    <w:abstractNumId w:val="16"/>
  </w:num>
  <w:num w:numId="16">
    <w:abstractNumId w:val="6"/>
  </w:num>
  <w:num w:numId="17">
    <w:abstractNumId w:val="3"/>
  </w:num>
  <w:num w:numId="18">
    <w:abstractNumId w:val="17"/>
  </w:num>
  <w:num w:numId="19">
    <w:abstractNumId w:val="10"/>
  </w:num>
  <w:num w:numId="20">
    <w:abstractNumId w:val="0"/>
  </w:num>
  <w:num w:numId="21">
    <w:abstractNumId w:val="2"/>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E4"/>
    <w:rsid w:val="000019F6"/>
    <w:rsid w:val="00007AFB"/>
    <w:rsid w:val="0001789D"/>
    <w:rsid w:val="00020457"/>
    <w:rsid w:val="0003776E"/>
    <w:rsid w:val="00051AAC"/>
    <w:rsid w:val="00054681"/>
    <w:rsid w:val="000573E3"/>
    <w:rsid w:val="0006720F"/>
    <w:rsid w:val="00076FDD"/>
    <w:rsid w:val="00081D93"/>
    <w:rsid w:val="0009738B"/>
    <w:rsid w:val="000B007C"/>
    <w:rsid w:val="000C0BC0"/>
    <w:rsid w:val="000C47D0"/>
    <w:rsid w:val="000D264C"/>
    <w:rsid w:val="000D5FF4"/>
    <w:rsid w:val="000E5C38"/>
    <w:rsid w:val="001019D8"/>
    <w:rsid w:val="00105A55"/>
    <w:rsid w:val="001176AD"/>
    <w:rsid w:val="001257EB"/>
    <w:rsid w:val="00164B62"/>
    <w:rsid w:val="00176318"/>
    <w:rsid w:val="001A006B"/>
    <w:rsid w:val="001E0E06"/>
    <w:rsid w:val="001E2575"/>
    <w:rsid w:val="001E7C3C"/>
    <w:rsid w:val="00222389"/>
    <w:rsid w:val="0027094F"/>
    <w:rsid w:val="002A7B76"/>
    <w:rsid w:val="002B320A"/>
    <w:rsid w:val="002F225C"/>
    <w:rsid w:val="002F2392"/>
    <w:rsid w:val="00316AA0"/>
    <w:rsid w:val="00354FE1"/>
    <w:rsid w:val="0039048F"/>
    <w:rsid w:val="0039531D"/>
    <w:rsid w:val="003A22A5"/>
    <w:rsid w:val="003F10B1"/>
    <w:rsid w:val="00400555"/>
    <w:rsid w:val="004141C0"/>
    <w:rsid w:val="00424AEB"/>
    <w:rsid w:val="004339A9"/>
    <w:rsid w:val="00434433"/>
    <w:rsid w:val="004354F7"/>
    <w:rsid w:val="00457CF5"/>
    <w:rsid w:val="00475B18"/>
    <w:rsid w:val="004863CE"/>
    <w:rsid w:val="00486E9E"/>
    <w:rsid w:val="00497F2B"/>
    <w:rsid w:val="004A14E4"/>
    <w:rsid w:val="004C1C09"/>
    <w:rsid w:val="00504368"/>
    <w:rsid w:val="005101C9"/>
    <w:rsid w:val="00531DF4"/>
    <w:rsid w:val="005510AC"/>
    <w:rsid w:val="005749B6"/>
    <w:rsid w:val="00587536"/>
    <w:rsid w:val="00596F8C"/>
    <w:rsid w:val="005C0047"/>
    <w:rsid w:val="005C2971"/>
    <w:rsid w:val="005D559D"/>
    <w:rsid w:val="005F384F"/>
    <w:rsid w:val="005F74C1"/>
    <w:rsid w:val="0060004B"/>
    <w:rsid w:val="00611A5D"/>
    <w:rsid w:val="0061311C"/>
    <w:rsid w:val="006245BF"/>
    <w:rsid w:val="006405F7"/>
    <w:rsid w:val="00664848"/>
    <w:rsid w:val="00671D08"/>
    <w:rsid w:val="0067692E"/>
    <w:rsid w:val="006948B1"/>
    <w:rsid w:val="006B2343"/>
    <w:rsid w:val="006C5F70"/>
    <w:rsid w:val="006E0FAE"/>
    <w:rsid w:val="006F7099"/>
    <w:rsid w:val="00703916"/>
    <w:rsid w:val="007225AD"/>
    <w:rsid w:val="00737714"/>
    <w:rsid w:val="00752634"/>
    <w:rsid w:val="007A7241"/>
    <w:rsid w:val="007B5382"/>
    <w:rsid w:val="007D18E9"/>
    <w:rsid w:val="007D4214"/>
    <w:rsid w:val="007E0E7D"/>
    <w:rsid w:val="007E33A4"/>
    <w:rsid w:val="007E7B54"/>
    <w:rsid w:val="008167F9"/>
    <w:rsid w:val="0082604C"/>
    <w:rsid w:val="00834717"/>
    <w:rsid w:val="00835A73"/>
    <w:rsid w:val="00884F91"/>
    <w:rsid w:val="008C4841"/>
    <w:rsid w:val="008C4AFF"/>
    <w:rsid w:val="008C78C2"/>
    <w:rsid w:val="008D3540"/>
    <w:rsid w:val="008D6399"/>
    <w:rsid w:val="008E5008"/>
    <w:rsid w:val="008F1781"/>
    <w:rsid w:val="008F5881"/>
    <w:rsid w:val="009251CC"/>
    <w:rsid w:val="00965ED3"/>
    <w:rsid w:val="0096683B"/>
    <w:rsid w:val="00974F9A"/>
    <w:rsid w:val="00996762"/>
    <w:rsid w:val="009B34BF"/>
    <w:rsid w:val="009B46FE"/>
    <w:rsid w:val="009C581A"/>
    <w:rsid w:val="009D0ADB"/>
    <w:rsid w:val="009E02B2"/>
    <w:rsid w:val="00A06D30"/>
    <w:rsid w:val="00A13C82"/>
    <w:rsid w:val="00A32C11"/>
    <w:rsid w:val="00A36CA8"/>
    <w:rsid w:val="00A53A2A"/>
    <w:rsid w:val="00A65DAD"/>
    <w:rsid w:val="00A71183"/>
    <w:rsid w:val="00A813A6"/>
    <w:rsid w:val="00A85C8C"/>
    <w:rsid w:val="00A93EB4"/>
    <w:rsid w:val="00AA2E94"/>
    <w:rsid w:val="00AE0FB1"/>
    <w:rsid w:val="00AE43CA"/>
    <w:rsid w:val="00AF4D0F"/>
    <w:rsid w:val="00B2311B"/>
    <w:rsid w:val="00B37EAE"/>
    <w:rsid w:val="00B42478"/>
    <w:rsid w:val="00B429CC"/>
    <w:rsid w:val="00B724A4"/>
    <w:rsid w:val="00B8279B"/>
    <w:rsid w:val="00B83F74"/>
    <w:rsid w:val="00BA6EE4"/>
    <w:rsid w:val="00BB777F"/>
    <w:rsid w:val="00BC129B"/>
    <w:rsid w:val="00BC1E41"/>
    <w:rsid w:val="00BD0D9E"/>
    <w:rsid w:val="00BD5599"/>
    <w:rsid w:val="00BD6D31"/>
    <w:rsid w:val="00C06ECF"/>
    <w:rsid w:val="00C125A5"/>
    <w:rsid w:val="00C14622"/>
    <w:rsid w:val="00C16E67"/>
    <w:rsid w:val="00C34A63"/>
    <w:rsid w:val="00C45FBB"/>
    <w:rsid w:val="00C808E6"/>
    <w:rsid w:val="00C82403"/>
    <w:rsid w:val="00CA3353"/>
    <w:rsid w:val="00CA7651"/>
    <w:rsid w:val="00CC0393"/>
    <w:rsid w:val="00CD1083"/>
    <w:rsid w:val="00CE004D"/>
    <w:rsid w:val="00CF3C29"/>
    <w:rsid w:val="00D01F0A"/>
    <w:rsid w:val="00D667E0"/>
    <w:rsid w:val="00D8250B"/>
    <w:rsid w:val="00DA65F0"/>
    <w:rsid w:val="00DD643F"/>
    <w:rsid w:val="00E27EB7"/>
    <w:rsid w:val="00E35364"/>
    <w:rsid w:val="00E3772F"/>
    <w:rsid w:val="00E43961"/>
    <w:rsid w:val="00E51448"/>
    <w:rsid w:val="00E82FF3"/>
    <w:rsid w:val="00E851CE"/>
    <w:rsid w:val="00EB5DD5"/>
    <w:rsid w:val="00EC3AD0"/>
    <w:rsid w:val="00ED05EC"/>
    <w:rsid w:val="00F05182"/>
    <w:rsid w:val="00F07968"/>
    <w:rsid w:val="00F4048D"/>
    <w:rsid w:val="00F73331"/>
    <w:rsid w:val="00F7521F"/>
    <w:rsid w:val="00F96C89"/>
    <w:rsid w:val="00FA075A"/>
    <w:rsid w:val="00FB1F67"/>
    <w:rsid w:val="00FB6EEB"/>
    <w:rsid w:val="00FB794C"/>
    <w:rsid w:val="00FC3026"/>
    <w:rsid w:val="00FE2965"/>
    <w:rsid w:val="00FF4B9F"/>
    <w:rsid w:val="00FF5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E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4E4"/>
    <w:pPr>
      <w:ind w:left="720"/>
      <w:contextualSpacing/>
    </w:pPr>
  </w:style>
  <w:style w:type="paragraph" w:styleId="Footer">
    <w:name w:val="footer"/>
    <w:basedOn w:val="Normal"/>
    <w:link w:val="FooterChar"/>
    <w:uiPriority w:val="99"/>
    <w:unhideWhenUsed/>
    <w:rsid w:val="004A14E4"/>
    <w:pPr>
      <w:tabs>
        <w:tab w:val="center" w:pos="4513"/>
        <w:tab w:val="right" w:pos="9026"/>
      </w:tabs>
    </w:pPr>
  </w:style>
  <w:style w:type="character" w:customStyle="1" w:styleId="FooterChar">
    <w:name w:val="Footer Char"/>
    <w:basedOn w:val="DefaultParagraphFont"/>
    <w:link w:val="Footer"/>
    <w:uiPriority w:val="99"/>
    <w:rsid w:val="004A14E4"/>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97F2B"/>
  </w:style>
  <w:style w:type="paragraph" w:customStyle="1" w:styleId="paragraph">
    <w:name w:val="paragraph"/>
    <w:aliases w:val="a"/>
    <w:basedOn w:val="Normal"/>
    <w:rsid w:val="00DD643F"/>
    <w:pPr>
      <w:tabs>
        <w:tab w:val="right" w:pos="1531"/>
      </w:tabs>
      <w:spacing w:before="40"/>
      <w:ind w:left="1644" w:hanging="1644"/>
    </w:pPr>
    <w:rPr>
      <w:sz w:val="22"/>
      <w:szCs w:val="20"/>
    </w:rPr>
  </w:style>
  <w:style w:type="paragraph" w:customStyle="1" w:styleId="Scheduleheading">
    <w:name w:val="Schedule heading"/>
    <w:basedOn w:val="Normal"/>
    <w:link w:val="ScheduleheadingChar"/>
    <w:qFormat/>
    <w:rsid w:val="000E5C38"/>
    <w:pPr>
      <w:spacing w:after="240"/>
    </w:pPr>
    <w:rPr>
      <w:b/>
      <w:caps/>
      <w:szCs w:val="32"/>
      <w:u w:val="single"/>
      <w:lang w:eastAsia="en-US"/>
    </w:rPr>
  </w:style>
  <w:style w:type="character" w:customStyle="1" w:styleId="ScheduleheadingChar">
    <w:name w:val="Schedule heading Char"/>
    <w:basedOn w:val="DefaultParagraphFont"/>
    <w:link w:val="Scheduleheading"/>
    <w:rsid w:val="000E5C38"/>
    <w:rPr>
      <w:rFonts w:ascii="Times New Roman" w:eastAsia="Times New Roman" w:hAnsi="Times New Roman" w:cs="Times New Roman"/>
      <w:b/>
      <w:caps/>
      <w:sz w:val="24"/>
      <w:szCs w:val="32"/>
      <w:u w:val="single"/>
    </w:rPr>
  </w:style>
  <w:style w:type="paragraph" w:customStyle="1" w:styleId="SCHRheading">
    <w:name w:val="SCHR heading"/>
    <w:basedOn w:val="Normal"/>
    <w:link w:val="SCHRheadingChar"/>
    <w:qFormat/>
    <w:rsid w:val="000E5C38"/>
    <w:pPr>
      <w:keepNext/>
      <w:spacing w:after="240"/>
    </w:pPr>
    <w:rPr>
      <w:b/>
      <w:lang w:eastAsia="en-US"/>
    </w:rPr>
  </w:style>
  <w:style w:type="character" w:customStyle="1" w:styleId="SCHRheadingChar">
    <w:name w:val="SCHR heading Char"/>
    <w:basedOn w:val="DefaultParagraphFont"/>
    <w:link w:val="SCHRheading"/>
    <w:rsid w:val="000E5C38"/>
    <w:rPr>
      <w:rFonts w:ascii="Times New Roman" w:eastAsia="Times New Roman" w:hAnsi="Times New Roman" w:cs="Times New Roman"/>
      <w:b/>
      <w:sz w:val="24"/>
      <w:szCs w:val="24"/>
    </w:rPr>
  </w:style>
  <w:style w:type="paragraph" w:customStyle="1" w:styleId="SCHRsub-sub-heading">
    <w:name w:val="SCHR sub-sub-heading"/>
    <w:basedOn w:val="Normal"/>
    <w:link w:val="SCHRsub-sub-headingChar"/>
    <w:qFormat/>
    <w:rsid w:val="000E5C38"/>
    <w:pPr>
      <w:keepNext/>
      <w:spacing w:after="240"/>
    </w:pPr>
    <w:rPr>
      <w:rFonts w:eastAsia="Calibri"/>
      <w:i/>
      <w:lang w:eastAsia="en-US"/>
    </w:rPr>
  </w:style>
  <w:style w:type="paragraph" w:customStyle="1" w:styleId="SCHRtext">
    <w:name w:val="SCHR text"/>
    <w:basedOn w:val="Normal"/>
    <w:link w:val="SCHRtextChar"/>
    <w:qFormat/>
    <w:rsid w:val="000E5C38"/>
    <w:pPr>
      <w:spacing w:after="240"/>
    </w:pPr>
    <w:rPr>
      <w:lang w:eastAsia="en-US"/>
    </w:rPr>
  </w:style>
  <w:style w:type="character" w:customStyle="1" w:styleId="SCHRsub-sub-headingChar">
    <w:name w:val="SCHR sub-sub-heading Char"/>
    <w:basedOn w:val="DefaultParagraphFont"/>
    <w:link w:val="SCHRsub-sub-heading"/>
    <w:rsid w:val="000E5C38"/>
    <w:rPr>
      <w:rFonts w:ascii="Times New Roman" w:eastAsia="Calibri" w:hAnsi="Times New Roman" w:cs="Times New Roman"/>
      <w:i/>
      <w:sz w:val="24"/>
      <w:szCs w:val="24"/>
    </w:rPr>
  </w:style>
  <w:style w:type="character" w:customStyle="1" w:styleId="SCHRtextChar">
    <w:name w:val="SCHR text Char"/>
    <w:basedOn w:val="DefaultParagraphFont"/>
    <w:link w:val="SCHRtext"/>
    <w:rsid w:val="000E5C38"/>
    <w:rPr>
      <w:rFonts w:ascii="Times New Roman" w:eastAsia="Times New Roman" w:hAnsi="Times New Roman" w:cs="Times New Roman"/>
      <w:sz w:val="24"/>
      <w:szCs w:val="24"/>
    </w:rPr>
  </w:style>
  <w:style w:type="character" w:customStyle="1" w:styleId="OverviewNotesheadingChar">
    <w:name w:val="Overview/Notes (heading) Char"/>
    <w:basedOn w:val="DefaultParagraphFont"/>
    <w:link w:val="OverviewNotesheading"/>
    <w:uiPriority w:val="99"/>
    <w:locked/>
    <w:rsid w:val="000E5C38"/>
    <w:rPr>
      <w:b/>
      <w:sz w:val="28"/>
      <w:szCs w:val="28"/>
      <w:u w:val="single"/>
    </w:rPr>
  </w:style>
  <w:style w:type="paragraph" w:customStyle="1" w:styleId="OverviewNotesheading">
    <w:name w:val="Overview/Notes (heading)"/>
    <w:basedOn w:val="Normal"/>
    <w:link w:val="OverviewNotesheadingChar"/>
    <w:uiPriority w:val="99"/>
    <w:qFormat/>
    <w:rsid w:val="000E5C38"/>
    <w:pPr>
      <w:spacing w:after="200" w:line="276" w:lineRule="auto"/>
    </w:pPr>
    <w:rPr>
      <w:rFonts w:asciiTheme="minorHAnsi" w:eastAsiaTheme="minorHAnsi" w:hAnsiTheme="minorHAnsi" w:cstheme="minorBidi"/>
      <w:b/>
      <w:sz w:val="28"/>
      <w:szCs w:val="28"/>
      <w:u w:val="single"/>
      <w:lang w:eastAsia="en-US"/>
    </w:rPr>
  </w:style>
  <w:style w:type="character" w:styleId="Hyperlink">
    <w:name w:val="Hyperlink"/>
    <w:basedOn w:val="DefaultParagraphFont"/>
    <w:uiPriority w:val="99"/>
    <w:unhideWhenUsed/>
    <w:rsid w:val="002A7B76"/>
    <w:rPr>
      <w:color w:val="0000FF"/>
      <w:u w:val="single"/>
    </w:rPr>
  </w:style>
  <w:style w:type="paragraph" w:styleId="FootnoteText">
    <w:name w:val="footnote text"/>
    <w:basedOn w:val="Normal"/>
    <w:link w:val="FootnoteTextChar"/>
    <w:uiPriority w:val="99"/>
    <w:semiHidden/>
    <w:unhideWhenUsed/>
    <w:rsid w:val="00434433"/>
    <w:rPr>
      <w:sz w:val="20"/>
      <w:szCs w:val="20"/>
    </w:rPr>
  </w:style>
  <w:style w:type="character" w:customStyle="1" w:styleId="FootnoteTextChar">
    <w:name w:val="Footnote Text Char"/>
    <w:basedOn w:val="DefaultParagraphFont"/>
    <w:link w:val="FootnoteText"/>
    <w:uiPriority w:val="99"/>
    <w:semiHidden/>
    <w:rsid w:val="0043443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34433"/>
    <w:rPr>
      <w:vertAlign w:val="superscript"/>
    </w:rPr>
  </w:style>
  <w:style w:type="paragraph" w:styleId="BalloonText">
    <w:name w:val="Balloon Text"/>
    <w:basedOn w:val="Normal"/>
    <w:link w:val="BalloonTextChar"/>
    <w:uiPriority w:val="99"/>
    <w:semiHidden/>
    <w:unhideWhenUsed/>
    <w:rsid w:val="00F05182"/>
    <w:rPr>
      <w:rFonts w:ascii="Tahoma" w:hAnsi="Tahoma" w:cs="Tahoma"/>
      <w:sz w:val="16"/>
      <w:szCs w:val="16"/>
    </w:rPr>
  </w:style>
  <w:style w:type="character" w:customStyle="1" w:styleId="BalloonTextChar">
    <w:name w:val="Balloon Text Char"/>
    <w:basedOn w:val="DefaultParagraphFont"/>
    <w:link w:val="BalloonText"/>
    <w:uiPriority w:val="99"/>
    <w:semiHidden/>
    <w:rsid w:val="00F05182"/>
    <w:rPr>
      <w:rFonts w:ascii="Tahoma" w:eastAsia="Times New Roman" w:hAnsi="Tahoma" w:cs="Tahoma"/>
      <w:sz w:val="16"/>
      <w:szCs w:val="16"/>
      <w:lang w:eastAsia="en-AU"/>
    </w:rPr>
  </w:style>
  <w:style w:type="paragraph" w:customStyle="1" w:styleId="Itemtextnumbered">
    <w:name w:val="Item text (numbered)"/>
    <w:basedOn w:val="Normal"/>
    <w:link w:val="ItemtextnumberedChar"/>
    <w:qFormat/>
    <w:rsid w:val="00C125A5"/>
    <w:pPr>
      <w:numPr>
        <w:numId w:val="14"/>
      </w:numPr>
      <w:tabs>
        <w:tab w:val="clear" w:pos="227"/>
      </w:tabs>
      <w:spacing w:after="240"/>
      <w:ind w:left="0" w:firstLine="0"/>
    </w:pPr>
    <w:rPr>
      <w:szCs w:val="20"/>
      <w:lang w:eastAsia="en-US"/>
    </w:rPr>
  </w:style>
  <w:style w:type="character" w:customStyle="1" w:styleId="ItemtextnumberedChar">
    <w:name w:val="Item text (numbered) Char"/>
    <w:basedOn w:val="DefaultParagraphFont"/>
    <w:link w:val="Itemtextnumbered"/>
    <w:rsid w:val="00C125A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813A6"/>
    <w:rPr>
      <w:sz w:val="16"/>
      <w:szCs w:val="16"/>
    </w:rPr>
  </w:style>
  <w:style w:type="paragraph" w:styleId="CommentText">
    <w:name w:val="annotation text"/>
    <w:basedOn w:val="Normal"/>
    <w:link w:val="CommentTextChar"/>
    <w:uiPriority w:val="99"/>
    <w:semiHidden/>
    <w:unhideWhenUsed/>
    <w:rsid w:val="00A813A6"/>
    <w:rPr>
      <w:sz w:val="20"/>
      <w:szCs w:val="20"/>
    </w:rPr>
  </w:style>
  <w:style w:type="character" w:customStyle="1" w:styleId="CommentTextChar">
    <w:name w:val="Comment Text Char"/>
    <w:basedOn w:val="DefaultParagraphFont"/>
    <w:link w:val="CommentText"/>
    <w:uiPriority w:val="99"/>
    <w:semiHidden/>
    <w:rsid w:val="00A813A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13A6"/>
    <w:rPr>
      <w:b/>
      <w:bCs/>
    </w:rPr>
  </w:style>
  <w:style w:type="character" w:customStyle="1" w:styleId="CommentSubjectChar">
    <w:name w:val="Comment Subject Char"/>
    <w:basedOn w:val="CommentTextChar"/>
    <w:link w:val="CommentSubject"/>
    <w:uiPriority w:val="99"/>
    <w:semiHidden/>
    <w:rsid w:val="00A813A6"/>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4E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4E4"/>
    <w:pPr>
      <w:ind w:left="720"/>
      <w:contextualSpacing/>
    </w:pPr>
  </w:style>
  <w:style w:type="paragraph" w:styleId="Footer">
    <w:name w:val="footer"/>
    <w:basedOn w:val="Normal"/>
    <w:link w:val="FooterChar"/>
    <w:uiPriority w:val="99"/>
    <w:unhideWhenUsed/>
    <w:rsid w:val="004A14E4"/>
    <w:pPr>
      <w:tabs>
        <w:tab w:val="center" w:pos="4513"/>
        <w:tab w:val="right" w:pos="9026"/>
      </w:tabs>
    </w:pPr>
  </w:style>
  <w:style w:type="character" w:customStyle="1" w:styleId="FooterChar">
    <w:name w:val="Footer Char"/>
    <w:basedOn w:val="DefaultParagraphFont"/>
    <w:link w:val="Footer"/>
    <w:uiPriority w:val="99"/>
    <w:rsid w:val="004A14E4"/>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97F2B"/>
  </w:style>
  <w:style w:type="paragraph" w:customStyle="1" w:styleId="paragraph">
    <w:name w:val="paragraph"/>
    <w:aliases w:val="a"/>
    <w:basedOn w:val="Normal"/>
    <w:rsid w:val="00DD643F"/>
    <w:pPr>
      <w:tabs>
        <w:tab w:val="right" w:pos="1531"/>
      </w:tabs>
      <w:spacing w:before="40"/>
      <w:ind w:left="1644" w:hanging="1644"/>
    </w:pPr>
    <w:rPr>
      <w:sz w:val="22"/>
      <w:szCs w:val="20"/>
    </w:rPr>
  </w:style>
  <w:style w:type="paragraph" w:customStyle="1" w:styleId="Scheduleheading">
    <w:name w:val="Schedule heading"/>
    <w:basedOn w:val="Normal"/>
    <w:link w:val="ScheduleheadingChar"/>
    <w:qFormat/>
    <w:rsid w:val="000E5C38"/>
    <w:pPr>
      <w:spacing w:after="240"/>
    </w:pPr>
    <w:rPr>
      <w:b/>
      <w:caps/>
      <w:szCs w:val="32"/>
      <w:u w:val="single"/>
      <w:lang w:eastAsia="en-US"/>
    </w:rPr>
  </w:style>
  <w:style w:type="character" w:customStyle="1" w:styleId="ScheduleheadingChar">
    <w:name w:val="Schedule heading Char"/>
    <w:basedOn w:val="DefaultParagraphFont"/>
    <w:link w:val="Scheduleheading"/>
    <w:rsid w:val="000E5C38"/>
    <w:rPr>
      <w:rFonts w:ascii="Times New Roman" w:eastAsia="Times New Roman" w:hAnsi="Times New Roman" w:cs="Times New Roman"/>
      <w:b/>
      <w:caps/>
      <w:sz w:val="24"/>
      <w:szCs w:val="32"/>
      <w:u w:val="single"/>
    </w:rPr>
  </w:style>
  <w:style w:type="paragraph" w:customStyle="1" w:styleId="SCHRheading">
    <w:name w:val="SCHR heading"/>
    <w:basedOn w:val="Normal"/>
    <w:link w:val="SCHRheadingChar"/>
    <w:qFormat/>
    <w:rsid w:val="000E5C38"/>
    <w:pPr>
      <w:keepNext/>
      <w:spacing w:after="240"/>
    </w:pPr>
    <w:rPr>
      <w:b/>
      <w:lang w:eastAsia="en-US"/>
    </w:rPr>
  </w:style>
  <w:style w:type="character" w:customStyle="1" w:styleId="SCHRheadingChar">
    <w:name w:val="SCHR heading Char"/>
    <w:basedOn w:val="DefaultParagraphFont"/>
    <w:link w:val="SCHRheading"/>
    <w:rsid w:val="000E5C38"/>
    <w:rPr>
      <w:rFonts w:ascii="Times New Roman" w:eastAsia="Times New Roman" w:hAnsi="Times New Roman" w:cs="Times New Roman"/>
      <w:b/>
      <w:sz w:val="24"/>
      <w:szCs w:val="24"/>
    </w:rPr>
  </w:style>
  <w:style w:type="paragraph" w:customStyle="1" w:styleId="SCHRsub-sub-heading">
    <w:name w:val="SCHR sub-sub-heading"/>
    <w:basedOn w:val="Normal"/>
    <w:link w:val="SCHRsub-sub-headingChar"/>
    <w:qFormat/>
    <w:rsid w:val="000E5C38"/>
    <w:pPr>
      <w:keepNext/>
      <w:spacing w:after="240"/>
    </w:pPr>
    <w:rPr>
      <w:rFonts w:eastAsia="Calibri"/>
      <w:i/>
      <w:lang w:eastAsia="en-US"/>
    </w:rPr>
  </w:style>
  <w:style w:type="paragraph" w:customStyle="1" w:styleId="SCHRtext">
    <w:name w:val="SCHR text"/>
    <w:basedOn w:val="Normal"/>
    <w:link w:val="SCHRtextChar"/>
    <w:qFormat/>
    <w:rsid w:val="000E5C38"/>
    <w:pPr>
      <w:spacing w:after="240"/>
    </w:pPr>
    <w:rPr>
      <w:lang w:eastAsia="en-US"/>
    </w:rPr>
  </w:style>
  <w:style w:type="character" w:customStyle="1" w:styleId="SCHRsub-sub-headingChar">
    <w:name w:val="SCHR sub-sub-heading Char"/>
    <w:basedOn w:val="DefaultParagraphFont"/>
    <w:link w:val="SCHRsub-sub-heading"/>
    <w:rsid w:val="000E5C38"/>
    <w:rPr>
      <w:rFonts w:ascii="Times New Roman" w:eastAsia="Calibri" w:hAnsi="Times New Roman" w:cs="Times New Roman"/>
      <w:i/>
      <w:sz w:val="24"/>
      <w:szCs w:val="24"/>
    </w:rPr>
  </w:style>
  <w:style w:type="character" w:customStyle="1" w:styleId="SCHRtextChar">
    <w:name w:val="SCHR text Char"/>
    <w:basedOn w:val="DefaultParagraphFont"/>
    <w:link w:val="SCHRtext"/>
    <w:rsid w:val="000E5C38"/>
    <w:rPr>
      <w:rFonts w:ascii="Times New Roman" w:eastAsia="Times New Roman" w:hAnsi="Times New Roman" w:cs="Times New Roman"/>
      <w:sz w:val="24"/>
      <w:szCs w:val="24"/>
    </w:rPr>
  </w:style>
  <w:style w:type="character" w:customStyle="1" w:styleId="OverviewNotesheadingChar">
    <w:name w:val="Overview/Notes (heading) Char"/>
    <w:basedOn w:val="DefaultParagraphFont"/>
    <w:link w:val="OverviewNotesheading"/>
    <w:uiPriority w:val="99"/>
    <w:locked/>
    <w:rsid w:val="000E5C38"/>
    <w:rPr>
      <w:b/>
      <w:sz w:val="28"/>
      <w:szCs w:val="28"/>
      <w:u w:val="single"/>
    </w:rPr>
  </w:style>
  <w:style w:type="paragraph" w:customStyle="1" w:styleId="OverviewNotesheading">
    <w:name w:val="Overview/Notes (heading)"/>
    <w:basedOn w:val="Normal"/>
    <w:link w:val="OverviewNotesheadingChar"/>
    <w:uiPriority w:val="99"/>
    <w:qFormat/>
    <w:rsid w:val="000E5C38"/>
    <w:pPr>
      <w:spacing w:after="200" w:line="276" w:lineRule="auto"/>
    </w:pPr>
    <w:rPr>
      <w:rFonts w:asciiTheme="minorHAnsi" w:eastAsiaTheme="minorHAnsi" w:hAnsiTheme="minorHAnsi" w:cstheme="minorBidi"/>
      <w:b/>
      <w:sz w:val="28"/>
      <w:szCs w:val="28"/>
      <w:u w:val="single"/>
      <w:lang w:eastAsia="en-US"/>
    </w:rPr>
  </w:style>
  <w:style w:type="character" w:styleId="Hyperlink">
    <w:name w:val="Hyperlink"/>
    <w:basedOn w:val="DefaultParagraphFont"/>
    <w:uiPriority w:val="99"/>
    <w:unhideWhenUsed/>
    <w:rsid w:val="002A7B76"/>
    <w:rPr>
      <w:color w:val="0000FF"/>
      <w:u w:val="single"/>
    </w:rPr>
  </w:style>
  <w:style w:type="paragraph" w:styleId="FootnoteText">
    <w:name w:val="footnote text"/>
    <w:basedOn w:val="Normal"/>
    <w:link w:val="FootnoteTextChar"/>
    <w:uiPriority w:val="99"/>
    <w:semiHidden/>
    <w:unhideWhenUsed/>
    <w:rsid w:val="00434433"/>
    <w:rPr>
      <w:sz w:val="20"/>
      <w:szCs w:val="20"/>
    </w:rPr>
  </w:style>
  <w:style w:type="character" w:customStyle="1" w:styleId="FootnoteTextChar">
    <w:name w:val="Footnote Text Char"/>
    <w:basedOn w:val="DefaultParagraphFont"/>
    <w:link w:val="FootnoteText"/>
    <w:uiPriority w:val="99"/>
    <w:semiHidden/>
    <w:rsid w:val="0043443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434433"/>
    <w:rPr>
      <w:vertAlign w:val="superscript"/>
    </w:rPr>
  </w:style>
  <w:style w:type="paragraph" w:styleId="BalloonText">
    <w:name w:val="Balloon Text"/>
    <w:basedOn w:val="Normal"/>
    <w:link w:val="BalloonTextChar"/>
    <w:uiPriority w:val="99"/>
    <w:semiHidden/>
    <w:unhideWhenUsed/>
    <w:rsid w:val="00F05182"/>
    <w:rPr>
      <w:rFonts w:ascii="Tahoma" w:hAnsi="Tahoma" w:cs="Tahoma"/>
      <w:sz w:val="16"/>
      <w:szCs w:val="16"/>
    </w:rPr>
  </w:style>
  <w:style w:type="character" w:customStyle="1" w:styleId="BalloonTextChar">
    <w:name w:val="Balloon Text Char"/>
    <w:basedOn w:val="DefaultParagraphFont"/>
    <w:link w:val="BalloonText"/>
    <w:uiPriority w:val="99"/>
    <w:semiHidden/>
    <w:rsid w:val="00F05182"/>
    <w:rPr>
      <w:rFonts w:ascii="Tahoma" w:eastAsia="Times New Roman" w:hAnsi="Tahoma" w:cs="Tahoma"/>
      <w:sz w:val="16"/>
      <w:szCs w:val="16"/>
      <w:lang w:eastAsia="en-AU"/>
    </w:rPr>
  </w:style>
  <w:style w:type="paragraph" w:customStyle="1" w:styleId="Itemtextnumbered">
    <w:name w:val="Item text (numbered)"/>
    <w:basedOn w:val="Normal"/>
    <w:link w:val="ItemtextnumberedChar"/>
    <w:qFormat/>
    <w:rsid w:val="00C125A5"/>
    <w:pPr>
      <w:numPr>
        <w:numId w:val="14"/>
      </w:numPr>
      <w:tabs>
        <w:tab w:val="clear" w:pos="227"/>
      </w:tabs>
      <w:spacing w:after="240"/>
      <w:ind w:left="0" w:firstLine="0"/>
    </w:pPr>
    <w:rPr>
      <w:szCs w:val="20"/>
      <w:lang w:eastAsia="en-US"/>
    </w:rPr>
  </w:style>
  <w:style w:type="character" w:customStyle="1" w:styleId="ItemtextnumberedChar">
    <w:name w:val="Item text (numbered) Char"/>
    <w:basedOn w:val="DefaultParagraphFont"/>
    <w:link w:val="Itemtextnumbered"/>
    <w:rsid w:val="00C125A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813A6"/>
    <w:rPr>
      <w:sz w:val="16"/>
      <w:szCs w:val="16"/>
    </w:rPr>
  </w:style>
  <w:style w:type="paragraph" w:styleId="CommentText">
    <w:name w:val="annotation text"/>
    <w:basedOn w:val="Normal"/>
    <w:link w:val="CommentTextChar"/>
    <w:uiPriority w:val="99"/>
    <w:semiHidden/>
    <w:unhideWhenUsed/>
    <w:rsid w:val="00A813A6"/>
    <w:rPr>
      <w:sz w:val="20"/>
      <w:szCs w:val="20"/>
    </w:rPr>
  </w:style>
  <w:style w:type="character" w:customStyle="1" w:styleId="CommentTextChar">
    <w:name w:val="Comment Text Char"/>
    <w:basedOn w:val="DefaultParagraphFont"/>
    <w:link w:val="CommentText"/>
    <w:uiPriority w:val="99"/>
    <w:semiHidden/>
    <w:rsid w:val="00A813A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13A6"/>
    <w:rPr>
      <w:b/>
      <w:bCs/>
    </w:rPr>
  </w:style>
  <w:style w:type="character" w:customStyle="1" w:styleId="CommentSubjectChar">
    <w:name w:val="Comment Subject Char"/>
    <w:basedOn w:val="CommentTextChar"/>
    <w:link w:val="CommentSubject"/>
    <w:uiPriority w:val="99"/>
    <w:semiHidden/>
    <w:rsid w:val="00A813A6"/>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558">
      <w:bodyDiv w:val="1"/>
      <w:marLeft w:val="0"/>
      <w:marRight w:val="0"/>
      <w:marTop w:val="0"/>
      <w:marBottom w:val="0"/>
      <w:divBdr>
        <w:top w:val="none" w:sz="0" w:space="0" w:color="auto"/>
        <w:left w:val="none" w:sz="0" w:space="0" w:color="auto"/>
        <w:bottom w:val="none" w:sz="0" w:space="0" w:color="auto"/>
        <w:right w:val="none" w:sz="0" w:space="0" w:color="auto"/>
      </w:divBdr>
    </w:div>
    <w:div w:id="385184911">
      <w:bodyDiv w:val="1"/>
      <w:marLeft w:val="0"/>
      <w:marRight w:val="0"/>
      <w:marTop w:val="0"/>
      <w:marBottom w:val="0"/>
      <w:divBdr>
        <w:top w:val="none" w:sz="0" w:space="0" w:color="auto"/>
        <w:left w:val="none" w:sz="0" w:space="0" w:color="auto"/>
        <w:bottom w:val="none" w:sz="0" w:space="0" w:color="auto"/>
        <w:right w:val="none" w:sz="0" w:space="0" w:color="auto"/>
      </w:divBdr>
    </w:div>
    <w:div w:id="742220862">
      <w:bodyDiv w:val="1"/>
      <w:marLeft w:val="0"/>
      <w:marRight w:val="0"/>
      <w:marTop w:val="0"/>
      <w:marBottom w:val="0"/>
      <w:divBdr>
        <w:top w:val="none" w:sz="0" w:space="0" w:color="auto"/>
        <w:left w:val="none" w:sz="0" w:space="0" w:color="auto"/>
        <w:bottom w:val="none" w:sz="0" w:space="0" w:color="auto"/>
        <w:right w:val="none" w:sz="0" w:space="0" w:color="auto"/>
      </w:divBdr>
    </w:div>
    <w:div w:id="745034018">
      <w:bodyDiv w:val="1"/>
      <w:marLeft w:val="0"/>
      <w:marRight w:val="0"/>
      <w:marTop w:val="0"/>
      <w:marBottom w:val="0"/>
      <w:divBdr>
        <w:top w:val="none" w:sz="0" w:space="0" w:color="auto"/>
        <w:left w:val="none" w:sz="0" w:space="0" w:color="auto"/>
        <w:bottom w:val="none" w:sz="0" w:space="0" w:color="auto"/>
        <w:right w:val="none" w:sz="0" w:space="0" w:color="auto"/>
      </w:divBdr>
    </w:div>
    <w:div w:id="768551343">
      <w:bodyDiv w:val="1"/>
      <w:marLeft w:val="0"/>
      <w:marRight w:val="0"/>
      <w:marTop w:val="0"/>
      <w:marBottom w:val="0"/>
      <w:divBdr>
        <w:top w:val="none" w:sz="0" w:space="0" w:color="auto"/>
        <w:left w:val="none" w:sz="0" w:space="0" w:color="auto"/>
        <w:bottom w:val="none" w:sz="0" w:space="0" w:color="auto"/>
        <w:right w:val="none" w:sz="0" w:space="0" w:color="auto"/>
      </w:divBdr>
    </w:div>
    <w:div w:id="944776466">
      <w:bodyDiv w:val="1"/>
      <w:marLeft w:val="0"/>
      <w:marRight w:val="0"/>
      <w:marTop w:val="0"/>
      <w:marBottom w:val="0"/>
      <w:divBdr>
        <w:top w:val="none" w:sz="0" w:space="0" w:color="auto"/>
        <w:left w:val="none" w:sz="0" w:space="0" w:color="auto"/>
        <w:bottom w:val="none" w:sz="0" w:space="0" w:color="auto"/>
        <w:right w:val="none" w:sz="0" w:space="0" w:color="auto"/>
      </w:divBdr>
    </w:div>
    <w:div w:id="1201477632">
      <w:bodyDiv w:val="1"/>
      <w:marLeft w:val="0"/>
      <w:marRight w:val="0"/>
      <w:marTop w:val="0"/>
      <w:marBottom w:val="0"/>
      <w:divBdr>
        <w:top w:val="none" w:sz="0" w:space="0" w:color="auto"/>
        <w:left w:val="none" w:sz="0" w:space="0" w:color="auto"/>
        <w:bottom w:val="none" w:sz="0" w:space="0" w:color="auto"/>
        <w:right w:val="none" w:sz="0" w:space="0" w:color="auto"/>
      </w:divBdr>
    </w:div>
    <w:div w:id="1336687470">
      <w:bodyDiv w:val="1"/>
      <w:marLeft w:val="0"/>
      <w:marRight w:val="0"/>
      <w:marTop w:val="0"/>
      <w:marBottom w:val="0"/>
      <w:divBdr>
        <w:top w:val="none" w:sz="0" w:space="0" w:color="auto"/>
        <w:left w:val="none" w:sz="0" w:space="0" w:color="auto"/>
        <w:bottom w:val="none" w:sz="0" w:space="0" w:color="auto"/>
        <w:right w:val="none" w:sz="0" w:space="0" w:color="auto"/>
      </w:divBdr>
    </w:div>
    <w:div w:id="1446382629">
      <w:bodyDiv w:val="1"/>
      <w:marLeft w:val="0"/>
      <w:marRight w:val="0"/>
      <w:marTop w:val="0"/>
      <w:marBottom w:val="0"/>
      <w:divBdr>
        <w:top w:val="none" w:sz="0" w:space="0" w:color="auto"/>
        <w:left w:val="none" w:sz="0" w:space="0" w:color="auto"/>
        <w:bottom w:val="none" w:sz="0" w:space="0" w:color="auto"/>
        <w:right w:val="none" w:sz="0" w:space="0" w:color="auto"/>
      </w:divBdr>
    </w:div>
    <w:div w:id="1458840082">
      <w:bodyDiv w:val="1"/>
      <w:marLeft w:val="0"/>
      <w:marRight w:val="0"/>
      <w:marTop w:val="0"/>
      <w:marBottom w:val="0"/>
      <w:divBdr>
        <w:top w:val="none" w:sz="0" w:space="0" w:color="auto"/>
        <w:left w:val="none" w:sz="0" w:space="0" w:color="auto"/>
        <w:bottom w:val="none" w:sz="0" w:space="0" w:color="auto"/>
        <w:right w:val="none" w:sz="0" w:space="0" w:color="auto"/>
      </w:divBdr>
    </w:div>
    <w:div w:id="21370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16L01859/Explanatory%20Statemen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B8B00823.dotm</Template>
  <TotalTime>3</TotalTime>
  <Pages>1</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McHugh</dc:creator>
  <cp:lastModifiedBy>Rebecca Quill</cp:lastModifiedBy>
  <cp:revision>3</cp:revision>
  <cp:lastPrinted>2017-02-16T04:01:00Z</cp:lastPrinted>
  <dcterms:created xsi:type="dcterms:W3CDTF">2017-02-16T04:06:00Z</dcterms:created>
  <dcterms:modified xsi:type="dcterms:W3CDTF">2017-02-16T04:06:00Z</dcterms:modified>
</cp:coreProperties>
</file>