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73BD6" w14:textId="77777777" w:rsidR="00533779" w:rsidRDefault="00533779">
      <w:pPr>
        <w:pStyle w:val="Title"/>
      </w:pPr>
      <w:r>
        <w:t>EXPLANATORY STATEMENT</w:t>
      </w:r>
    </w:p>
    <w:p w14:paraId="46C73BD7" w14:textId="77777777" w:rsidR="00533779" w:rsidRDefault="00533779">
      <w:pPr>
        <w:rPr>
          <w:i/>
          <w:sz w:val="24"/>
        </w:rPr>
      </w:pPr>
    </w:p>
    <w:p w14:paraId="46C73BD8" w14:textId="77777777" w:rsidR="00533779" w:rsidRDefault="00533779">
      <w:pPr>
        <w:jc w:val="center"/>
        <w:rPr>
          <w:sz w:val="28"/>
        </w:rPr>
      </w:pPr>
      <w:r>
        <w:rPr>
          <w:i/>
          <w:sz w:val="24"/>
        </w:rPr>
        <w:t>Environment Protection and Biodiversity Conservation Act 1999</w:t>
      </w:r>
    </w:p>
    <w:p w14:paraId="46C73BD9" w14:textId="77777777" w:rsidR="00533779" w:rsidRPr="007A25A0" w:rsidRDefault="00533779">
      <w:pPr>
        <w:jc w:val="center"/>
        <w:rPr>
          <w:i/>
        </w:rPr>
      </w:pPr>
    </w:p>
    <w:p w14:paraId="46C73BDA" w14:textId="77777777" w:rsidR="00533779" w:rsidRPr="005E7E71" w:rsidRDefault="00533779">
      <w:pPr>
        <w:ind w:left="-142"/>
        <w:jc w:val="center"/>
        <w:rPr>
          <w:i/>
          <w:sz w:val="24"/>
          <w:szCs w:val="24"/>
        </w:rPr>
      </w:pPr>
      <w:r w:rsidRPr="005E7E71">
        <w:rPr>
          <w:sz w:val="24"/>
          <w:szCs w:val="24"/>
        </w:rPr>
        <w:t>Amendment of the List of Exempt Native Specimens in accordance with Section</w:t>
      </w:r>
      <w:r w:rsidR="00914094" w:rsidRPr="005E7E71">
        <w:rPr>
          <w:sz w:val="24"/>
          <w:szCs w:val="24"/>
        </w:rPr>
        <w:t> </w:t>
      </w:r>
      <w:r w:rsidRPr="005E7E71">
        <w:rPr>
          <w:sz w:val="24"/>
          <w:szCs w:val="24"/>
        </w:rPr>
        <w:t>303DC</w:t>
      </w:r>
      <w:r w:rsidR="00217D74" w:rsidRPr="005E7E71">
        <w:rPr>
          <w:sz w:val="24"/>
          <w:szCs w:val="24"/>
        </w:rPr>
        <w:t>(1)</w:t>
      </w:r>
    </w:p>
    <w:p w14:paraId="46C73BDB" w14:textId="77777777" w:rsidR="00533779" w:rsidRPr="005E7E71" w:rsidRDefault="00533779">
      <w:pPr>
        <w:jc w:val="center"/>
        <w:rPr>
          <w:i/>
          <w:sz w:val="24"/>
          <w:szCs w:val="24"/>
        </w:rPr>
      </w:pPr>
    </w:p>
    <w:p w14:paraId="46C73BDC" w14:textId="77777777" w:rsidR="00533779" w:rsidRPr="005E7E71" w:rsidRDefault="00914094">
      <w:pPr>
        <w:pStyle w:val="normal-dot2"/>
        <w:numPr>
          <w:ilvl w:val="0"/>
          <w:numId w:val="0"/>
        </w:numPr>
        <w:spacing w:before="0"/>
        <w:rPr>
          <w:szCs w:val="24"/>
        </w:rPr>
      </w:pPr>
      <w:r w:rsidRPr="005E7E71">
        <w:rPr>
          <w:szCs w:val="24"/>
        </w:rPr>
        <w:t>Section </w:t>
      </w:r>
      <w:r w:rsidR="00533779" w:rsidRPr="005E7E71">
        <w:rPr>
          <w:szCs w:val="24"/>
        </w:rPr>
        <w:t xml:space="preserve">303DB of the </w:t>
      </w:r>
      <w:r w:rsidR="00533779" w:rsidRPr="005E7E71">
        <w:rPr>
          <w:i/>
          <w:szCs w:val="24"/>
        </w:rPr>
        <w:t>Environment Protection an</w:t>
      </w:r>
      <w:r w:rsidRPr="005E7E71">
        <w:rPr>
          <w:i/>
          <w:szCs w:val="24"/>
        </w:rPr>
        <w:t>d Biodiversity Conservation Act </w:t>
      </w:r>
      <w:r w:rsidR="00533779" w:rsidRPr="005E7E71">
        <w:rPr>
          <w:i/>
          <w:szCs w:val="24"/>
        </w:rPr>
        <w:t>1999</w:t>
      </w:r>
      <w:r w:rsidR="00051628" w:rsidRPr="005E7E71">
        <w:rPr>
          <w:szCs w:val="24"/>
        </w:rPr>
        <w:t xml:space="preserve"> (EPBC </w:t>
      </w:r>
      <w:r w:rsidR="00533779" w:rsidRPr="005E7E71">
        <w:rPr>
          <w:szCs w:val="24"/>
        </w:rPr>
        <w:t>Act) provides for the establishment of a list of exempt native specimens. Specimens included in the list are exempt from the trade control provisions that apply</w:t>
      </w:r>
      <w:r w:rsidRPr="005E7E71">
        <w:rPr>
          <w:szCs w:val="24"/>
        </w:rPr>
        <w:t xml:space="preserve"> to regulated native specimens.</w:t>
      </w:r>
    </w:p>
    <w:p w14:paraId="46C73BDD" w14:textId="77777777" w:rsidR="00533779" w:rsidRPr="005E7E71" w:rsidRDefault="00533779">
      <w:pPr>
        <w:pStyle w:val="normal-dot2"/>
        <w:numPr>
          <w:ilvl w:val="0"/>
          <w:numId w:val="0"/>
        </w:numPr>
        <w:spacing w:before="0"/>
        <w:rPr>
          <w:szCs w:val="24"/>
        </w:rPr>
      </w:pPr>
    </w:p>
    <w:p w14:paraId="46C73BDE" w14:textId="6646F633" w:rsidR="00533779" w:rsidRPr="007776DD" w:rsidRDefault="00533779">
      <w:pPr>
        <w:pStyle w:val="normal-dot2"/>
        <w:numPr>
          <w:ilvl w:val="0"/>
          <w:numId w:val="0"/>
        </w:numPr>
        <w:spacing w:before="0"/>
        <w:rPr>
          <w:szCs w:val="24"/>
        </w:rPr>
      </w:pPr>
      <w:r w:rsidRPr="005E7E71">
        <w:rPr>
          <w:szCs w:val="24"/>
        </w:rPr>
        <w:t xml:space="preserve">The effect of this </w:t>
      </w:r>
      <w:r w:rsidRPr="007776DD">
        <w:rPr>
          <w:szCs w:val="24"/>
        </w:rPr>
        <w:t xml:space="preserve">instrument is to </w:t>
      </w:r>
      <w:r w:rsidR="00530026" w:rsidRPr="00A37926">
        <w:rPr>
          <w:szCs w:val="24"/>
        </w:rPr>
        <w:t>amend</w:t>
      </w:r>
      <w:r w:rsidRPr="007776DD">
        <w:rPr>
          <w:szCs w:val="24"/>
        </w:rPr>
        <w:t xml:space="preserve"> the following </w:t>
      </w:r>
      <w:r w:rsidR="00A37926">
        <w:rPr>
          <w:szCs w:val="24"/>
        </w:rPr>
        <w:t>entry</w:t>
      </w:r>
      <w:r w:rsidRPr="007776DD">
        <w:rPr>
          <w:szCs w:val="24"/>
        </w:rPr>
        <w:t xml:space="preserve"> in the list of exempt native specimens</w:t>
      </w:r>
      <w:r w:rsidR="00A37926">
        <w:rPr>
          <w:szCs w:val="24"/>
        </w:rPr>
        <w:t xml:space="preserve"> from</w:t>
      </w:r>
      <w:r w:rsidRPr="007776DD">
        <w:rPr>
          <w:szCs w:val="24"/>
        </w:rPr>
        <w:t>:</w:t>
      </w:r>
    </w:p>
    <w:p w14:paraId="757CF541" w14:textId="18A3F477" w:rsidR="005E7E71" w:rsidRPr="007776DD" w:rsidRDefault="005E7E71">
      <w:pPr>
        <w:pStyle w:val="normal-dot2"/>
        <w:numPr>
          <w:ilvl w:val="0"/>
          <w:numId w:val="0"/>
        </w:numPr>
        <w:spacing w:before="0"/>
        <w:rPr>
          <w:szCs w:val="24"/>
        </w:rPr>
      </w:pPr>
    </w:p>
    <w:p w14:paraId="5B635DBC" w14:textId="1A9C8025" w:rsidR="007776DD" w:rsidRPr="00530026" w:rsidRDefault="00530026" w:rsidP="00530026">
      <w:pPr>
        <w:pStyle w:val="ListParagraph"/>
        <w:numPr>
          <w:ilvl w:val="0"/>
          <w:numId w:val="29"/>
        </w:numPr>
        <w:spacing w:after="120"/>
        <w:rPr>
          <w:snapToGrid w:val="0"/>
          <w:sz w:val="24"/>
          <w:szCs w:val="24"/>
        </w:rPr>
      </w:pPr>
      <w:r w:rsidRPr="00530026">
        <w:rPr>
          <w:sz w:val="24"/>
          <w:szCs w:val="24"/>
        </w:rPr>
        <w:t>Marine shells of any taxa within the Phylum Mollusca except species of Tridacnidae.</w:t>
      </w:r>
    </w:p>
    <w:p w14:paraId="0E0FCDEE" w14:textId="0D4B11EA" w:rsidR="007776DD" w:rsidRPr="007776DD" w:rsidRDefault="00A37926" w:rsidP="007776DD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to</w:t>
      </w:r>
      <w:r w:rsidR="007776DD" w:rsidRPr="007776DD">
        <w:rPr>
          <w:snapToGrid w:val="0"/>
          <w:sz w:val="24"/>
          <w:szCs w:val="24"/>
        </w:rPr>
        <w:t>:</w:t>
      </w:r>
    </w:p>
    <w:p w14:paraId="0F5BE972" w14:textId="77777777" w:rsidR="007776DD" w:rsidRPr="007776DD" w:rsidRDefault="007776DD" w:rsidP="007776DD">
      <w:pPr>
        <w:rPr>
          <w:snapToGrid w:val="0"/>
          <w:sz w:val="24"/>
          <w:szCs w:val="24"/>
        </w:rPr>
      </w:pPr>
    </w:p>
    <w:p w14:paraId="09EAA064" w14:textId="710ABDD1" w:rsidR="00530026" w:rsidRPr="00530026" w:rsidRDefault="00530026" w:rsidP="00530026">
      <w:pPr>
        <w:pStyle w:val="ListParagraph"/>
        <w:numPr>
          <w:ilvl w:val="0"/>
          <w:numId w:val="31"/>
        </w:numPr>
        <w:rPr>
          <w:i/>
          <w:sz w:val="24"/>
          <w:szCs w:val="24"/>
        </w:rPr>
      </w:pPr>
      <w:r w:rsidRPr="00530026">
        <w:rPr>
          <w:sz w:val="24"/>
          <w:szCs w:val="24"/>
        </w:rPr>
        <w:t>Marine shells of any taxa within the Phylum Mollusca except species of Tridacnidae</w:t>
      </w:r>
      <w:r w:rsidR="00B536CB">
        <w:rPr>
          <w:sz w:val="24"/>
          <w:szCs w:val="24"/>
        </w:rPr>
        <w:t xml:space="preserve"> and</w:t>
      </w:r>
      <w:r w:rsidRPr="00530026">
        <w:rPr>
          <w:sz w:val="24"/>
          <w:szCs w:val="24"/>
        </w:rPr>
        <w:t xml:space="preserve"> Nautil</w:t>
      </w:r>
      <w:r w:rsidR="005A6078">
        <w:rPr>
          <w:sz w:val="24"/>
          <w:szCs w:val="24"/>
        </w:rPr>
        <w:t>idae</w:t>
      </w:r>
      <w:r w:rsidRPr="00530026">
        <w:rPr>
          <w:i/>
          <w:sz w:val="24"/>
          <w:szCs w:val="24"/>
        </w:rPr>
        <w:t>.</w:t>
      </w:r>
    </w:p>
    <w:p w14:paraId="46C73BE8" w14:textId="0917CC70" w:rsidR="009F1B2B" w:rsidRPr="007776DD" w:rsidRDefault="007776DD" w:rsidP="007776DD">
      <w:pPr>
        <w:rPr>
          <w:sz w:val="24"/>
          <w:szCs w:val="24"/>
        </w:rPr>
      </w:pPr>
      <w:r w:rsidRPr="007776DD" w:rsidDel="007776DD">
        <w:rPr>
          <w:sz w:val="24"/>
          <w:szCs w:val="24"/>
        </w:rPr>
        <w:t xml:space="preserve"> </w:t>
      </w:r>
    </w:p>
    <w:p w14:paraId="46C73BEE" w14:textId="6CE4BDDC" w:rsidR="00533779" w:rsidRPr="005E7E71" w:rsidRDefault="0049056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Specimens listed on </w:t>
      </w:r>
      <w:r w:rsidR="003E1A73">
        <w:rPr>
          <w:sz w:val="24"/>
          <w:szCs w:val="24"/>
        </w:rPr>
        <w:t>the Convention on International Trade in Endangered Species of Wild Fauna and Flora (</w:t>
      </w:r>
      <w:r>
        <w:rPr>
          <w:sz w:val="24"/>
          <w:szCs w:val="24"/>
        </w:rPr>
        <w:t>CITES</w:t>
      </w:r>
      <w:r w:rsidR="003E1A7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A37926">
        <w:rPr>
          <w:sz w:val="24"/>
          <w:szCs w:val="24"/>
        </w:rPr>
        <w:t xml:space="preserve">are not generally </w:t>
      </w:r>
      <w:r>
        <w:rPr>
          <w:sz w:val="24"/>
          <w:szCs w:val="24"/>
        </w:rPr>
        <w:t xml:space="preserve">included in the list of exempt native specimens. </w:t>
      </w:r>
      <w:r w:rsidR="00530026">
        <w:rPr>
          <w:sz w:val="24"/>
          <w:szCs w:val="24"/>
        </w:rPr>
        <w:t>Amendment</w:t>
      </w:r>
      <w:r w:rsidR="009A5DEE" w:rsidRPr="007776DD">
        <w:rPr>
          <w:sz w:val="24"/>
          <w:szCs w:val="24"/>
        </w:rPr>
        <w:t xml:space="preserve"> of the </w:t>
      </w:r>
      <w:r w:rsidR="00530026">
        <w:rPr>
          <w:sz w:val="24"/>
          <w:szCs w:val="24"/>
        </w:rPr>
        <w:t>entry</w:t>
      </w:r>
      <w:r w:rsidR="009A5DEE" w:rsidRPr="007776DD">
        <w:rPr>
          <w:sz w:val="24"/>
          <w:szCs w:val="24"/>
        </w:rPr>
        <w:t xml:space="preserve"> described above in the list of exempt native specimens will </w:t>
      </w:r>
      <w:r w:rsidR="00530026">
        <w:rPr>
          <w:sz w:val="24"/>
          <w:szCs w:val="24"/>
        </w:rPr>
        <w:t>exclude</w:t>
      </w:r>
      <w:r w:rsidR="00DC5A7B">
        <w:rPr>
          <w:sz w:val="24"/>
          <w:szCs w:val="24"/>
        </w:rPr>
        <w:t xml:space="preserve"> Nautilidae species, which have recently been listed on</w:t>
      </w:r>
      <w:r w:rsidR="00530026">
        <w:rPr>
          <w:sz w:val="24"/>
          <w:szCs w:val="24"/>
        </w:rPr>
        <w:t xml:space="preserve"> CITES</w:t>
      </w:r>
      <w:r w:rsidR="00DC5A7B">
        <w:rPr>
          <w:sz w:val="24"/>
          <w:szCs w:val="24"/>
        </w:rPr>
        <w:t>,</w:t>
      </w:r>
      <w:r w:rsidR="00530026">
        <w:rPr>
          <w:sz w:val="24"/>
          <w:szCs w:val="24"/>
        </w:rPr>
        <w:t xml:space="preserve"> from the list of exempt native specimens</w:t>
      </w:r>
      <w:r w:rsidR="00DC5A7B">
        <w:rPr>
          <w:sz w:val="24"/>
          <w:szCs w:val="24"/>
        </w:rPr>
        <w:t>. As a result</w:t>
      </w:r>
      <w:r w:rsidR="00386F35">
        <w:rPr>
          <w:sz w:val="24"/>
          <w:szCs w:val="24"/>
        </w:rPr>
        <w:t xml:space="preserve"> </w:t>
      </w:r>
      <w:bookmarkStart w:id="0" w:name="_GoBack"/>
      <w:bookmarkEnd w:id="0"/>
      <w:r w:rsidR="00530026">
        <w:rPr>
          <w:sz w:val="24"/>
          <w:szCs w:val="24"/>
        </w:rPr>
        <w:t xml:space="preserve">exporters and importers </w:t>
      </w:r>
      <w:r w:rsidR="00A37926">
        <w:rPr>
          <w:sz w:val="24"/>
          <w:szCs w:val="24"/>
        </w:rPr>
        <w:t>will be subject to trade control provisions which apply to regulated native specimens</w:t>
      </w:r>
      <w:r w:rsidR="00530026">
        <w:rPr>
          <w:sz w:val="24"/>
          <w:szCs w:val="24"/>
        </w:rPr>
        <w:t xml:space="preserve">. </w:t>
      </w:r>
    </w:p>
    <w:p w14:paraId="4B86872C" w14:textId="77777777" w:rsidR="009E4D29" w:rsidRPr="005E7E71" w:rsidRDefault="009E4D29">
      <w:pPr>
        <w:autoSpaceDE w:val="0"/>
        <w:autoSpaceDN w:val="0"/>
        <w:adjustRightInd w:val="0"/>
        <w:rPr>
          <w:sz w:val="24"/>
          <w:szCs w:val="24"/>
        </w:rPr>
      </w:pPr>
    </w:p>
    <w:p w14:paraId="46C73BEF" w14:textId="77777777" w:rsidR="00533779" w:rsidRPr="005E7E71" w:rsidRDefault="00533779">
      <w:pPr>
        <w:autoSpaceDE w:val="0"/>
        <w:autoSpaceDN w:val="0"/>
        <w:adjustRightInd w:val="0"/>
        <w:rPr>
          <w:sz w:val="24"/>
          <w:szCs w:val="24"/>
        </w:rPr>
      </w:pPr>
      <w:r w:rsidRPr="005E7E71">
        <w:rPr>
          <w:sz w:val="24"/>
          <w:szCs w:val="24"/>
        </w:rPr>
        <w:t xml:space="preserve">This instrument is a legislative instrument for the purposes of the </w:t>
      </w:r>
      <w:r w:rsidR="00217D74" w:rsidRPr="005E7E71">
        <w:rPr>
          <w:i/>
          <w:iCs/>
          <w:sz w:val="24"/>
          <w:szCs w:val="24"/>
        </w:rPr>
        <w:t xml:space="preserve">Legislation </w:t>
      </w:r>
      <w:r w:rsidRPr="005E7E71">
        <w:rPr>
          <w:i/>
          <w:iCs/>
          <w:sz w:val="24"/>
          <w:szCs w:val="24"/>
        </w:rPr>
        <w:t>Act 2003</w:t>
      </w:r>
      <w:r w:rsidRPr="005E7E71">
        <w:rPr>
          <w:sz w:val="24"/>
          <w:szCs w:val="24"/>
        </w:rPr>
        <w:t>.</w:t>
      </w:r>
    </w:p>
    <w:p w14:paraId="46C73BF0" w14:textId="77777777" w:rsidR="00533779" w:rsidRPr="005E7E71" w:rsidRDefault="00533779">
      <w:pPr>
        <w:rPr>
          <w:sz w:val="24"/>
          <w:szCs w:val="24"/>
        </w:rPr>
      </w:pPr>
    </w:p>
    <w:p w14:paraId="46C73BF4" w14:textId="27D92AE8" w:rsidR="00D81742" w:rsidRPr="005E7E71" w:rsidRDefault="00533779" w:rsidP="00051628">
      <w:pPr>
        <w:rPr>
          <w:sz w:val="24"/>
          <w:szCs w:val="24"/>
        </w:rPr>
        <w:sectPr w:rsidR="00D81742" w:rsidRPr="005E7E71" w:rsidSect="00051628">
          <w:pgSz w:w="11906" w:h="16838"/>
          <w:pgMar w:top="567" w:right="1418" w:bottom="284" w:left="1418" w:header="720" w:footer="720" w:gutter="0"/>
          <w:cols w:space="720"/>
        </w:sectPr>
      </w:pPr>
      <w:r w:rsidRPr="005E7E71">
        <w:rPr>
          <w:sz w:val="24"/>
          <w:szCs w:val="24"/>
        </w:rPr>
        <w:t xml:space="preserve">The instrument commenced on the day after it was registered on the Federal Register of </w:t>
      </w:r>
      <w:r w:rsidR="00125478" w:rsidRPr="005E7E71">
        <w:rPr>
          <w:sz w:val="24"/>
          <w:szCs w:val="24"/>
        </w:rPr>
        <w:t>Legislation</w:t>
      </w:r>
      <w:r w:rsidR="007B3F15" w:rsidRPr="005E7E71">
        <w:rPr>
          <w:sz w:val="24"/>
          <w:szCs w:val="24"/>
        </w:rPr>
        <w:t xml:space="preserve">. </w:t>
      </w:r>
    </w:p>
    <w:p w14:paraId="46C73BF5" w14:textId="77777777" w:rsidR="00D81742" w:rsidRPr="00D81742" w:rsidRDefault="00D81742" w:rsidP="00D81742">
      <w:pPr>
        <w:pStyle w:val="Heading1"/>
        <w:jc w:val="center"/>
        <w:rPr>
          <w:b/>
          <w:szCs w:val="24"/>
        </w:rPr>
      </w:pPr>
      <w:bookmarkStart w:id="1" w:name="_Toc290210739"/>
      <w:r w:rsidRPr="00D81742">
        <w:rPr>
          <w:b/>
          <w:szCs w:val="24"/>
        </w:rPr>
        <w:lastRenderedPageBreak/>
        <w:t>STATEMENT OF COMPATIBILITY FOR A BILL OR LEGISLATIVE INSTRUMENT</w:t>
      </w:r>
      <w:r w:rsidRPr="00D81742">
        <w:rPr>
          <w:b/>
          <w:szCs w:val="24"/>
          <w:lang w:val="en-AU"/>
        </w:rPr>
        <w:t xml:space="preserve"> </w:t>
      </w:r>
      <w:r w:rsidRPr="00D81742">
        <w:rPr>
          <w:b/>
          <w:szCs w:val="24"/>
        </w:rPr>
        <w:t xml:space="preserve">THAT </w:t>
      </w:r>
      <w:r w:rsidRPr="00D81742">
        <w:rPr>
          <w:b/>
          <w:szCs w:val="24"/>
          <w:u w:val="single"/>
        </w:rPr>
        <w:t>DOES NOT</w:t>
      </w:r>
      <w:r w:rsidRPr="00D81742">
        <w:rPr>
          <w:b/>
          <w:szCs w:val="24"/>
        </w:rPr>
        <w:t xml:space="preserve"> RAISE ANY HUMAN RIGHTS ISSUES</w:t>
      </w:r>
    </w:p>
    <w:p w14:paraId="46C73BF6" w14:textId="77777777" w:rsidR="00D81742" w:rsidRDefault="00D81742" w:rsidP="00D81742">
      <w:pPr>
        <w:ind w:left="720" w:hanging="720"/>
      </w:pPr>
    </w:p>
    <w:p w14:paraId="46C73BF7" w14:textId="77777777" w:rsidR="00D81742" w:rsidRDefault="00D81742" w:rsidP="00D81742">
      <w:pPr>
        <w:ind w:left="720" w:hanging="720"/>
      </w:pPr>
    </w:p>
    <w:p w14:paraId="46C73BF8" w14:textId="2A12AFAB" w:rsidR="00D81742" w:rsidRDefault="00530026" w:rsidP="00D81742">
      <w:pPr>
        <w:ind w:left="720" w:hanging="72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73C12" wp14:editId="04E04062">
                <wp:simplePos x="0" y="0"/>
                <wp:positionH relativeFrom="column">
                  <wp:posOffset>-465455</wp:posOffset>
                </wp:positionH>
                <wp:positionV relativeFrom="paragraph">
                  <wp:posOffset>33020</wp:posOffset>
                </wp:positionV>
                <wp:extent cx="6795135" cy="8046720"/>
                <wp:effectExtent l="38100" t="38100" r="43815" b="304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5135" cy="804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73C2B" w14:textId="77777777" w:rsidR="00487040" w:rsidRPr="00E4135E" w:rsidRDefault="00487040" w:rsidP="00D81742">
                            <w:pPr>
                              <w:spacing w:before="360"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4135E">
                              <w:rPr>
                                <w:b/>
                                <w:sz w:val="28"/>
                                <w:szCs w:val="28"/>
                              </w:rPr>
                              <w:t>Statement of Compatibility with Human Rights</w:t>
                            </w:r>
                          </w:p>
                          <w:p w14:paraId="46C73C2C" w14:textId="77777777" w:rsidR="00487040" w:rsidRPr="00E4135E" w:rsidRDefault="00487040" w:rsidP="00D81742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i/>
                                <w:sz w:val="24"/>
                                <w:szCs w:val="24"/>
                              </w:rPr>
                              <w:t>Prepared in accordance with Part 3 of the Human Rights (Parliamentary Scrutiny) Act 2011</w:t>
                            </w:r>
                          </w:p>
                          <w:p w14:paraId="46C73C2D" w14:textId="77777777" w:rsidR="00487040" w:rsidRPr="00E4135E" w:rsidRDefault="00487040" w:rsidP="00D81742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C73C2E" w14:textId="77777777" w:rsidR="00487040" w:rsidRPr="00E4135E" w:rsidRDefault="00487040" w:rsidP="00D81742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23CE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Amendment of List of Exempt Native Specimens</w:t>
                            </w:r>
                          </w:p>
                          <w:p w14:paraId="46C73C2F" w14:textId="77777777" w:rsidR="00487040" w:rsidRPr="00E4135E" w:rsidRDefault="00487040" w:rsidP="00D81742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sz w:val="24"/>
                                <w:szCs w:val="24"/>
                              </w:rPr>
                              <w:t xml:space="preserve">This Legislative Instrument is compatible with the human rights and freedoms recognised or declared in the international instruments listed in section 3 of the </w:t>
                            </w:r>
                            <w:r w:rsidRPr="00E4135E">
                              <w:rPr>
                                <w:i/>
                                <w:sz w:val="24"/>
                                <w:szCs w:val="24"/>
                              </w:rPr>
                              <w:t>Human Rights (Parliamentary Scrutiny) Act 2011</w:t>
                            </w:r>
                            <w:r w:rsidRPr="00E4135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6C73C30" w14:textId="77777777" w:rsidR="00487040" w:rsidRPr="00E4135E" w:rsidRDefault="00487040" w:rsidP="00D81742">
                            <w:pPr>
                              <w:spacing w:before="120" w:after="120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b/>
                                <w:sz w:val="24"/>
                                <w:szCs w:val="24"/>
                              </w:rPr>
                              <w:t>Overview of the Legislative Instrument</w:t>
                            </w:r>
                          </w:p>
                          <w:p w14:paraId="559EEAA6" w14:textId="77777777" w:rsidR="00A37926" w:rsidRPr="007776DD" w:rsidRDefault="00A37926" w:rsidP="00A37926">
                            <w:pPr>
                              <w:pStyle w:val="normal-dot2"/>
                              <w:numPr>
                                <w:ilvl w:val="0"/>
                                <w:numId w:val="0"/>
                              </w:numPr>
                              <w:spacing w:before="0"/>
                              <w:rPr>
                                <w:szCs w:val="24"/>
                              </w:rPr>
                            </w:pPr>
                            <w:r w:rsidRPr="005E7E71">
                              <w:rPr>
                                <w:szCs w:val="24"/>
                              </w:rPr>
                              <w:t xml:space="preserve">The effect of this </w:t>
                            </w:r>
                            <w:r w:rsidRPr="007776DD">
                              <w:rPr>
                                <w:szCs w:val="24"/>
                              </w:rPr>
                              <w:t xml:space="preserve">instrument is to </w:t>
                            </w:r>
                            <w:r w:rsidRPr="00A37926">
                              <w:rPr>
                                <w:szCs w:val="24"/>
                              </w:rPr>
                              <w:t>amend</w:t>
                            </w:r>
                            <w:r w:rsidRPr="007776DD">
                              <w:rPr>
                                <w:szCs w:val="24"/>
                              </w:rPr>
                              <w:t xml:space="preserve"> the following </w:t>
                            </w:r>
                            <w:r>
                              <w:rPr>
                                <w:szCs w:val="24"/>
                              </w:rPr>
                              <w:t>entry</w:t>
                            </w:r>
                            <w:r w:rsidRPr="007776DD">
                              <w:rPr>
                                <w:szCs w:val="24"/>
                              </w:rPr>
                              <w:t xml:space="preserve"> in the list of exempt native specimens</w:t>
                            </w:r>
                            <w:r>
                              <w:rPr>
                                <w:szCs w:val="24"/>
                              </w:rPr>
                              <w:t xml:space="preserve"> from</w:t>
                            </w:r>
                            <w:r w:rsidRPr="007776DD">
                              <w:rPr>
                                <w:szCs w:val="24"/>
                              </w:rPr>
                              <w:t>:</w:t>
                            </w:r>
                          </w:p>
                          <w:p w14:paraId="4C9CC6B5" w14:textId="77777777" w:rsidR="00A37926" w:rsidRPr="007776DD" w:rsidRDefault="00A37926" w:rsidP="00A37926">
                            <w:pPr>
                              <w:pStyle w:val="normal-dot2"/>
                              <w:numPr>
                                <w:ilvl w:val="0"/>
                                <w:numId w:val="0"/>
                              </w:numPr>
                              <w:spacing w:before="0"/>
                              <w:rPr>
                                <w:szCs w:val="24"/>
                              </w:rPr>
                            </w:pPr>
                          </w:p>
                          <w:p w14:paraId="357FF6E1" w14:textId="77777777" w:rsidR="00A37926" w:rsidRPr="00530026" w:rsidRDefault="00A37926" w:rsidP="00A3792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/>
                              <w:rPr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530026">
                              <w:rPr>
                                <w:sz w:val="24"/>
                                <w:szCs w:val="24"/>
                              </w:rPr>
                              <w:t>Marine shells of any taxa within the Phylum Mollusca except species of Tridacnidae.</w:t>
                            </w:r>
                          </w:p>
                          <w:p w14:paraId="092EE983" w14:textId="77777777" w:rsidR="00A37926" w:rsidRPr="007776DD" w:rsidRDefault="00A37926" w:rsidP="00A37926">
                            <w:pPr>
                              <w:rPr>
                                <w:snapToGrid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napToGrid w:val="0"/>
                                <w:sz w:val="24"/>
                                <w:szCs w:val="24"/>
                              </w:rPr>
                              <w:t>to</w:t>
                            </w:r>
                            <w:r w:rsidRPr="007776DD">
                              <w:rPr>
                                <w:snapToGrid w:val="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7C0FCE9" w14:textId="77777777" w:rsidR="00A37926" w:rsidRPr="007776DD" w:rsidRDefault="00A37926" w:rsidP="00A37926">
                            <w:pPr>
                              <w:rPr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  <w:p w14:paraId="71B36AEE" w14:textId="77777777" w:rsidR="00A37926" w:rsidRPr="00530026" w:rsidRDefault="00A37926" w:rsidP="00A3792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30026">
                              <w:rPr>
                                <w:sz w:val="24"/>
                                <w:szCs w:val="24"/>
                              </w:rPr>
                              <w:t>Marine shells of any taxa within the Phylum Mollusca except species of Tridacnidae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Pr="00530026">
                              <w:rPr>
                                <w:sz w:val="24"/>
                                <w:szCs w:val="24"/>
                              </w:rPr>
                              <w:t xml:space="preserve"> Nautil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idae</w:t>
                            </w:r>
                            <w:r w:rsidRPr="00530026">
                              <w:rPr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6C73C37" w14:textId="18AA4B15" w:rsidR="00487040" w:rsidRPr="007776DD" w:rsidRDefault="00487040" w:rsidP="007776DD">
                            <w:pPr>
                              <w:spacing w:before="120"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76DD">
                              <w:rPr>
                                <w:b/>
                                <w:sz w:val="24"/>
                                <w:szCs w:val="24"/>
                              </w:rPr>
                              <w:t>Human rights implications</w:t>
                            </w:r>
                          </w:p>
                          <w:p w14:paraId="46C73C38" w14:textId="77777777" w:rsidR="00487040" w:rsidRPr="007776DD" w:rsidRDefault="00487040" w:rsidP="00D81742">
                            <w:pPr>
                              <w:spacing w:before="120"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7776DD">
                              <w:rPr>
                                <w:sz w:val="24"/>
                                <w:szCs w:val="24"/>
                              </w:rPr>
                              <w:t>This Legislative Instrument does not engage any of the applicable rights or freedoms.</w:t>
                            </w:r>
                          </w:p>
                          <w:p w14:paraId="46C73C39" w14:textId="77777777" w:rsidR="00487040" w:rsidRPr="007776DD" w:rsidRDefault="00487040" w:rsidP="00D81742">
                            <w:pPr>
                              <w:spacing w:before="120"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76DD">
                              <w:rPr>
                                <w:b/>
                                <w:sz w:val="24"/>
                                <w:szCs w:val="24"/>
                              </w:rPr>
                              <w:t>Conclusion</w:t>
                            </w:r>
                          </w:p>
                          <w:p w14:paraId="46C73C3A" w14:textId="77777777" w:rsidR="00487040" w:rsidRPr="00E4135E" w:rsidRDefault="00487040" w:rsidP="00D81742">
                            <w:pPr>
                              <w:spacing w:before="120"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sz w:val="24"/>
                                <w:szCs w:val="24"/>
                              </w:rPr>
                              <w:t>This Legislative Instrument is compatible with human rights as it does not raise any human rights issues.</w:t>
                            </w:r>
                          </w:p>
                          <w:p w14:paraId="46C73C3B" w14:textId="77777777" w:rsidR="00487040" w:rsidRPr="00E4135E" w:rsidRDefault="00487040" w:rsidP="00D81742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C73C3C" w14:textId="7775D4B7" w:rsidR="00487040" w:rsidRPr="00C55E97" w:rsidRDefault="00B536CB" w:rsidP="00D817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Nathan Hanna</w:t>
                            </w:r>
                            <w:r w:rsidR="00487040" w:rsidRPr="00C74FF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A/g </w:t>
                            </w:r>
                            <w:r w:rsidR="00487040" w:rsidRPr="00C74FF3">
                              <w:rPr>
                                <w:b/>
                                <w:sz w:val="24"/>
                                <w:szCs w:val="24"/>
                              </w:rPr>
                              <w:t>Assistant Secretary, Wildlife Trade and Biosecurity Branch (Delegate of the Minister for the Environment</w:t>
                            </w:r>
                            <w:r w:rsidR="00B23D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Energy</w:t>
                            </w:r>
                            <w:r w:rsidR="00487040" w:rsidRPr="00C74FF3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80000" tIns="45720" rIns="18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73C12" id="Rectangle 2" o:spid="_x0000_s1026" style="position:absolute;left:0;text-align:left;margin-left:-36.65pt;margin-top:2.6pt;width:535.05pt;height:6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" strokeweight="6pt">
                <v:stroke linestyle="thickBetweenThin"/>
                <v:textbox inset="5mm,,5mm">
                  <w:txbxContent>
                    <w:p w14:paraId="46C73C2B" w14:textId="77777777" w:rsidR="00487040" w:rsidRPr="00E4135E" w:rsidRDefault="00487040" w:rsidP="00D81742">
                      <w:pPr>
                        <w:spacing w:before="360"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4135E">
                        <w:rPr>
                          <w:b/>
                          <w:sz w:val="28"/>
                          <w:szCs w:val="28"/>
                        </w:rPr>
                        <w:t>Statement of Compatibility with Human Rights</w:t>
                      </w:r>
                    </w:p>
                    <w:p w14:paraId="46C73C2C" w14:textId="77777777" w:rsidR="00487040" w:rsidRPr="00E4135E" w:rsidRDefault="00487040" w:rsidP="00D81742">
                      <w:pPr>
                        <w:spacing w:before="120" w:after="1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4135E">
                        <w:rPr>
                          <w:i/>
                          <w:sz w:val="24"/>
                          <w:szCs w:val="24"/>
                        </w:rPr>
                        <w:t>Prepared in accordance with Part 3 of the Human Rights (Parliamentary Scrutiny) Act 2011</w:t>
                      </w:r>
                    </w:p>
                    <w:p w14:paraId="46C73C2D" w14:textId="77777777" w:rsidR="00487040" w:rsidRPr="00E4135E" w:rsidRDefault="00487040" w:rsidP="00D81742">
                      <w:pPr>
                        <w:spacing w:before="120" w:after="12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6C73C2E" w14:textId="77777777" w:rsidR="00487040" w:rsidRPr="00E4135E" w:rsidRDefault="00487040" w:rsidP="00D81742">
                      <w:pPr>
                        <w:spacing w:before="120" w:after="1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23CED">
                        <w:rPr>
                          <w:b/>
                          <w:sz w:val="24"/>
                          <w:szCs w:val="24"/>
                          <w:lang w:val="en-US"/>
                        </w:rPr>
                        <w:t>Amendment of List of Exempt Native Specimens</w:t>
                      </w:r>
                    </w:p>
                    <w:p w14:paraId="46C73C2F" w14:textId="77777777" w:rsidR="00487040" w:rsidRPr="00E4135E" w:rsidRDefault="00487040" w:rsidP="00D81742">
                      <w:pPr>
                        <w:spacing w:before="120" w:after="1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4135E">
                        <w:rPr>
                          <w:sz w:val="24"/>
                          <w:szCs w:val="24"/>
                        </w:rPr>
                        <w:t xml:space="preserve">This Legislative Instrument is compatible with the human rights and freedoms recognised or declared in the international instruments listed in section 3 of the </w:t>
                      </w:r>
                      <w:r w:rsidRPr="00E4135E">
                        <w:rPr>
                          <w:i/>
                          <w:sz w:val="24"/>
                          <w:szCs w:val="24"/>
                        </w:rPr>
                        <w:t>Human Rights (Parliamentary Scrutiny) Act 2011</w:t>
                      </w:r>
                      <w:r w:rsidRPr="00E4135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6C73C30" w14:textId="77777777" w:rsidR="00487040" w:rsidRPr="00E4135E" w:rsidRDefault="00487040" w:rsidP="00D81742">
                      <w:pPr>
                        <w:spacing w:before="120" w:after="120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E4135E">
                        <w:rPr>
                          <w:b/>
                          <w:sz w:val="24"/>
                          <w:szCs w:val="24"/>
                        </w:rPr>
                        <w:t>Overview of the Legislative Instrument</w:t>
                      </w:r>
                    </w:p>
                    <w:p w14:paraId="559EEAA6" w14:textId="77777777" w:rsidR="00A37926" w:rsidRPr="007776DD" w:rsidRDefault="00A37926" w:rsidP="00A37926">
                      <w:pPr>
                        <w:pStyle w:val="normal-dot2"/>
                        <w:numPr>
                          <w:ilvl w:val="0"/>
                          <w:numId w:val="0"/>
                        </w:numPr>
                        <w:spacing w:before="0"/>
                        <w:rPr>
                          <w:szCs w:val="24"/>
                        </w:rPr>
                      </w:pPr>
                      <w:r w:rsidRPr="005E7E71">
                        <w:rPr>
                          <w:szCs w:val="24"/>
                        </w:rPr>
                        <w:t xml:space="preserve">The effect of this </w:t>
                      </w:r>
                      <w:r w:rsidRPr="007776DD">
                        <w:rPr>
                          <w:szCs w:val="24"/>
                        </w:rPr>
                        <w:t xml:space="preserve">instrument is to </w:t>
                      </w:r>
                      <w:r w:rsidRPr="00A37926">
                        <w:rPr>
                          <w:szCs w:val="24"/>
                        </w:rPr>
                        <w:t>amend</w:t>
                      </w:r>
                      <w:r w:rsidRPr="007776DD">
                        <w:rPr>
                          <w:szCs w:val="24"/>
                        </w:rPr>
                        <w:t xml:space="preserve"> the following </w:t>
                      </w:r>
                      <w:r>
                        <w:rPr>
                          <w:szCs w:val="24"/>
                        </w:rPr>
                        <w:t>entry</w:t>
                      </w:r>
                      <w:r w:rsidRPr="007776DD">
                        <w:rPr>
                          <w:szCs w:val="24"/>
                        </w:rPr>
                        <w:t xml:space="preserve"> in the list of exempt native specimens</w:t>
                      </w:r>
                      <w:r>
                        <w:rPr>
                          <w:szCs w:val="24"/>
                        </w:rPr>
                        <w:t xml:space="preserve"> from</w:t>
                      </w:r>
                      <w:r w:rsidRPr="007776DD">
                        <w:rPr>
                          <w:szCs w:val="24"/>
                        </w:rPr>
                        <w:t>:</w:t>
                      </w:r>
                    </w:p>
                    <w:p w14:paraId="4C9CC6B5" w14:textId="77777777" w:rsidR="00A37926" w:rsidRPr="007776DD" w:rsidRDefault="00A37926" w:rsidP="00A37926">
                      <w:pPr>
                        <w:pStyle w:val="normal-dot2"/>
                        <w:numPr>
                          <w:ilvl w:val="0"/>
                          <w:numId w:val="0"/>
                        </w:numPr>
                        <w:spacing w:before="0"/>
                        <w:rPr>
                          <w:szCs w:val="24"/>
                        </w:rPr>
                      </w:pPr>
                    </w:p>
                    <w:p w14:paraId="357FF6E1" w14:textId="77777777" w:rsidR="00A37926" w:rsidRPr="00530026" w:rsidRDefault="00A37926" w:rsidP="00A3792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/>
                        <w:rPr>
                          <w:snapToGrid w:val="0"/>
                          <w:sz w:val="24"/>
                          <w:szCs w:val="24"/>
                        </w:rPr>
                      </w:pPr>
                      <w:r w:rsidRPr="00530026">
                        <w:rPr>
                          <w:sz w:val="24"/>
                          <w:szCs w:val="24"/>
                        </w:rPr>
                        <w:t>Marine shells of any taxa within the Phylum Mollusca except species of Tridacnidae.</w:t>
                      </w:r>
                    </w:p>
                    <w:p w14:paraId="092EE983" w14:textId="77777777" w:rsidR="00A37926" w:rsidRPr="007776DD" w:rsidRDefault="00A37926" w:rsidP="00A37926">
                      <w:pPr>
                        <w:rPr>
                          <w:snapToGrid w:val="0"/>
                          <w:sz w:val="24"/>
                          <w:szCs w:val="24"/>
                        </w:rPr>
                      </w:pPr>
                      <w:r>
                        <w:rPr>
                          <w:snapToGrid w:val="0"/>
                          <w:sz w:val="24"/>
                          <w:szCs w:val="24"/>
                        </w:rPr>
                        <w:t>to</w:t>
                      </w:r>
                      <w:r w:rsidRPr="007776DD">
                        <w:rPr>
                          <w:snapToGrid w:val="0"/>
                          <w:sz w:val="24"/>
                          <w:szCs w:val="24"/>
                        </w:rPr>
                        <w:t>:</w:t>
                      </w:r>
                    </w:p>
                    <w:p w14:paraId="67C0FCE9" w14:textId="77777777" w:rsidR="00A37926" w:rsidRPr="007776DD" w:rsidRDefault="00A37926" w:rsidP="00A37926">
                      <w:pPr>
                        <w:rPr>
                          <w:snapToGrid w:val="0"/>
                          <w:sz w:val="24"/>
                          <w:szCs w:val="24"/>
                        </w:rPr>
                      </w:pPr>
                    </w:p>
                    <w:p w14:paraId="71B36AEE" w14:textId="77777777" w:rsidR="00A37926" w:rsidRPr="00530026" w:rsidRDefault="00A37926" w:rsidP="00A3792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i/>
                          <w:sz w:val="24"/>
                          <w:szCs w:val="24"/>
                        </w:rPr>
                      </w:pPr>
                      <w:r w:rsidRPr="00530026">
                        <w:rPr>
                          <w:sz w:val="24"/>
                          <w:szCs w:val="24"/>
                        </w:rPr>
                        <w:t>Marine shells of any taxa within the Phylum Mollusca except species of Tridacnidae</w:t>
                      </w:r>
                      <w:r>
                        <w:rPr>
                          <w:sz w:val="24"/>
                          <w:szCs w:val="24"/>
                        </w:rPr>
                        <w:t xml:space="preserve"> and</w:t>
                      </w:r>
                      <w:r w:rsidRPr="00530026">
                        <w:rPr>
                          <w:sz w:val="24"/>
                          <w:szCs w:val="24"/>
                        </w:rPr>
                        <w:t xml:space="preserve"> Nautil</w:t>
                      </w:r>
                      <w:r>
                        <w:rPr>
                          <w:sz w:val="24"/>
                          <w:szCs w:val="24"/>
                        </w:rPr>
                        <w:t>idae</w:t>
                      </w:r>
                      <w:r w:rsidRPr="00530026">
                        <w:rPr>
                          <w:i/>
                          <w:sz w:val="24"/>
                          <w:szCs w:val="24"/>
                        </w:rPr>
                        <w:t>.</w:t>
                      </w:r>
                    </w:p>
                    <w:p w14:paraId="46C73C37" w14:textId="18AA4B15" w:rsidR="00487040" w:rsidRPr="007776DD" w:rsidRDefault="00487040" w:rsidP="007776DD">
                      <w:pPr>
                        <w:spacing w:before="120" w:after="120"/>
                        <w:rPr>
                          <w:b/>
                          <w:sz w:val="24"/>
                          <w:szCs w:val="24"/>
                        </w:rPr>
                      </w:pPr>
                      <w:r w:rsidRPr="007776DD">
                        <w:rPr>
                          <w:b/>
                          <w:sz w:val="24"/>
                          <w:szCs w:val="24"/>
                        </w:rPr>
                        <w:t>Human rights implications</w:t>
                      </w:r>
                    </w:p>
                    <w:p w14:paraId="46C73C38" w14:textId="77777777" w:rsidR="00487040" w:rsidRPr="007776DD" w:rsidRDefault="00487040" w:rsidP="00D81742">
                      <w:pPr>
                        <w:spacing w:before="120" w:after="120"/>
                        <w:rPr>
                          <w:sz w:val="24"/>
                          <w:szCs w:val="24"/>
                        </w:rPr>
                      </w:pPr>
                      <w:r w:rsidRPr="007776DD">
                        <w:rPr>
                          <w:sz w:val="24"/>
                          <w:szCs w:val="24"/>
                        </w:rPr>
                        <w:t>This Legislative Instrument does not engage any of the applicable rights or freedoms.</w:t>
                      </w:r>
                    </w:p>
                    <w:p w14:paraId="46C73C39" w14:textId="77777777" w:rsidR="00487040" w:rsidRPr="007776DD" w:rsidRDefault="00487040" w:rsidP="00D81742">
                      <w:pPr>
                        <w:spacing w:before="120" w:after="120"/>
                        <w:rPr>
                          <w:b/>
                          <w:sz w:val="24"/>
                          <w:szCs w:val="24"/>
                        </w:rPr>
                      </w:pPr>
                      <w:r w:rsidRPr="007776DD">
                        <w:rPr>
                          <w:b/>
                          <w:sz w:val="24"/>
                          <w:szCs w:val="24"/>
                        </w:rPr>
                        <w:t>Conclusion</w:t>
                      </w:r>
                    </w:p>
                    <w:p w14:paraId="46C73C3A" w14:textId="77777777" w:rsidR="00487040" w:rsidRPr="00E4135E" w:rsidRDefault="00487040" w:rsidP="00D81742">
                      <w:pPr>
                        <w:spacing w:before="120" w:after="120"/>
                        <w:rPr>
                          <w:sz w:val="24"/>
                          <w:szCs w:val="24"/>
                        </w:rPr>
                      </w:pPr>
                      <w:r w:rsidRPr="00E4135E">
                        <w:rPr>
                          <w:sz w:val="24"/>
                          <w:szCs w:val="24"/>
                        </w:rPr>
                        <w:t>This Legislative Instrument is compatible with human rights as it does not raise any human rights issues.</w:t>
                      </w:r>
                    </w:p>
                    <w:p w14:paraId="46C73C3B" w14:textId="77777777" w:rsidR="00487040" w:rsidRPr="00E4135E" w:rsidRDefault="00487040" w:rsidP="00D81742">
                      <w:pPr>
                        <w:spacing w:before="120" w:after="12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6C73C3C" w14:textId="7775D4B7" w:rsidR="00487040" w:rsidRPr="00C55E97" w:rsidRDefault="00B536CB" w:rsidP="00D8174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Nathan Hanna</w:t>
                      </w:r>
                      <w:r w:rsidR="00487040" w:rsidRPr="00C74FF3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A/g </w:t>
                      </w:r>
                      <w:r w:rsidR="00487040" w:rsidRPr="00C74FF3">
                        <w:rPr>
                          <w:b/>
                          <w:sz w:val="24"/>
                          <w:szCs w:val="24"/>
                        </w:rPr>
                        <w:t>Assistant Secretary, Wildlife Trade and Biosecurity Branch (Delegate of the Minister for the Environment</w:t>
                      </w:r>
                      <w:r w:rsidR="00B23D24">
                        <w:rPr>
                          <w:b/>
                          <w:sz w:val="24"/>
                          <w:szCs w:val="24"/>
                        </w:rPr>
                        <w:t xml:space="preserve"> and Energy</w:t>
                      </w:r>
                      <w:r w:rsidR="00487040" w:rsidRPr="00C74FF3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6C73BF9" w14:textId="77777777" w:rsidR="00D81742" w:rsidRDefault="00D81742" w:rsidP="00D81742">
      <w:pPr>
        <w:ind w:left="720" w:hanging="720"/>
      </w:pPr>
    </w:p>
    <w:p w14:paraId="46C73BFA" w14:textId="77777777" w:rsidR="00D81742" w:rsidRDefault="00D81742" w:rsidP="00D81742">
      <w:pPr>
        <w:ind w:left="720" w:hanging="720"/>
      </w:pPr>
    </w:p>
    <w:p w14:paraId="46C73BFB" w14:textId="77777777" w:rsidR="00D81742" w:rsidRDefault="00D81742" w:rsidP="00D81742">
      <w:pPr>
        <w:ind w:left="720" w:hanging="720"/>
      </w:pPr>
    </w:p>
    <w:p w14:paraId="46C73BFC" w14:textId="77777777" w:rsidR="00D81742" w:rsidRDefault="00D81742" w:rsidP="00D81742">
      <w:pPr>
        <w:ind w:left="720" w:hanging="720"/>
      </w:pPr>
    </w:p>
    <w:p w14:paraId="46C73BFD" w14:textId="77777777" w:rsidR="00D81742" w:rsidRDefault="00D81742" w:rsidP="00D81742">
      <w:pPr>
        <w:ind w:left="720" w:hanging="720"/>
      </w:pPr>
    </w:p>
    <w:p w14:paraId="46C73BFE" w14:textId="77777777" w:rsidR="00D81742" w:rsidRDefault="00D81742" w:rsidP="00D81742">
      <w:pPr>
        <w:ind w:left="720" w:hanging="720"/>
      </w:pPr>
    </w:p>
    <w:p w14:paraId="46C73BFF" w14:textId="77777777" w:rsidR="00D81742" w:rsidRDefault="00D81742" w:rsidP="00D81742">
      <w:pPr>
        <w:ind w:left="720" w:hanging="720"/>
      </w:pPr>
    </w:p>
    <w:p w14:paraId="46C73C00" w14:textId="77777777" w:rsidR="00D81742" w:rsidRDefault="00D81742" w:rsidP="00D81742">
      <w:pPr>
        <w:ind w:left="720" w:hanging="720"/>
      </w:pPr>
    </w:p>
    <w:p w14:paraId="46C73C01" w14:textId="77777777" w:rsidR="00D81742" w:rsidRDefault="00D81742" w:rsidP="00D81742">
      <w:pPr>
        <w:ind w:left="720" w:hanging="720"/>
      </w:pPr>
    </w:p>
    <w:p w14:paraId="46C73C02" w14:textId="77777777" w:rsidR="00D81742" w:rsidRDefault="00D81742" w:rsidP="00D81742">
      <w:pPr>
        <w:ind w:left="720" w:hanging="720"/>
      </w:pPr>
    </w:p>
    <w:p w14:paraId="46C73C03" w14:textId="77777777" w:rsidR="00D81742" w:rsidRDefault="00D81742" w:rsidP="00D81742">
      <w:pPr>
        <w:ind w:left="720" w:hanging="720"/>
      </w:pPr>
    </w:p>
    <w:p w14:paraId="46C73C04" w14:textId="77777777" w:rsidR="00D81742" w:rsidRDefault="00D81742" w:rsidP="00D81742">
      <w:pPr>
        <w:ind w:left="720" w:hanging="720"/>
      </w:pPr>
    </w:p>
    <w:p w14:paraId="46C73C05" w14:textId="77777777" w:rsidR="00D81742" w:rsidRDefault="00D81742" w:rsidP="00D81742">
      <w:pPr>
        <w:ind w:left="720" w:hanging="720"/>
      </w:pPr>
    </w:p>
    <w:p w14:paraId="46C73C06" w14:textId="77777777" w:rsidR="00D81742" w:rsidRDefault="00D81742" w:rsidP="00D81742">
      <w:pPr>
        <w:ind w:left="720" w:hanging="720"/>
      </w:pPr>
    </w:p>
    <w:p w14:paraId="46C73C07" w14:textId="77777777" w:rsidR="00D81742" w:rsidRDefault="00D81742" w:rsidP="00D81742">
      <w:pPr>
        <w:ind w:left="720" w:hanging="720"/>
      </w:pPr>
    </w:p>
    <w:p w14:paraId="46C73C08" w14:textId="77777777" w:rsidR="00D81742" w:rsidRDefault="00D81742" w:rsidP="00D81742">
      <w:pPr>
        <w:ind w:left="720" w:hanging="720"/>
      </w:pPr>
    </w:p>
    <w:p w14:paraId="46C73C09" w14:textId="77777777" w:rsidR="00D81742" w:rsidRDefault="00D81742" w:rsidP="00D81742">
      <w:pPr>
        <w:ind w:left="720" w:hanging="720"/>
      </w:pPr>
    </w:p>
    <w:p w14:paraId="46C73C0A" w14:textId="77777777" w:rsidR="00D81742" w:rsidRDefault="00D81742" w:rsidP="00D81742">
      <w:pPr>
        <w:ind w:left="720" w:hanging="720"/>
      </w:pPr>
    </w:p>
    <w:p w14:paraId="46C73C0B" w14:textId="77777777" w:rsidR="00D81742" w:rsidRDefault="00D81742" w:rsidP="00D81742">
      <w:pPr>
        <w:ind w:left="720" w:hanging="720"/>
      </w:pPr>
    </w:p>
    <w:bookmarkEnd w:id="1"/>
    <w:p w14:paraId="46C73C0C" w14:textId="77777777" w:rsidR="00D81742" w:rsidRDefault="00D81742" w:rsidP="00D81742">
      <w:pPr>
        <w:ind w:left="720" w:hanging="720"/>
      </w:pPr>
    </w:p>
    <w:p w14:paraId="46C73C0D" w14:textId="77777777" w:rsidR="00D81742" w:rsidRDefault="00D81742" w:rsidP="00D81742">
      <w:pPr>
        <w:ind w:left="720" w:hanging="720"/>
      </w:pPr>
    </w:p>
    <w:p w14:paraId="46C73C0E" w14:textId="77777777" w:rsidR="00D81742" w:rsidRDefault="00D81742" w:rsidP="00D81742">
      <w:pPr>
        <w:ind w:left="720" w:hanging="720"/>
      </w:pPr>
    </w:p>
    <w:p w14:paraId="46C73C0F" w14:textId="77777777" w:rsidR="00D81742" w:rsidRDefault="00D81742" w:rsidP="00D81742">
      <w:pPr>
        <w:ind w:left="720" w:hanging="720"/>
      </w:pPr>
    </w:p>
    <w:p w14:paraId="46C73C10" w14:textId="77777777" w:rsidR="00D81742" w:rsidRPr="007A25A0" w:rsidRDefault="00D81742" w:rsidP="00D81742">
      <w:pPr>
        <w:rPr>
          <w:sz w:val="24"/>
          <w:szCs w:val="24"/>
        </w:rPr>
      </w:pPr>
    </w:p>
    <w:sectPr w:rsidR="00D81742" w:rsidRPr="007A25A0" w:rsidSect="00051628">
      <w:footerReference w:type="default" r:id="rId12"/>
      <w:pgSz w:w="11906" w:h="16838"/>
      <w:pgMar w:top="567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73C26" w14:textId="77777777" w:rsidR="00487040" w:rsidRDefault="00487040" w:rsidP="00051628">
      <w:r>
        <w:separator/>
      </w:r>
    </w:p>
  </w:endnote>
  <w:endnote w:type="continuationSeparator" w:id="0">
    <w:p w14:paraId="46C73C27" w14:textId="77777777" w:rsidR="00487040" w:rsidRDefault="00487040" w:rsidP="0005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73C2A" w14:textId="77777777" w:rsidR="00487040" w:rsidRPr="00D81742" w:rsidRDefault="00487040" w:rsidP="00D81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73C24" w14:textId="77777777" w:rsidR="00487040" w:rsidRDefault="00487040" w:rsidP="00051628">
      <w:r>
        <w:separator/>
      </w:r>
    </w:p>
  </w:footnote>
  <w:footnote w:type="continuationSeparator" w:id="0">
    <w:p w14:paraId="46C73C25" w14:textId="77777777" w:rsidR="00487040" w:rsidRDefault="00487040" w:rsidP="0005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EBEAD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52A88"/>
    <w:multiLevelType w:val="singleLevel"/>
    <w:tmpl w:val="E0F81E7E"/>
    <w:lvl w:ilvl="0">
      <w:start w:val="1"/>
      <w:numFmt w:val="bullet"/>
      <w:pStyle w:val="normal-dot2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654D4C"/>
    <w:multiLevelType w:val="hybridMultilevel"/>
    <w:tmpl w:val="52B41F3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656B48"/>
    <w:multiLevelType w:val="hybridMultilevel"/>
    <w:tmpl w:val="CC7640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C1420"/>
    <w:multiLevelType w:val="hybridMultilevel"/>
    <w:tmpl w:val="75B07B0C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6162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B3121C"/>
    <w:multiLevelType w:val="hybridMultilevel"/>
    <w:tmpl w:val="2DA09832"/>
    <w:lvl w:ilvl="0" w:tplc="C8B0C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3F8AF7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A73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4C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A6DD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0C29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FC21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CB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AC5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F109C"/>
    <w:multiLevelType w:val="hybridMultilevel"/>
    <w:tmpl w:val="EBDE2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652A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5C96EBE"/>
    <w:multiLevelType w:val="hybridMultilevel"/>
    <w:tmpl w:val="839A2D3E"/>
    <w:lvl w:ilvl="0" w:tplc="B5B6B86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139A2"/>
    <w:multiLevelType w:val="hybridMultilevel"/>
    <w:tmpl w:val="03C85834"/>
    <w:lvl w:ilvl="0" w:tplc="54F21F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90D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483444"/>
    <w:multiLevelType w:val="hybridMultilevel"/>
    <w:tmpl w:val="88164E02"/>
    <w:lvl w:ilvl="0" w:tplc="5D1EC2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0568B"/>
    <w:multiLevelType w:val="singleLevel"/>
    <w:tmpl w:val="53961994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4" w15:restartNumberingAfterBreak="0">
    <w:nsid w:val="2B8D75F1"/>
    <w:multiLevelType w:val="hybridMultilevel"/>
    <w:tmpl w:val="03C85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E1335"/>
    <w:multiLevelType w:val="hybridMultilevel"/>
    <w:tmpl w:val="374E0D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E4347D"/>
    <w:multiLevelType w:val="hybridMultilevel"/>
    <w:tmpl w:val="FC24B04A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C7A39"/>
    <w:multiLevelType w:val="hybridMultilevel"/>
    <w:tmpl w:val="7882B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61372"/>
    <w:multiLevelType w:val="hybridMultilevel"/>
    <w:tmpl w:val="802826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16EBF"/>
    <w:multiLevelType w:val="hybridMultilevel"/>
    <w:tmpl w:val="DBC48260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445E22"/>
    <w:multiLevelType w:val="hybridMultilevel"/>
    <w:tmpl w:val="08CAB11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4D56DD"/>
    <w:multiLevelType w:val="hybridMultilevel"/>
    <w:tmpl w:val="3EBACA02"/>
    <w:lvl w:ilvl="0" w:tplc="5D1EC2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4D6850E0"/>
    <w:multiLevelType w:val="hybridMultilevel"/>
    <w:tmpl w:val="E57EB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F5DBB"/>
    <w:multiLevelType w:val="hybridMultilevel"/>
    <w:tmpl w:val="3D6487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E3713C"/>
    <w:multiLevelType w:val="hybridMultilevel"/>
    <w:tmpl w:val="AE0A3D2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3975BE0"/>
    <w:multiLevelType w:val="singleLevel"/>
    <w:tmpl w:val="AD9AA2AC"/>
    <w:lvl w:ilvl="0">
      <w:start w:val="1"/>
      <w:numFmt w:val="bullet"/>
      <w:pStyle w:val="normal-do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7307C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AF331CD"/>
    <w:multiLevelType w:val="hybridMultilevel"/>
    <w:tmpl w:val="4D84429A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3F039D"/>
    <w:multiLevelType w:val="hybridMultilevel"/>
    <w:tmpl w:val="90AA4E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BD03AA"/>
    <w:multiLevelType w:val="hybridMultilevel"/>
    <w:tmpl w:val="5760871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E9297D"/>
    <w:multiLevelType w:val="hybridMultilevel"/>
    <w:tmpl w:val="CA687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1"/>
  </w:num>
  <w:num w:numId="5">
    <w:abstractNumId w:val="26"/>
  </w:num>
  <w:num w:numId="6">
    <w:abstractNumId w:val="24"/>
  </w:num>
  <w:num w:numId="7">
    <w:abstractNumId w:val="14"/>
  </w:num>
  <w:num w:numId="8">
    <w:abstractNumId w:val="10"/>
  </w:num>
  <w:num w:numId="9">
    <w:abstractNumId w:val="19"/>
  </w:num>
  <w:num w:numId="10">
    <w:abstractNumId w:val="4"/>
  </w:num>
  <w:num w:numId="11">
    <w:abstractNumId w:val="7"/>
  </w:num>
  <w:num w:numId="12">
    <w:abstractNumId w:val="2"/>
  </w:num>
  <w:num w:numId="13">
    <w:abstractNumId w:val="20"/>
  </w:num>
  <w:num w:numId="14">
    <w:abstractNumId w:val="28"/>
  </w:num>
  <w:num w:numId="15">
    <w:abstractNumId w:val="13"/>
  </w:num>
  <w:num w:numId="16">
    <w:abstractNumId w:val="25"/>
  </w:num>
  <w:num w:numId="17">
    <w:abstractNumId w:val="16"/>
  </w:num>
  <w:num w:numId="18">
    <w:abstractNumId w:val="15"/>
  </w:num>
  <w:num w:numId="19">
    <w:abstractNumId w:val="27"/>
  </w:num>
  <w:num w:numId="20">
    <w:abstractNumId w:val="5"/>
  </w:num>
  <w:num w:numId="21">
    <w:abstractNumId w:val="29"/>
  </w:num>
  <w:num w:numId="22">
    <w:abstractNumId w:val="9"/>
  </w:num>
  <w:num w:numId="23">
    <w:abstractNumId w:val="12"/>
  </w:num>
  <w:num w:numId="24">
    <w:abstractNumId w:val="21"/>
  </w:num>
  <w:num w:numId="25">
    <w:abstractNumId w:val="18"/>
  </w:num>
  <w:num w:numId="26">
    <w:abstractNumId w:val="3"/>
  </w:num>
  <w:num w:numId="27">
    <w:abstractNumId w:val="0"/>
  </w:num>
  <w:num w:numId="28">
    <w:abstractNumId w:val="23"/>
  </w:num>
  <w:num w:numId="29">
    <w:abstractNumId w:val="22"/>
  </w:num>
  <w:num w:numId="30">
    <w:abstractNumId w:val="17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6B"/>
    <w:rsid w:val="000257CB"/>
    <w:rsid w:val="00033C97"/>
    <w:rsid w:val="00051628"/>
    <w:rsid w:val="000623EA"/>
    <w:rsid w:val="000C592F"/>
    <w:rsid w:val="000E556B"/>
    <w:rsid w:val="00125478"/>
    <w:rsid w:val="00147423"/>
    <w:rsid w:val="0017075B"/>
    <w:rsid w:val="001945EF"/>
    <w:rsid w:val="001C7B38"/>
    <w:rsid w:val="00210ABA"/>
    <w:rsid w:val="00217D74"/>
    <w:rsid w:val="00235E78"/>
    <w:rsid w:val="00280250"/>
    <w:rsid w:val="00365A5F"/>
    <w:rsid w:val="00386F35"/>
    <w:rsid w:val="0039094C"/>
    <w:rsid w:val="00397276"/>
    <w:rsid w:val="003C0A8B"/>
    <w:rsid w:val="003E1A73"/>
    <w:rsid w:val="00415034"/>
    <w:rsid w:val="00467795"/>
    <w:rsid w:val="00481CED"/>
    <w:rsid w:val="00487040"/>
    <w:rsid w:val="0049056C"/>
    <w:rsid w:val="004A7700"/>
    <w:rsid w:val="004B1560"/>
    <w:rsid w:val="004E0CB2"/>
    <w:rsid w:val="00502D16"/>
    <w:rsid w:val="00512861"/>
    <w:rsid w:val="00527A58"/>
    <w:rsid w:val="00530026"/>
    <w:rsid w:val="00533779"/>
    <w:rsid w:val="005663D9"/>
    <w:rsid w:val="005A6078"/>
    <w:rsid w:val="005C5008"/>
    <w:rsid w:val="005E7E71"/>
    <w:rsid w:val="0061500D"/>
    <w:rsid w:val="00651AAE"/>
    <w:rsid w:val="006D2602"/>
    <w:rsid w:val="007776DD"/>
    <w:rsid w:val="007850EF"/>
    <w:rsid w:val="007A25A0"/>
    <w:rsid w:val="007B3F15"/>
    <w:rsid w:val="007C5254"/>
    <w:rsid w:val="0083068F"/>
    <w:rsid w:val="00854725"/>
    <w:rsid w:val="008802D9"/>
    <w:rsid w:val="008B082D"/>
    <w:rsid w:val="008C4065"/>
    <w:rsid w:val="009035A6"/>
    <w:rsid w:val="00914094"/>
    <w:rsid w:val="00915D65"/>
    <w:rsid w:val="00934703"/>
    <w:rsid w:val="009A5DEE"/>
    <w:rsid w:val="009C30C6"/>
    <w:rsid w:val="009E4D29"/>
    <w:rsid w:val="009F0A73"/>
    <w:rsid w:val="009F1B2B"/>
    <w:rsid w:val="00A113D2"/>
    <w:rsid w:val="00A27ED1"/>
    <w:rsid w:val="00A37926"/>
    <w:rsid w:val="00A643FB"/>
    <w:rsid w:val="00AD09C4"/>
    <w:rsid w:val="00AD4C17"/>
    <w:rsid w:val="00AE785E"/>
    <w:rsid w:val="00AF5D14"/>
    <w:rsid w:val="00B23D24"/>
    <w:rsid w:val="00B4356B"/>
    <w:rsid w:val="00B536CB"/>
    <w:rsid w:val="00BA7C87"/>
    <w:rsid w:val="00C11D34"/>
    <w:rsid w:val="00C123E4"/>
    <w:rsid w:val="00C44E87"/>
    <w:rsid w:val="00C74FF3"/>
    <w:rsid w:val="00C769B8"/>
    <w:rsid w:val="00C8556E"/>
    <w:rsid w:val="00CB3107"/>
    <w:rsid w:val="00CD419A"/>
    <w:rsid w:val="00CE4BA8"/>
    <w:rsid w:val="00D042D3"/>
    <w:rsid w:val="00D37F54"/>
    <w:rsid w:val="00D53A7F"/>
    <w:rsid w:val="00D81742"/>
    <w:rsid w:val="00DC5A7B"/>
    <w:rsid w:val="00E55ABC"/>
    <w:rsid w:val="00E71A94"/>
    <w:rsid w:val="00E737D2"/>
    <w:rsid w:val="00F41E66"/>
    <w:rsid w:val="00F8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73BD6"/>
  <w15:docId w15:val="{5551B3AA-4F82-4603-A223-FDFA0E01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94C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94C"/>
    <w:pPr>
      <w:keepNext/>
      <w:outlineLvl w:val="0"/>
    </w:pPr>
    <w:rPr>
      <w:snapToGrid w:val="0"/>
      <w:sz w:val="24"/>
      <w:lang w:val="en-US"/>
    </w:rPr>
  </w:style>
  <w:style w:type="paragraph" w:styleId="Heading3">
    <w:name w:val="heading 3"/>
    <w:basedOn w:val="Normal"/>
    <w:next w:val="Normal"/>
    <w:qFormat/>
    <w:rsid w:val="003909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094C"/>
    <w:rPr>
      <w:color w:val="0000FF"/>
      <w:u w:val="single"/>
    </w:rPr>
  </w:style>
  <w:style w:type="paragraph" w:customStyle="1" w:styleId="normal-dot2">
    <w:name w:val="normal-dot 2"/>
    <w:basedOn w:val="Normal"/>
    <w:rsid w:val="0039094C"/>
    <w:pPr>
      <w:numPr>
        <w:numId w:val="1"/>
      </w:numPr>
      <w:spacing w:before="80"/>
      <w:ind w:left="709" w:hanging="425"/>
    </w:pPr>
    <w:rPr>
      <w:sz w:val="24"/>
    </w:rPr>
  </w:style>
  <w:style w:type="paragraph" w:styleId="Title">
    <w:name w:val="Title"/>
    <w:basedOn w:val="Normal"/>
    <w:qFormat/>
    <w:rsid w:val="0039094C"/>
    <w:pPr>
      <w:jc w:val="center"/>
    </w:pPr>
    <w:rPr>
      <w:b/>
      <w:sz w:val="28"/>
    </w:rPr>
  </w:style>
  <w:style w:type="paragraph" w:customStyle="1" w:styleId="normal-dot">
    <w:name w:val="normal-dot"/>
    <w:basedOn w:val="Normal"/>
    <w:rsid w:val="0039094C"/>
    <w:pPr>
      <w:numPr>
        <w:numId w:val="16"/>
      </w:numPr>
      <w:spacing w:before="120"/>
      <w:ind w:left="357" w:hanging="357"/>
    </w:pPr>
    <w:rPr>
      <w:sz w:val="22"/>
    </w:rPr>
  </w:style>
  <w:style w:type="paragraph" w:styleId="BodyTextIndent">
    <w:name w:val="Body Text Indent"/>
    <w:basedOn w:val="Normal"/>
    <w:rsid w:val="0039094C"/>
    <w:pPr>
      <w:ind w:left="360"/>
    </w:pPr>
    <w:rPr>
      <w:sz w:val="24"/>
    </w:rPr>
  </w:style>
  <w:style w:type="character" w:styleId="Emphasis">
    <w:name w:val="Emphasis"/>
    <w:basedOn w:val="DefaultParagraphFont"/>
    <w:qFormat/>
    <w:rsid w:val="0039094C"/>
    <w:rPr>
      <w:i/>
      <w:iCs/>
    </w:rPr>
  </w:style>
  <w:style w:type="character" w:styleId="Strong">
    <w:name w:val="Strong"/>
    <w:basedOn w:val="DefaultParagraphFont"/>
    <w:qFormat/>
    <w:rsid w:val="0039094C"/>
    <w:rPr>
      <w:b/>
      <w:bCs/>
    </w:rPr>
  </w:style>
  <w:style w:type="paragraph" w:styleId="NormalWeb">
    <w:name w:val="Normal (Web)"/>
    <w:basedOn w:val="Normal"/>
    <w:rsid w:val="0039094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BalloonText">
    <w:name w:val="Balloon Text"/>
    <w:basedOn w:val="Normal"/>
    <w:semiHidden/>
    <w:rsid w:val="003909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909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9094C"/>
  </w:style>
  <w:style w:type="paragraph" w:styleId="CommentSubject">
    <w:name w:val="annotation subject"/>
    <w:basedOn w:val="CommentText"/>
    <w:next w:val="CommentText"/>
    <w:semiHidden/>
    <w:rsid w:val="0039094C"/>
    <w:rPr>
      <w:b/>
      <w:bCs/>
    </w:rPr>
  </w:style>
  <w:style w:type="paragraph" w:styleId="Header">
    <w:name w:val="header"/>
    <w:basedOn w:val="Normal"/>
    <w:link w:val="HeaderChar"/>
    <w:rsid w:val="000516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1628"/>
    <w:rPr>
      <w:lang w:eastAsia="en-US"/>
    </w:rPr>
  </w:style>
  <w:style w:type="paragraph" w:styleId="Footer">
    <w:name w:val="footer"/>
    <w:basedOn w:val="Normal"/>
    <w:link w:val="FooterChar"/>
    <w:uiPriority w:val="99"/>
    <w:rsid w:val="000516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628"/>
    <w:rPr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0ABA"/>
    <w:rPr>
      <w:rFonts w:ascii="Consolas" w:eastAsia="Calibri" w:hAnsi="Consolas" w:cs="Consolas"/>
      <w:sz w:val="21"/>
      <w:szCs w:val="21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10ABA"/>
    <w:rPr>
      <w:rFonts w:ascii="Consolas" w:eastAsia="Calibri" w:hAnsi="Consolas" w:cs="Consolas"/>
      <w:sz w:val="21"/>
      <w:szCs w:val="21"/>
    </w:rPr>
  </w:style>
  <w:style w:type="character" w:customStyle="1" w:styleId="CommentTextChar">
    <w:name w:val="Comment Text Char"/>
    <w:basedOn w:val="DefaultParagraphFont"/>
    <w:link w:val="CommentText"/>
    <w:semiHidden/>
    <w:rsid w:val="009035A6"/>
    <w:rPr>
      <w:lang w:eastAsia="en-US"/>
    </w:rPr>
  </w:style>
  <w:style w:type="character" w:customStyle="1" w:styleId="Heading1Char">
    <w:name w:val="Heading 1 Char"/>
    <w:link w:val="Heading1"/>
    <w:uiPriority w:val="9"/>
    <w:rsid w:val="00D81742"/>
    <w:rPr>
      <w:snapToGrid w:val="0"/>
      <w:sz w:val="24"/>
      <w:lang w:val="en-US" w:eastAsia="en-US"/>
    </w:rPr>
  </w:style>
  <w:style w:type="paragraph" w:styleId="ListBullet">
    <w:name w:val="List Bullet"/>
    <w:basedOn w:val="Normal"/>
    <w:unhideWhenUsed/>
    <w:rsid w:val="005E7E71"/>
    <w:pPr>
      <w:numPr>
        <w:numId w:val="27"/>
      </w:numPr>
      <w:contextualSpacing/>
    </w:pPr>
  </w:style>
  <w:style w:type="paragraph" w:styleId="ListParagraph">
    <w:name w:val="List Paragraph"/>
    <w:basedOn w:val="Normal"/>
    <w:uiPriority w:val="34"/>
    <w:qFormat/>
    <w:rsid w:val="00530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344c6e69-c594-4ca4-b341-09ae9dfc1422" xsi:nil="true"/>
    <Function xmlns="344c6e69-c594-4ca4-b341-09ae9dfc1422">Regulation</Function>
    <IconOverlay xmlns="http://schemas.microsoft.com/sharepoint/v4" xsi:nil="true"/>
    <DocumentDescription xmlns="344c6e69-c594-4ca4-b341-09ae9dfc1422">Draft Explanatory statement for listing the Microbial Screening Plant Library on the LENS </DocumentDescription>
    <RecordNumber xmlns="344c6e69-c594-4ca4-b341-09ae9dfc1422">001486087</RecordNumber>
  </documentManagement>
</p:properties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01A56802C5B3924CB2D3DB98D8C9CEDB" ma:contentTypeVersion="7" ma:contentTypeDescription="SPIRE Document" ma:contentTypeScope="" ma:versionID="a5e504440d96763700c759764404a9cd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9ec5ea965922893bebddee06a7ddcdff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Regul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1599D-D585-4840-977C-53C00E50E9B0}"/>
</file>

<file path=customXml/itemProps2.xml><?xml version="1.0" encoding="utf-8"?>
<ds:datastoreItem xmlns:ds="http://schemas.openxmlformats.org/officeDocument/2006/customXml" ds:itemID="{B562F69F-8463-4E5A-9FAF-1A0E416E9393}"/>
</file>

<file path=customXml/itemProps3.xml><?xml version="1.0" encoding="utf-8"?>
<ds:datastoreItem xmlns:ds="http://schemas.openxmlformats.org/officeDocument/2006/customXml" ds:itemID="{53543385-E6C8-4860-B20A-687520CF4967}"/>
</file>

<file path=customXml/itemProps4.xml><?xml version="1.0" encoding="utf-8"?>
<ds:datastoreItem xmlns:ds="http://schemas.openxmlformats.org/officeDocument/2006/customXml" ds:itemID="{6A5691EC-4DEF-490D-BF0E-ACB8795B5CF1}"/>
</file>

<file path=customXml/itemProps5.xml><?xml version="1.0" encoding="utf-8"?>
<ds:datastoreItem xmlns:ds="http://schemas.openxmlformats.org/officeDocument/2006/customXml" ds:itemID="{537B304A-355F-431A-927F-E5A50FDDB46C}"/>
</file>

<file path=docProps/app.xml><?xml version="1.0" encoding="utf-8"?>
<Properties xmlns="http://schemas.openxmlformats.org/officeDocument/2006/extended-properties" xmlns:vt="http://schemas.openxmlformats.org/officeDocument/2006/docPropsVTypes">
  <Template>DC37AEB7</Template>
  <TotalTime>12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LENS listing - Explanatory Statement</vt:lpstr>
    </vt:vector>
  </TitlesOfParts>
  <Company>EA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LENS listing - Explanatory Statement</dc:title>
  <dc:creator>[LogonUser]</dc:creator>
  <cp:lastModifiedBy>Wilkins, Ros</cp:lastModifiedBy>
  <cp:revision>9</cp:revision>
  <cp:lastPrinted>2016-10-20T23:12:00Z</cp:lastPrinted>
  <dcterms:created xsi:type="dcterms:W3CDTF">2016-11-16T00:22:00Z</dcterms:created>
  <dcterms:modified xsi:type="dcterms:W3CDTF">2017-01-04T03:10:00Z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0x0101009DB8618430E8D149BA674DA7B0E0C3F00001A56802C5B3924CB2D3DB98D8C9CEDB</vt:lpwstr>
  </property>
  <property fmtid="{D5CDD505-2E9C-101B-9397-08002B2CF9AE}" pid="3" name="RecordPoint_SubmissionDate">
    <vt:lpwstr/>
  </property>
  <property fmtid="{D5CDD505-2E9C-101B-9397-08002B2CF9AE}" pid="4" name="RecordPoint_RecordNumberSubmitted">
    <vt:lpwstr>001486087</vt:lpwstr>
  </property>
  <property fmtid="{D5CDD505-2E9C-101B-9397-08002B2CF9AE}" pid="5" name="RecordPoint_ActiveItemSiteId">
    <vt:lpwstr>{8003c3b3-d20c-4e9a-bee9-0e2243d810ee}</vt:lpwstr>
  </property>
  <property fmtid="{D5CDD505-2E9C-101B-9397-08002B2CF9AE}" pid="6" name="RecordPoint_ActiveItemListId">
    <vt:lpwstr>{6093c3d3-7f25-4188-8657-48470e92f428}</vt:lpwstr>
  </property>
  <property fmtid="{D5CDD505-2E9C-101B-9397-08002B2CF9AE}" pid="7" name="RecordPoint_ActiveItemMoved">
    <vt:lpwstr/>
  </property>
  <property fmtid="{D5CDD505-2E9C-101B-9397-08002B2CF9AE}" pid="8" name="RecordPoint_RecordFormat">
    <vt:lpwstr/>
  </property>
  <property fmtid="{D5CDD505-2E9C-101B-9397-08002B2CF9AE}" pid="9" name="RecordPoint_SubmissionCompleted">
    <vt:lpwstr>2017-01-06T16:52:09.6942374+11:00</vt:lpwstr>
  </property>
  <property fmtid="{D5CDD505-2E9C-101B-9397-08002B2CF9AE}" pid="10" name="RecordPoint_ActiveItemUniqueId">
    <vt:lpwstr>{282d97f2-c80b-49f4-acde-8cc924ea2c58}</vt:lpwstr>
  </property>
  <property fmtid="{D5CDD505-2E9C-101B-9397-08002B2CF9AE}" pid="11" name="RecordPoint_ActiveItemWebId">
    <vt:lpwstr>{ce0940a8-fbdd-4d61-aa5f-5fccf7e3a693}</vt:lpwstr>
  </property>
  <property fmtid="{D5CDD505-2E9C-101B-9397-08002B2CF9AE}" pid="12" name="RecordPoint_WorkflowType">
    <vt:lpwstr>ActiveSubmitStub</vt:lpwstr>
  </property>
</Properties>
</file>