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57" w:type="dxa"/>
          <w:left w:w="0" w:type="dxa"/>
          <w:bottom w:w="57" w:type="dxa"/>
          <w:right w:w="0" w:type="dxa"/>
        </w:tblCellMar>
        <w:tblLook w:val="04A0" w:firstRow="1" w:lastRow="0" w:firstColumn="1" w:lastColumn="0" w:noHBand="0" w:noVBand="1"/>
      </w:tblPr>
      <w:tblGrid>
        <w:gridCol w:w="5098"/>
      </w:tblGrid>
      <w:tr w:rsidR="00305033" w:rsidRPr="0043154D" w14:paraId="6F2F4811" w14:textId="77777777" w:rsidTr="00526FC5">
        <w:trPr>
          <w:trHeight w:hRule="exact" w:val="1631"/>
        </w:trPr>
        <w:tc>
          <w:tcPr>
            <w:tcW w:w="5098" w:type="dxa"/>
          </w:tcPr>
          <w:p w14:paraId="4807C2C5" w14:textId="77777777" w:rsidR="00C41545" w:rsidRPr="00C41545" w:rsidRDefault="00C41545" w:rsidP="00C41545">
            <w:pPr>
              <w:tabs>
                <w:tab w:val="left" w:pos="1725"/>
              </w:tabs>
              <w:spacing w:before="0" w:after="0"/>
              <w:rPr>
                <w:rFonts w:eastAsia="Times New Roman" w:cs="Arial"/>
                <w:color w:val="auto"/>
                <w:sz w:val="22"/>
              </w:rPr>
            </w:pPr>
            <w:r w:rsidRPr="00C41545">
              <w:rPr>
                <w:rFonts w:eastAsia="Times New Roman" w:cs="Arial"/>
                <w:color w:val="auto"/>
                <w:sz w:val="22"/>
              </w:rPr>
              <w:t>The Hon Josh Frydenberg MP</w:t>
            </w:r>
          </w:p>
          <w:p w14:paraId="6CC7E684" w14:textId="77777777" w:rsidR="00C41545" w:rsidRPr="00C41545" w:rsidRDefault="00C41545" w:rsidP="00C41545">
            <w:pPr>
              <w:tabs>
                <w:tab w:val="left" w:pos="1725"/>
              </w:tabs>
              <w:spacing w:before="0" w:after="0"/>
              <w:rPr>
                <w:rFonts w:eastAsia="Times New Roman" w:cs="Arial"/>
                <w:color w:val="auto"/>
                <w:sz w:val="22"/>
              </w:rPr>
            </w:pPr>
            <w:r w:rsidRPr="00C41545">
              <w:rPr>
                <w:rFonts w:eastAsia="Times New Roman" w:cs="Arial"/>
                <w:color w:val="auto"/>
                <w:sz w:val="22"/>
              </w:rPr>
              <w:t>Minister for the Environment and Energy</w:t>
            </w:r>
          </w:p>
          <w:p w14:paraId="4BE345D2" w14:textId="77777777" w:rsidR="00C41545" w:rsidRPr="00C41545" w:rsidRDefault="00C41545" w:rsidP="00C41545">
            <w:pPr>
              <w:tabs>
                <w:tab w:val="left" w:pos="1725"/>
              </w:tabs>
              <w:spacing w:before="0" w:after="0"/>
              <w:rPr>
                <w:rFonts w:eastAsia="Times New Roman" w:cs="Arial"/>
                <w:color w:val="auto"/>
                <w:sz w:val="22"/>
              </w:rPr>
            </w:pPr>
          </w:p>
          <w:p w14:paraId="68FA6A78" w14:textId="77777777" w:rsidR="00C41545" w:rsidRPr="00C41545" w:rsidRDefault="00C41545" w:rsidP="00C41545">
            <w:pPr>
              <w:tabs>
                <w:tab w:val="left" w:pos="1725"/>
              </w:tabs>
              <w:spacing w:before="0" w:after="0"/>
              <w:rPr>
                <w:rFonts w:eastAsia="Times New Roman" w:cs="Arial"/>
                <w:color w:val="auto"/>
                <w:sz w:val="22"/>
              </w:rPr>
            </w:pPr>
            <w:r w:rsidRPr="00C41545">
              <w:rPr>
                <w:rFonts w:eastAsia="Times New Roman" w:cs="Arial"/>
                <w:color w:val="auto"/>
                <w:sz w:val="22"/>
              </w:rPr>
              <w:t>Senator the Hon Mathias Cormann</w:t>
            </w:r>
          </w:p>
          <w:p w14:paraId="69D36DFC" w14:textId="77777777" w:rsidR="00305033" w:rsidRPr="0043154D" w:rsidRDefault="00C41545" w:rsidP="00C41545">
            <w:pPr>
              <w:tabs>
                <w:tab w:val="left" w:pos="1725"/>
              </w:tabs>
              <w:spacing w:before="0" w:after="0"/>
              <w:rPr>
                <w:rFonts w:eastAsia="Times New Roman" w:cs="Arial"/>
                <w:color w:val="auto"/>
                <w:sz w:val="22"/>
              </w:rPr>
            </w:pPr>
            <w:r w:rsidRPr="00C41545">
              <w:rPr>
                <w:rFonts w:eastAsia="Times New Roman" w:cs="Arial"/>
                <w:color w:val="auto"/>
                <w:sz w:val="22"/>
              </w:rPr>
              <w:t>Minister for Finance</w:t>
            </w:r>
          </w:p>
        </w:tc>
      </w:tr>
    </w:tbl>
    <w:p w14:paraId="03ECA71F" w14:textId="770F1181" w:rsidR="00305033" w:rsidRPr="0043154D" w:rsidRDefault="008C190A" w:rsidP="00305033">
      <w:pPr>
        <w:rPr>
          <w:sz w:val="22"/>
        </w:rPr>
      </w:pPr>
      <w:r>
        <w:rPr>
          <w:sz w:val="22"/>
        </w:rPr>
        <w:t>29 November 2016</w:t>
      </w:r>
      <w:bookmarkStart w:id="0" w:name="_GoBack"/>
      <w:bookmarkEnd w:id="0"/>
    </w:p>
    <w:p w14:paraId="28D3F5F4" w14:textId="77777777" w:rsidR="00305033" w:rsidRPr="0043154D" w:rsidRDefault="00C41545" w:rsidP="00094534">
      <w:pPr>
        <w:rPr>
          <w:sz w:val="22"/>
        </w:rPr>
      </w:pPr>
      <w:r w:rsidRPr="0043154D">
        <w:rPr>
          <w:b/>
          <w:sz w:val="22"/>
        </w:rPr>
        <w:t xml:space="preserve">Investment Mandate 2016 (No 2) – Consultation Draft </w:t>
      </w:r>
    </w:p>
    <w:p w14:paraId="668F5320" w14:textId="77777777" w:rsidR="00C41545" w:rsidRPr="00C41545" w:rsidRDefault="00C41545" w:rsidP="00094534">
      <w:pPr>
        <w:tabs>
          <w:tab w:val="left" w:pos="1725"/>
        </w:tabs>
        <w:rPr>
          <w:rFonts w:eastAsia="Times New Roman" w:cs="Arial"/>
          <w:color w:val="auto"/>
          <w:sz w:val="22"/>
        </w:rPr>
      </w:pPr>
      <w:r w:rsidRPr="00C41545">
        <w:rPr>
          <w:rFonts w:eastAsia="Times New Roman" w:cs="Arial"/>
          <w:color w:val="auto"/>
          <w:sz w:val="22"/>
        </w:rPr>
        <w:t>Dear Ministers</w:t>
      </w:r>
    </w:p>
    <w:p w14:paraId="2374E963"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 xml:space="preserve">Thank you for your correspondence of </w:t>
      </w:r>
      <w:r w:rsidR="000C3B3E">
        <w:rPr>
          <w:rFonts w:eastAsia="Times New Roman" w:cs="Arial"/>
          <w:color w:val="auto"/>
          <w:sz w:val="22"/>
        </w:rPr>
        <w:t xml:space="preserve">24 </w:t>
      </w:r>
      <w:r w:rsidRPr="00C41545">
        <w:rPr>
          <w:rFonts w:eastAsia="Times New Roman" w:cs="Arial"/>
          <w:color w:val="auto"/>
          <w:sz w:val="22"/>
        </w:rPr>
        <w:t xml:space="preserve">November 2016 enclosing a consultation draft direction (Investment Mandate) for consideration of the CEFC Board, as required under section 66 of the </w:t>
      </w:r>
      <w:r w:rsidRPr="00C41545">
        <w:rPr>
          <w:rFonts w:eastAsia="Times New Roman" w:cs="Arial"/>
          <w:i/>
          <w:color w:val="auto"/>
          <w:sz w:val="22"/>
        </w:rPr>
        <w:t>Clean Energy Finance Corporation Act 2012</w:t>
      </w:r>
      <w:r w:rsidRPr="00C41545">
        <w:rPr>
          <w:rFonts w:eastAsia="Times New Roman" w:cs="Arial"/>
          <w:color w:val="auto"/>
          <w:sz w:val="22"/>
        </w:rPr>
        <w:t xml:space="preserve"> (the </w:t>
      </w:r>
      <w:r w:rsidRPr="00C41545">
        <w:rPr>
          <w:rFonts w:eastAsia="Times New Roman" w:cs="Arial"/>
          <w:b/>
          <w:color w:val="auto"/>
          <w:sz w:val="22"/>
        </w:rPr>
        <w:t>CEFC Act</w:t>
      </w:r>
      <w:r w:rsidRPr="00C41545">
        <w:rPr>
          <w:rFonts w:eastAsia="Times New Roman" w:cs="Arial"/>
          <w:color w:val="auto"/>
          <w:sz w:val="22"/>
        </w:rPr>
        <w:t>). The Board welcomes the opportunity to be consulted and has asked that I respond on its behalf.</w:t>
      </w:r>
    </w:p>
    <w:p w14:paraId="572A50FB"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b/>
          <w:bCs/>
          <w:i/>
          <w:iCs/>
          <w:color w:val="auto"/>
          <w:sz w:val="22"/>
        </w:rPr>
        <w:t>Sustainable Cities Investment Program</w:t>
      </w:r>
    </w:p>
    <w:p w14:paraId="0D719B1B"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The Board acknowledges and welcomes the Government's direction to make available</w:t>
      </w:r>
      <w:r w:rsidR="00094534" w:rsidRPr="0043154D">
        <w:rPr>
          <w:rFonts w:eastAsia="Times New Roman" w:cs="Arial"/>
          <w:color w:val="auto"/>
          <w:sz w:val="22"/>
        </w:rPr>
        <w:t xml:space="preserve"> </w:t>
      </w:r>
      <w:r w:rsidRPr="00C41545">
        <w:rPr>
          <w:rFonts w:eastAsia="Times New Roman" w:cs="Arial"/>
          <w:color w:val="auto"/>
          <w:sz w:val="22"/>
        </w:rPr>
        <w:t xml:space="preserve">funding to support clean energy projects and businesses that provide productivity, accessibility and liveability benefits for cities. The CEFC sees a natural affinity in its </w:t>
      </w:r>
      <w:r w:rsidR="00F03DD0">
        <w:rPr>
          <w:rFonts w:eastAsia="Times New Roman" w:cs="Arial"/>
          <w:color w:val="auto"/>
          <w:sz w:val="22"/>
        </w:rPr>
        <w:t xml:space="preserve">activities </w:t>
      </w:r>
      <w:r w:rsidRPr="00C41545">
        <w:rPr>
          <w:rFonts w:eastAsia="Times New Roman" w:cs="Arial"/>
          <w:color w:val="auto"/>
          <w:sz w:val="22"/>
        </w:rPr>
        <w:t xml:space="preserve">with the </w:t>
      </w:r>
      <w:r w:rsidR="00F03DD0">
        <w:rPr>
          <w:rFonts w:eastAsia="Times New Roman" w:cs="Arial"/>
          <w:color w:val="auto"/>
          <w:sz w:val="22"/>
        </w:rPr>
        <w:t xml:space="preserve">Government’s </w:t>
      </w:r>
      <w:r w:rsidRPr="00C41545">
        <w:rPr>
          <w:rFonts w:eastAsia="Times New Roman" w:cs="Arial"/>
          <w:color w:val="auto"/>
          <w:sz w:val="22"/>
        </w:rPr>
        <w:t xml:space="preserve">agenda of more productive, accessible and liveable cities and we will work to deliver this target allocation of $1 billion over 10 years. </w:t>
      </w:r>
    </w:p>
    <w:p w14:paraId="5A582031"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b/>
          <w:bCs/>
          <w:i/>
          <w:iCs/>
          <w:color w:val="auto"/>
          <w:sz w:val="22"/>
        </w:rPr>
        <w:t>Reef Funding Program</w:t>
      </w:r>
    </w:p>
    <w:p w14:paraId="01D7D949" w14:textId="77777777" w:rsidR="004A2C7B"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The Board acknowledges and welcomes the Government's direction to make available</w:t>
      </w:r>
      <w:r w:rsidR="00094534" w:rsidRPr="0043154D">
        <w:rPr>
          <w:rFonts w:eastAsia="Times New Roman" w:cs="Arial"/>
          <w:color w:val="auto"/>
          <w:sz w:val="22"/>
        </w:rPr>
        <w:t xml:space="preserve"> </w:t>
      </w:r>
      <w:r w:rsidRPr="00C41545">
        <w:rPr>
          <w:rFonts w:eastAsia="Times New Roman" w:cs="Arial"/>
          <w:color w:val="auto"/>
          <w:sz w:val="22"/>
        </w:rPr>
        <w:t xml:space="preserve">funding to support delivery of the Government’s Reef 2050 plan. </w:t>
      </w:r>
      <w:r w:rsidR="00C863A4">
        <w:rPr>
          <w:rFonts w:eastAsia="Times New Roman" w:cs="Arial"/>
          <w:color w:val="auto"/>
          <w:sz w:val="22"/>
        </w:rPr>
        <w:t xml:space="preserve"> While the CEFC must continue to ensure that its investments meet the complying investment criteria under the CEFC Act, we understand that </w:t>
      </w:r>
      <w:r w:rsidR="00B97E3A">
        <w:rPr>
          <w:rFonts w:eastAsia="Times New Roman" w:cs="Arial"/>
          <w:color w:val="auto"/>
          <w:sz w:val="22"/>
        </w:rPr>
        <w:t>the Reef Funding Program</w:t>
      </w:r>
      <w:r w:rsidR="00B97E3A" w:rsidRPr="00C41545">
        <w:rPr>
          <w:rFonts w:eastAsia="Times New Roman" w:cs="Arial"/>
          <w:color w:val="auto"/>
          <w:sz w:val="22"/>
        </w:rPr>
        <w:t xml:space="preserve"> </w:t>
      </w:r>
      <w:r w:rsidR="00B97E3A">
        <w:rPr>
          <w:rFonts w:eastAsia="Times New Roman" w:cs="Arial"/>
          <w:color w:val="auto"/>
          <w:sz w:val="22"/>
        </w:rPr>
        <w:t xml:space="preserve">should be focused on funding to </w:t>
      </w:r>
      <w:r w:rsidRPr="00C41545">
        <w:rPr>
          <w:rFonts w:eastAsia="Times New Roman" w:cs="Arial"/>
          <w:color w:val="auto"/>
          <w:sz w:val="22"/>
        </w:rPr>
        <w:t xml:space="preserve">projects or businesses that have a positive co-benefit for the health of the Reef.  </w:t>
      </w:r>
    </w:p>
    <w:p w14:paraId="50B7850F" w14:textId="77777777" w:rsidR="00C41545" w:rsidRPr="00C41545" w:rsidRDefault="004A2C7B" w:rsidP="00094534">
      <w:pPr>
        <w:autoSpaceDE w:val="0"/>
        <w:autoSpaceDN w:val="0"/>
        <w:adjustRightInd w:val="0"/>
        <w:rPr>
          <w:rFonts w:eastAsia="Times New Roman" w:cs="Arial"/>
          <w:color w:val="auto"/>
          <w:sz w:val="22"/>
        </w:rPr>
      </w:pPr>
      <w:r>
        <w:rPr>
          <w:rFonts w:eastAsia="Times New Roman" w:cs="Arial"/>
          <w:color w:val="auto"/>
          <w:sz w:val="22"/>
        </w:rPr>
        <w:t xml:space="preserve">As </w:t>
      </w:r>
      <w:r w:rsidR="00C863A4">
        <w:rPr>
          <w:rFonts w:eastAsia="Times New Roman" w:cs="Arial"/>
          <w:color w:val="auto"/>
          <w:sz w:val="22"/>
        </w:rPr>
        <w:t xml:space="preserve">highlighted </w:t>
      </w:r>
      <w:r>
        <w:rPr>
          <w:rFonts w:eastAsia="Times New Roman" w:cs="Arial"/>
          <w:color w:val="auto"/>
          <w:sz w:val="22"/>
        </w:rPr>
        <w:t xml:space="preserve">in the Explanatory Statement to the Investment Mandate 2016 (No 2), </w:t>
      </w:r>
      <w:r w:rsidR="00C863A4">
        <w:rPr>
          <w:rFonts w:eastAsia="Times New Roman" w:cs="Arial"/>
          <w:color w:val="auto"/>
          <w:sz w:val="22"/>
        </w:rPr>
        <w:t xml:space="preserve">in considering eligibility of investments under </w:t>
      </w:r>
      <w:r w:rsidR="00B97E3A">
        <w:rPr>
          <w:rFonts w:eastAsia="Times New Roman" w:cs="Arial"/>
          <w:color w:val="auto"/>
          <w:sz w:val="22"/>
        </w:rPr>
        <w:t>the Reef Funding Program we will consider investments that provide</w:t>
      </w:r>
      <w:r w:rsidR="00C863A4">
        <w:rPr>
          <w:rFonts w:eastAsia="Times New Roman" w:cs="Arial"/>
          <w:color w:val="auto"/>
          <w:sz w:val="22"/>
        </w:rPr>
        <w:t xml:space="preserve"> </w:t>
      </w:r>
      <w:r w:rsidR="00C863A4" w:rsidRPr="00C41545">
        <w:rPr>
          <w:rFonts w:eastAsia="Times New Roman" w:cs="Arial"/>
          <w:color w:val="auto"/>
          <w:sz w:val="22"/>
        </w:rPr>
        <w:t>positive co-benefit</w:t>
      </w:r>
      <w:r w:rsidR="00B97E3A">
        <w:rPr>
          <w:rFonts w:eastAsia="Times New Roman" w:cs="Arial"/>
          <w:color w:val="auto"/>
          <w:sz w:val="22"/>
        </w:rPr>
        <w:t xml:space="preserve">s that are </w:t>
      </w:r>
      <w:r w:rsidR="00C863A4" w:rsidRPr="00C41545">
        <w:rPr>
          <w:rFonts w:eastAsia="Times New Roman" w:cs="Arial"/>
          <w:color w:val="auto"/>
          <w:sz w:val="22"/>
        </w:rPr>
        <w:t>“direct”</w:t>
      </w:r>
      <w:r w:rsidR="00B97E3A">
        <w:rPr>
          <w:rFonts w:eastAsia="Times New Roman" w:cs="Arial"/>
          <w:color w:val="auto"/>
          <w:sz w:val="22"/>
        </w:rPr>
        <w:t>,</w:t>
      </w:r>
      <w:r w:rsidR="00C863A4" w:rsidRPr="00C41545">
        <w:rPr>
          <w:rFonts w:eastAsia="Times New Roman" w:cs="Arial"/>
          <w:color w:val="auto"/>
          <w:sz w:val="22"/>
        </w:rPr>
        <w:t xml:space="preserve"> by improving water quality, or “indirect”</w:t>
      </w:r>
      <w:r w:rsidR="00B97E3A">
        <w:rPr>
          <w:rFonts w:eastAsia="Times New Roman" w:cs="Arial"/>
          <w:color w:val="auto"/>
          <w:sz w:val="22"/>
        </w:rPr>
        <w:t>,</w:t>
      </w:r>
      <w:r w:rsidR="00C863A4" w:rsidRPr="00C41545">
        <w:rPr>
          <w:rFonts w:eastAsia="Times New Roman" w:cs="Arial"/>
          <w:color w:val="auto"/>
          <w:sz w:val="22"/>
        </w:rPr>
        <w:t xml:space="preserve"> by reducing emissions.</w:t>
      </w:r>
      <w:r w:rsidR="00C863A4">
        <w:rPr>
          <w:rFonts w:eastAsia="Times New Roman" w:cs="Arial"/>
          <w:color w:val="auto"/>
          <w:sz w:val="22"/>
        </w:rPr>
        <w:t xml:space="preserve">  As </w:t>
      </w:r>
      <w:r w:rsidR="00B97E3A">
        <w:rPr>
          <w:rFonts w:eastAsia="Times New Roman" w:cs="Arial"/>
          <w:color w:val="auto"/>
          <w:sz w:val="22"/>
        </w:rPr>
        <w:t xml:space="preserve">set out </w:t>
      </w:r>
      <w:r w:rsidR="00C863A4">
        <w:rPr>
          <w:rFonts w:eastAsia="Times New Roman" w:cs="Arial"/>
          <w:color w:val="auto"/>
          <w:sz w:val="22"/>
        </w:rPr>
        <w:t xml:space="preserve">in the Explanatory Statement, we will focus </w:t>
      </w:r>
      <w:r w:rsidR="00C41545" w:rsidRPr="00C41545">
        <w:rPr>
          <w:rFonts w:eastAsia="Times New Roman" w:cs="Arial"/>
          <w:color w:val="auto"/>
          <w:sz w:val="22"/>
        </w:rPr>
        <w:t xml:space="preserve">the Reef Funding Program primarily on projects located in (and businesses that provide services or products to) the water catchment areas that flow into the Great Barrier Reef World Heritage area. </w:t>
      </w:r>
      <w:r w:rsidR="00C863A4">
        <w:rPr>
          <w:rFonts w:eastAsia="Times New Roman" w:cs="Arial"/>
          <w:color w:val="auto"/>
          <w:sz w:val="22"/>
        </w:rPr>
        <w:t xml:space="preserve"> </w:t>
      </w:r>
      <w:r w:rsidR="00C41545" w:rsidRPr="00C41545">
        <w:rPr>
          <w:rFonts w:eastAsia="Times New Roman" w:cs="Arial"/>
          <w:color w:val="auto"/>
          <w:sz w:val="22"/>
        </w:rPr>
        <w:t>The CEFC will work to deliver this target allocation of $1 billion over 10 years totalling direct and indirect Reef co- benefits.</w:t>
      </w:r>
    </w:p>
    <w:p w14:paraId="2B786B7E" w14:textId="77777777" w:rsidR="00C41545" w:rsidRPr="00C41545" w:rsidRDefault="00C41545" w:rsidP="00094534">
      <w:pPr>
        <w:autoSpaceDE w:val="0"/>
        <w:autoSpaceDN w:val="0"/>
        <w:adjustRightInd w:val="0"/>
        <w:rPr>
          <w:rFonts w:eastAsia="Times New Roman" w:cs="Arial"/>
          <w:b/>
          <w:i/>
          <w:color w:val="auto"/>
          <w:sz w:val="22"/>
        </w:rPr>
      </w:pPr>
      <w:r w:rsidRPr="00C41545">
        <w:rPr>
          <w:rFonts w:eastAsia="Times New Roman" w:cs="Arial"/>
          <w:b/>
          <w:i/>
          <w:color w:val="auto"/>
          <w:sz w:val="22"/>
        </w:rPr>
        <w:t>Clean Energy Innovation Fund</w:t>
      </w:r>
    </w:p>
    <w:p w14:paraId="45C07F7D" w14:textId="77777777" w:rsidR="00C41545"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 xml:space="preserve">The Board notes the Government's direction to reduce the amount available for funding to support innovation in the clean energy sector through the Clean Energy Innovation </w:t>
      </w:r>
      <w:r w:rsidRPr="00C41545">
        <w:rPr>
          <w:rFonts w:eastAsia="Times New Roman" w:cs="Arial"/>
          <w:color w:val="auto"/>
          <w:sz w:val="22"/>
        </w:rPr>
        <w:lastRenderedPageBreak/>
        <w:t xml:space="preserve">Fund (the </w:t>
      </w:r>
      <w:r w:rsidRPr="00C41545">
        <w:rPr>
          <w:rFonts w:eastAsia="Times New Roman" w:cs="Arial"/>
          <w:b/>
          <w:color w:val="auto"/>
          <w:sz w:val="22"/>
        </w:rPr>
        <w:t>CEIF</w:t>
      </w:r>
      <w:r w:rsidRPr="00C41545">
        <w:rPr>
          <w:rFonts w:eastAsia="Times New Roman" w:cs="Arial"/>
          <w:color w:val="auto"/>
          <w:sz w:val="22"/>
        </w:rPr>
        <w:t xml:space="preserve">). The Board will accordingly reduce the targeted amount under the CEIF to $200m, noting that this $800m reduction is </w:t>
      </w:r>
      <w:r w:rsidR="00233071">
        <w:rPr>
          <w:rFonts w:eastAsia="Times New Roman" w:cs="Arial"/>
          <w:color w:val="auto"/>
          <w:sz w:val="22"/>
        </w:rPr>
        <w:t>a</w:t>
      </w:r>
      <w:r w:rsidR="00233071" w:rsidRPr="00C41545">
        <w:rPr>
          <w:rFonts w:eastAsia="Times New Roman" w:cs="Arial"/>
          <w:color w:val="auto"/>
          <w:sz w:val="22"/>
        </w:rPr>
        <w:t xml:space="preserve"> </w:t>
      </w:r>
      <w:r w:rsidRPr="00C41545">
        <w:rPr>
          <w:rFonts w:eastAsia="Times New Roman" w:cs="Arial"/>
          <w:color w:val="auto"/>
          <w:sz w:val="22"/>
        </w:rPr>
        <w:t xml:space="preserve">notional allocation rather than a cut in funding and that the funds </w:t>
      </w:r>
      <w:r w:rsidR="00007AB0">
        <w:rPr>
          <w:rFonts w:eastAsia="Times New Roman" w:cs="Arial"/>
          <w:color w:val="auto"/>
          <w:sz w:val="22"/>
        </w:rPr>
        <w:t xml:space="preserve">will </w:t>
      </w:r>
      <w:r w:rsidRPr="00C41545">
        <w:rPr>
          <w:rFonts w:eastAsia="Times New Roman" w:cs="Arial"/>
          <w:color w:val="auto"/>
          <w:sz w:val="22"/>
        </w:rPr>
        <w:t xml:space="preserve">remain available </w:t>
      </w:r>
      <w:r w:rsidR="00233071" w:rsidRPr="00C41545">
        <w:rPr>
          <w:rFonts w:eastAsia="Times New Roman" w:cs="Arial"/>
          <w:color w:val="auto"/>
          <w:sz w:val="22"/>
        </w:rPr>
        <w:t xml:space="preserve">in the special account </w:t>
      </w:r>
      <w:r w:rsidRPr="00C41545">
        <w:rPr>
          <w:rFonts w:eastAsia="Times New Roman" w:cs="Arial"/>
          <w:color w:val="auto"/>
          <w:sz w:val="22"/>
        </w:rPr>
        <w:t>for CEFC deployment in ordinary activities.</w:t>
      </w:r>
    </w:p>
    <w:p w14:paraId="04E7B987" w14:textId="77777777" w:rsidR="0011114F" w:rsidRPr="0011114F" w:rsidRDefault="0011114F" w:rsidP="00094534">
      <w:pPr>
        <w:autoSpaceDE w:val="0"/>
        <w:autoSpaceDN w:val="0"/>
        <w:adjustRightInd w:val="0"/>
        <w:rPr>
          <w:rFonts w:eastAsia="Times New Roman" w:cs="Arial"/>
          <w:color w:val="auto"/>
          <w:sz w:val="22"/>
        </w:rPr>
      </w:pPr>
      <w:r>
        <w:rPr>
          <w:rFonts w:eastAsia="Times New Roman" w:cs="Arial"/>
          <w:b/>
          <w:i/>
          <w:color w:val="auto"/>
          <w:sz w:val="22"/>
        </w:rPr>
        <w:t>Reporting Outcomes</w:t>
      </w:r>
    </w:p>
    <w:p w14:paraId="48C51EB9" w14:textId="77777777" w:rsidR="0011114F" w:rsidRPr="00C41545" w:rsidRDefault="00846DF2" w:rsidP="00094534">
      <w:pPr>
        <w:autoSpaceDE w:val="0"/>
        <w:autoSpaceDN w:val="0"/>
        <w:adjustRightInd w:val="0"/>
        <w:rPr>
          <w:rFonts w:eastAsia="Times New Roman" w:cs="Arial"/>
          <w:color w:val="auto"/>
          <w:sz w:val="22"/>
        </w:rPr>
      </w:pPr>
      <w:r>
        <w:rPr>
          <w:rFonts w:eastAsia="Times New Roman" w:cs="Arial"/>
          <w:color w:val="auto"/>
          <w:sz w:val="22"/>
        </w:rPr>
        <w:t xml:space="preserve">The Board acknowledges the new </w:t>
      </w:r>
      <w:r w:rsidR="00A67F27">
        <w:rPr>
          <w:rFonts w:eastAsia="Times New Roman" w:cs="Arial"/>
          <w:color w:val="auto"/>
          <w:sz w:val="22"/>
        </w:rPr>
        <w:t>obligation set out in the Investment Mandate to report annually on non-financial outcomes of its investments, in addition to the general financial reporting that we undertake today.  We look forward to working with the Department of Environment and Energy to develop an appropriate set of criteria and performance standards to enable us to provide useful information about our activities and our investments to the Department and the market</w:t>
      </w:r>
      <w:r w:rsidR="00B62526">
        <w:rPr>
          <w:rFonts w:eastAsia="Times New Roman" w:cs="Arial"/>
          <w:color w:val="auto"/>
          <w:sz w:val="22"/>
        </w:rPr>
        <w:t xml:space="preserve"> more generally.</w:t>
      </w:r>
    </w:p>
    <w:p w14:paraId="4D387F44" w14:textId="77777777" w:rsidR="00C41545" w:rsidRPr="00C41545" w:rsidRDefault="00C41545" w:rsidP="00094534">
      <w:pPr>
        <w:autoSpaceDE w:val="0"/>
        <w:autoSpaceDN w:val="0"/>
        <w:adjustRightInd w:val="0"/>
        <w:rPr>
          <w:rFonts w:eastAsia="Times New Roman" w:cs="Arial"/>
          <w:b/>
          <w:i/>
          <w:color w:val="auto"/>
          <w:sz w:val="22"/>
        </w:rPr>
      </w:pPr>
      <w:r w:rsidRPr="00C41545">
        <w:rPr>
          <w:rFonts w:eastAsia="Times New Roman" w:cs="Arial"/>
          <w:b/>
          <w:i/>
          <w:color w:val="auto"/>
          <w:sz w:val="22"/>
        </w:rPr>
        <w:t>Benchmark returns</w:t>
      </w:r>
    </w:p>
    <w:p w14:paraId="0B77284D" w14:textId="77777777" w:rsidR="00C41545" w:rsidRPr="00C41545" w:rsidRDefault="001D3EE4" w:rsidP="00094534">
      <w:pPr>
        <w:autoSpaceDE w:val="0"/>
        <w:autoSpaceDN w:val="0"/>
        <w:adjustRightInd w:val="0"/>
        <w:rPr>
          <w:rFonts w:eastAsia="Times New Roman" w:cs="Arial"/>
          <w:color w:val="auto"/>
          <w:sz w:val="22"/>
        </w:rPr>
      </w:pPr>
      <w:r>
        <w:rPr>
          <w:rFonts w:eastAsia="Times New Roman" w:cs="Arial"/>
          <w:color w:val="auto"/>
          <w:sz w:val="22"/>
        </w:rPr>
        <w:t xml:space="preserve">As we have noted in our responses to previous Investment Mandates issued to the CEFC </w:t>
      </w:r>
      <w:r w:rsidRPr="00C41545">
        <w:rPr>
          <w:rFonts w:eastAsia="Times New Roman" w:cs="Arial"/>
          <w:color w:val="auto"/>
          <w:sz w:val="22"/>
        </w:rPr>
        <w:t>(in February 2015, December 2015 and May 2016)</w:t>
      </w:r>
      <w:r>
        <w:rPr>
          <w:rFonts w:eastAsia="Times New Roman" w:cs="Arial"/>
          <w:color w:val="auto"/>
          <w:sz w:val="22"/>
        </w:rPr>
        <w:t>, t</w:t>
      </w:r>
      <w:r w:rsidR="00C41545" w:rsidRPr="00C41545">
        <w:rPr>
          <w:rFonts w:eastAsia="Times New Roman" w:cs="Arial"/>
          <w:color w:val="auto"/>
          <w:sz w:val="22"/>
        </w:rPr>
        <w:t xml:space="preserve">he Board </w:t>
      </w:r>
      <w:r>
        <w:rPr>
          <w:rFonts w:eastAsia="Times New Roman" w:cs="Arial"/>
          <w:color w:val="auto"/>
          <w:sz w:val="22"/>
        </w:rPr>
        <w:t xml:space="preserve">remains of the view that </w:t>
      </w:r>
      <w:r w:rsidR="00C41545" w:rsidRPr="00C41545">
        <w:rPr>
          <w:rFonts w:eastAsia="Times New Roman" w:cs="Arial"/>
          <w:color w:val="auto"/>
          <w:sz w:val="22"/>
        </w:rPr>
        <w:t xml:space="preserve">the </w:t>
      </w:r>
      <w:r w:rsidR="00C563E2">
        <w:rPr>
          <w:rFonts w:eastAsia="Times New Roman" w:cs="Arial"/>
          <w:color w:val="auto"/>
          <w:sz w:val="22"/>
        </w:rPr>
        <w:t xml:space="preserve">current </w:t>
      </w:r>
      <w:r w:rsidR="00C41545" w:rsidRPr="00C41545">
        <w:rPr>
          <w:rFonts w:eastAsia="Times New Roman" w:cs="Arial"/>
          <w:color w:val="auto"/>
          <w:sz w:val="22"/>
        </w:rPr>
        <w:t>Portfolio Benchmark Return for the</w:t>
      </w:r>
      <w:r w:rsidR="0043154D" w:rsidRPr="0043154D">
        <w:rPr>
          <w:rFonts w:eastAsia="Times New Roman" w:cs="Arial"/>
          <w:color w:val="auto"/>
          <w:sz w:val="22"/>
        </w:rPr>
        <w:t xml:space="preserve"> </w:t>
      </w:r>
      <w:r w:rsidR="00C41545" w:rsidRPr="00C41545">
        <w:rPr>
          <w:rFonts w:eastAsia="Times New Roman" w:cs="Arial"/>
          <w:color w:val="auto"/>
          <w:sz w:val="22"/>
        </w:rPr>
        <w:t xml:space="preserve">CEFC's core portfolio (i.e. investments other than those in the CEIF) </w:t>
      </w:r>
      <w:r>
        <w:rPr>
          <w:rFonts w:eastAsia="Times New Roman" w:cs="Arial"/>
          <w:color w:val="auto"/>
          <w:sz w:val="22"/>
        </w:rPr>
        <w:t xml:space="preserve">of </w:t>
      </w:r>
      <w:r w:rsidR="00C41545" w:rsidRPr="00C41545">
        <w:rPr>
          <w:rFonts w:eastAsia="Times New Roman" w:cs="Arial"/>
          <w:color w:val="auto"/>
          <w:sz w:val="22"/>
        </w:rPr>
        <w:t>3% to 4% over the</w:t>
      </w:r>
      <w:r w:rsidR="0043154D" w:rsidRPr="0043154D">
        <w:rPr>
          <w:rFonts w:eastAsia="Times New Roman" w:cs="Arial"/>
          <w:color w:val="auto"/>
          <w:sz w:val="22"/>
        </w:rPr>
        <w:t xml:space="preserve"> </w:t>
      </w:r>
      <w:r w:rsidR="00C41545" w:rsidRPr="00C41545">
        <w:rPr>
          <w:rFonts w:eastAsia="Times New Roman" w:cs="Arial"/>
          <w:color w:val="auto"/>
          <w:sz w:val="22"/>
        </w:rPr>
        <w:t>5-year Australian Government bond rate</w:t>
      </w:r>
      <w:r>
        <w:rPr>
          <w:rFonts w:eastAsia="Times New Roman" w:cs="Arial"/>
          <w:color w:val="auto"/>
          <w:sz w:val="22"/>
        </w:rPr>
        <w:t xml:space="preserve"> remains </w:t>
      </w:r>
      <w:r w:rsidR="00C41545" w:rsidRPr="00C41545">
        <w:rPr>
          <w:rFonts w:eastAsia="Times New Roman" w:cs="Arial"/>
          <w:color w:val="auto"/>
          <w:sz w:val="22"/>
        </w:rPr>
        <w:t>an unrealistically high return target for this market. It does not reflect the CEFC's</w:t>
      </w:r>
      <w:r w:rsidR="0043154D" w:rsidRPr="0043154D">
        <w:rPr>
          <w:rFonts w:eastAsia="Times New Roman" w:cs="Arial"/>
          <w:color w:val="auto"/>
          <w:sz w:val="22"/>
        </w:rPr>
        <w:t xml:space="preserve"> </w:t>
      </w:r>
      <w:r w:rsidR="00007AB0">
        <w:rPr>
          <w:rFonts w:eastAsia="Times New Roman" w:cs="Arial"/>
          <w:color w:val="auto"/>
          <w:sz w:val="22"/>
        </w:rPr>
        <w:t xml:space="preserve">considered </w:t>
      </w:r>
      <w:r w:rsidR="00C41545" w:rsidRPr="00C41545">
        <w:rPr>
          <w:rFonts w:eastAsia="Times New Roman" w:cs="Arial"/>
          <w:color w:val="auto"/>
          <w:sz w:val="22"/>
        </w:rPr>
        <w:t xml:space="preserve">approach to risk and the </w:t>
      </w:r>
      <w:r w:rsidR="00C563E2">
        <w:rPr>
          <w:rFonts w:eastAsia="Times New Roman" w:cs="Arial"/>
          <w:color w:val="auto"/>
          <w:sz w:val="22"/>
        </w:rPr>
        <w:t xml:space="preserve">composition </w:t>
      </w:r>
      <w:r w:rsidR="00C41545" w:rsidRPr="00C41545">
        <w:rPr>
          <w:rFonts w:eastAsia="Times New Roman" w:cs="Arial"/>
          <w:color w:val="auto"/>
          <w:sz w:val="22"/>
        </w:rPr>
        <w:t xml:space="preserve">of the current investment portfolio. </w:t>
      </w:r>
      <w:r w:rsidR="00C75FD2">
        <w:rPr>
          <w:rFonts w:eastAsia="Times New Roman" w:cs="Arial"/>
          <w:color w:val="auto"/>
          <w:sz w:val="22"/>
        </w:rPr>
        <w:t xml:space="preserve"> W</w:t>
      </w:r>
      <w:r w:rsidR="00C41545" w:rsidRPr="00C41545">
        <w:rPr>
          <w:rFonts w:eastAsia="Times New Roman" w:cs="Arial"/>
          <w:color w:val="auto"/>
          <w:sz w:val="22"/>
        </w:rPr>
        <w:t xml:space="preserve">e attach </w:t>
      </w:r>
      <w:r w:rsidR="001C4DD9">
        <w:rPr>
          <w:rFonts w:eastAsia="Times New Roman" w:cs="Arial"/>
          <w:color w:val="auto"/>
          <w:sz w:val="22"/>
        </w:rPr>
        <w:t xml:space="preserve">a </w:t>
      </w:r>
      <w:r>
        <w:rPr>
          <w:rFonts w:eastAsia="Times New Roman" w:cs="Arial"/>
          <w:color w:val="auto"/>
          <w:sz w:val="22"/>
        </w:rPr>
        <w:t>cop</w:t>
      </w:r>
      <w:r w:rsidR="001C4DD9">
        <w:rPr>
          <w:rFonts w:eastAsia="Times New Roman" w:cs="Arial"/>
          <w:color w:val="auto"/>
          <w:sz w:val="22"/>
        </w:rPr>
        <w:t xml:space="preserve">y </w:t>
      </w:r>
      <w:r>
        <w:rPr>
          <w:rFonts w:eastAsia="Times New Roman" w:cs="Arial"/>
          <w:color w:val="auto"/>
          <w:sz w:val="22"/>
        </w:rPr>
        <w:t xml:space="preserve">of our </w:t>
      </w:r>
      <w:r w:rsidR="00C41545" w:rsidRPr="00C41545">
        <w:rPr>
          <w:rFonts w:eastAsia="Times New Roman" w:cs="Arial"/>
          <w:color w:val="auto"/>
          <w:sz w:val="22"/>
        </w:rPr>
        <w:t>previous submission</w:t>
      </w:r>
      <w:r w:rsidR="002B2FB1">
        <w:rPr>
          <w:rFonts w:eastAsia="Times New Roman" w:cs="Arial"/>
          <w:color w:val="auto"/>
          <w:sz w:val="22"/>
        </w:rPr>
        <w:t>s</w:t>
      </w:r>
      <w:r w:rsidR="00C41545" w:rsidRPr="00C41545">
        <w:rPr>
          <w:rFonts w:eastAsia="Times New Roman" w:cs="Arial"/>
          <w:color w:val="auto"/>
          <w:sz w:val="22"/>
        </w:rPr>
        <w:t xml:space="preserve"> on this point</w:t>
      </w:r>
      <w:r w:rsidR="00C75FD2">
        <w:rPr>
          <w:rFonts w:eastAsia="Times New Roman" w:cs="Arial"/>
          <w:color w:val="auto"/>
          <w:sz w:val="22"/>
        </w:rPr>
        <w:t xml:space="preserve"> f</w:t>
      </w:r>
      <w:r w:rsidR="00C75FD2" w:rsidRPr="00C41545">
        <w:rPr>
          <w:rFonts w:eastAsia="Times New Roman" w:cs="Arial"/>
          <w:color w:val="auto"/>
          <w:sz w:val="22"/>
        </w:rPr>
        <w:t>or the convenience of Minister Frydenberg</w:t>
      </w:r>
      <w:r w:rsidR="00DF3DDA">
        <w:rPr>
          <w:rFonts w:eastAsia="Times New Roman" w:cs="Arial"/>
          <w:color w:val="auto"/>
          <w:sz w:val="22"/>
        </w:rPr>
        <w:t xml:space="preserve">, </w:t>
      </w:r>
      <w:r w:rsidR="00C75FD2">
        <w:rPr>
          <w:rFonts w:eastAsia="Times New Roman" w:cs="Arial"/>
          <w:color w:val="auto"/>
          <w:sz w:val="22"/>
        </w:rPr>
        <w:t xml:space="preserve">as </w:t>
      </w:r>
      <w:r w:rsidR="00DF3DDA">
        <w:rPr>
          <w:rFonts w:eastAsia="Times New Roman" w:cs="Arial"/>
          <w:color w:val="auto"/>
          <w:sz w:val="22"/>
        </w:rPr>
        <w:t xml:space="preserve">he </w:t>
      </w:r>
      <w:r w:rsidR="00DF3DDA" w:rsidRPr="00C41545">
        <w:rPr>
          <w:rFonts w:eastAsia="Times New Roman" w:cs="Arial"/>
          <w:color w:val="auto"/>
          <w:sz w:val="22"/>
        </w:rPr>
        <w:t xml:space="preserve">was not </w:t>
      </w:r>
      <w:r w:rsidR="00C75FD2">
        <w:rPr>
          <w:rFonts w:eastAsia="Times New Roman" w:cs="Arial"/>
          <w:color w:val="auto"/>
          <w:sz w:val="22"/>
        </w:rPr>
        <w:t xml:space="preserve">one of </w:t>
      </w:r>
      <w:r w:rsidR="00DF3DDA">
        <w:rPr>
          <w:rFonts w:eastAsia="Times New Roman" w:cs="Arial"/>
          <w:color w:val="auto"/>
          <w:sz w:val="22"/>
        </w:rPr>
        <w:t>the CEFC’s Responsible Minister</w:t>
      </w:r>
      <w:r w:rsidR="004567BD">
        <w:rPr>
          <w:rFonts w:eastAsia="Times New Roman" w:cs="Arial"/>
          <w:color w:val="auto"/>
          <w:sz w:val="22"/>
        </w:rPr>
        <w:t>s</w:t>
      </w:r>
      <w:r w:rsidR="00DF3DDA">
        <w:rPr>
          <w:rFonts w:eastAsia="Times New Roman" w:cs="Arial"/>
          <w:color w:val="auto"/>
          <w:sz w:val="22"/>
        </w:rPr>
        <w:t xml:space="preserve"> at the time the response</w:t>
      </w:r>
      <w:r w:rsidR="00F65522">
        <w:rPr>
          <w:rFonts w:eastAsia="Times New Roman" w:cs="Arial"/>
          <w:color w:val="auto"/>
          <w:sz w:val="22"/>
        </w:rPr>
        <w:t>s</w:t>
      </w:r>
      <w:r w:rsidR="00DF3DDA">
        <w:rPr>
          <w:rFonts w:eastAsia="Times New Roman" w:cs="Arial"/>
          <w:color w:val="auto"/>
          <w:sz w:val="22"/>
        </w:rPr>
        <w:t xml:space="preserve"> were provided</w:t>
      </w:r>
      <w:r w:rsidR="00C41545" w:rsidRPr="00C41545">
        <w:rPr>
          <w:rFonts w:eastAsia="Times New Roman" w:cs="Arial"/>
          <w:color w:val="auto"/>
          <w:sz w:val="22"/>
        </w:rPr>
        <w:t xml:space="preserve">. </w:t>
      </w:r>
    </w:p>
    <w:p w14:paraId="7551C838" w14:textId="77777777" w:rsidR="00C41545" w:rsidRPr="00C41545" w:rsidRDefault="00C41545" w:rsidP="00094534">
      <w:pPr>
        <w:autoSpaceDE w:val="0"/>
        <w:autoSpaceDN w:val="0"/>
        <w:adjustRightInd w:val="0"/>
        <w:rPr>
          <w:rFonts w:eastAsia="Times New Roman" w:cs="Arial"/>
          <w:b/>
          <w:i/>
          <w:color w:val="auto"/>
          <w:sz w:val="22"/>
        </w:rPr>
      </w:pPr>
      <w:r w:rsidRPr="00C41545">
        <w:rPr>
          <w:rFonts w:eastAsia="Times New Roman" w:cs="Arial"/>
          <w:b/>
          <w:i/>
          <w:color w:val="auto"/>
          <w:sz w:val="22"/>
        </w:rPr>
        <w:t>Conclusion</w:t>
      </w:r>
    </w:p>
    <w:p w14:paraId="5D7AF9AA"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 xml:space="preserve">Subject to the comments noted above, the approach adopted in this consultation draft Investment Mandate represents an appropriate approach to allow the CEFC to support Australian Government policy priorities. </w:t>
      </w:r>
    </w:p>
    <w:p w14:paraId="51C8C932" w14:textId="77777777" w:rsidR="00C41545" w:rsidRPr="00C41545" w:rsidRDefault="00C41545" w:rsidP="00094534">
      <w:pPr>
        <w:autoSpaceDE w:val="0"/>
        <w:autoSpaceDN w:val="0"/>
        <w:adjustRightInd w:val="0"/>
        <w:rPr>
          <w:rFonts w:eastAsia="Times New Roman" w:cs="Arial"/>
          <w:color w:val="auto"/>
          <w:sz w:val="22"/>
        </w:rPr>
      </w:pPr>
      <w:r w:rsidRPr="00C41545">
        <w:rPr>
          <w:rFonts w:eastAsia="Times New Roman" w:cs="Arial"/>
          <w:color w:val="auto"/>
          <w:sz w:val="22"/>
        </w:rPr>
        <w:t>We thank you again for consultation and the constructive and positive engagement that you</w:t>
      </w:r>
      <w:r w:rsidR="0043154D" w:rsidRPr="0043154D">
        <w:rPr>
          <w:rFonts w:eastAsia="Times New Roman" w:cs="Arial"/>
          <w:color w:val="auto"/>
          <w:sz w:val="22"/>
        </w:rPr>
        <w:t xml:space="preserve"> </w:t>
      </w:r>
      <w:r w:rsidRPr="00C41545">
        <w:rPr>
          <w:rFonts w:eastAsia="Times New Roman" w:cs="Arial"/>
          <w:color w:val="auto"/>
          <w:sz w:val="22"/>
        </w:rPr>
        <w:t>and your offices have offered on the Investment Mandate. The Board acknowledges this</w:t>
      </w:r>
      <w:r w:rsidR="0043154D" w:rsidRPr="0043154D">
        <w:rPr>
          <w:rFonts w:eastAsia="Times New Roman" w:cs="Arial"/>
          <w:color w:val="auto"/>
          <w:sz w:val="22"/>
        </w:rPr>
        <w:t xml:space="preserve"> </w:t>
      </w:r>
      <w:r w:rsidRPr="00C41545">
        <w:rPr>
          <w:rFonts w:eastAsia="Times New Roman" w:cs="Arial"/>
          <w:color w:val="auto"/>
          <w:sz w:val="22"/>
        </w:rPr>
        <w:t>direction and, once given will undertake all reasonable steps to ensure that the CEFC</w:t>
      </w:r>
      <w:r w:rsidR="0043154D" w:rsidRPr="0043154D">
        <w:rPr>
          <w:rFonts w:eastAsia="Times New Roman" w:cs="Arial"/>
          <w:color w:val="auto"/>
          <w:sz w:val="22"/>
        </w:rPr>
        <w:t xml:space="preserve"> </w:t>
      </w:r>
      <w:r w:rsidRPr="00C41545">
        <w:rPr>
          <w:rFonts w:eastAsia="Times New Roman" w:cs="Arial"/>
          <w:color w:val="auto"/>
          <w:sz w:val="22"/>
        </w:rPr>
        <w:t>complies with the Investment Mandate and the CEFC Act.</w:t>
      </w:r>
    </w:p>
    <w:p w14:paraId="1EDB6639" w14:textId="77777777" w:rsidR="00C41545" w:rsidRPr="00C41545" w:rsidRDefault="00C41545" w:rsidP="00C41545">
      <w:pPr>
        <w:autoSpaceDE w:val="0"/>
        <w:autoSpaceDN w:val="0"/>
        <w:adjustRightInd w:val="0"/>
        <w:spacing w:before="0" w:after="0"/>
        <w:rPr>
          <w:rFonts w:eastAsia="Times New Roman" w:cs="Arial"/>
          <w:color w:val="auto"/>
          <w:sz w:val="22"/>
        </w:rPr>
      </w:pPr>
    </w:p>
    <w:p w14:paraId="61ED5120" w14:textId="77777777" w:rsidR="00305033" w:rsidRPr="0043154D" w:rsidRDefault="00305033" w:rsidP="00305033">
      <w:pPr>
        <w:rPr>
          <w:sz w:val="22"/>
        </w:rPr>
      </w:pPr>
      <w:r w:rsidRPr="0043154D">
        <w:rPr>
          <w:sz w:val="22"/>
        </w:rPr>
        <w:t xml:space="preserve">Yours </w:t>
      </w:r>
      <w:r w:rsidRPr="0043154D">
        <w:rPr>
          <w:sz w:val="22"/>
        </w:rPr>
        <w:fldChar w:fldCharType="begin"/>
      </w:r>
      <w:r w:rsidRPr="0043154D">
        <w:rPr>
          <w:sz w:val="22"/>
        </w:rPr>
        <w:instrText xml:space="preserve"> MACROBUTTON Closure sincerely</w:instrText>
      </w:r>
      <w:r w:rsidRPr="0043154D">
        <w:rPr>
          <w:sz w:val="22"/>
        </w:rPr>
        <w:fldChar w:fldCharType="end"/>
      </w:r>
    </w:p>
    <w:p w14:paraId="684E3035" w14:textId="77777777" w:rsidR="00094534" w:rsidRPr="0043154D" w:rsidRDefault="00094534" w:rsidP="00305033">
      <w:pPr>
        <w:rPr>
          <w:sz w:val="22"/>
        </w:rPr>
      </w:pPr>
    </w:p>
    <w:p w14:paraId="1A9C5D90" w14:textId="77777777" w:rsidR="00094534" w:rsidRPr="0043154D" w:rsidRDefault="00094534" w:rsidP="00305033">
      <w:pPr>
        <w:rPr>
          <w:sz w:val="22"/>
        </w:rPr>
      </w:pPr>
    </w:p>
    <w:p w14:paraId="7BBE1DE6" w14:textId="77777777" w:rsidR="00094534" w:rsidRPr="00094534" w:rsidRDefault="00094534" w:rsidP="00094534">
      <w:pPr>
        <w:autoSpaceDE w:val="0"/>
        <w:autoSpaceDN w:val="0"/>
        <w:adjustRightInd w:val="0"/>
        <w:spacing w:before="0" w:after="0"/>
        <w:rPr>
          <w:rFonts w:eastAsia="Times New Roman" w:cs="Arial"/>
          <w:color w:val="auto"/>
          <w:sz w:val="22"/>
        </w:rPr>
      </w:pPr>
      <w:r w:rsidRPr="00094534">
        <w:rPr>
          <w:rFonts w:eastAsia="Times New Roman" w:cs="Arial"/>
          <w:color w:val="auto"/>
          <w:sz w:val="22"/>
        </w:rPr>
        <w:t>Jillian Broadbent AO</w:t>
      </w:r>
    </w:p>
    <w:p w14:paraId="478DF06C" w14:textId="77777777" w:rsidR="00094534" w:rsidRPr="00094534" w:rsidRDefault="00094534" w:rsidP="00094534">
      <w:pPr>
        <w:autoSpaceDE w:val="0"/>
        <w:autoSpaceDN w:val="0"/>
        <w:adjustRightInd w:val="0"/>
        <w:spacing w:before="0" w:after="0"/>
        <w:rPr>
          <w:rFonts w:eastAsia="Times New Roman" w:cs="Arial"/>
          <w:color w:val="auto"/>
          <w:sz w:val="22"/>
        </w:rPr>
      </w:pPr>
      <w:r w:rsidRPr="00094534">
        <w:rPr>
          <w:rFonts w:eastAsia="Times New Roman" w:cs="Arial"/>
          <w:color w:val="auto"/>
          <w:sz w:val="22"/>
        </w:rPr>
        <w:t xml:space="preserve">Chair </w:t>
      </w:r>
    </w:p>
    <w:p w14:paraId="2B4D406B" w14:textId="77777777" w:rsidR="00094534" w:rsidRPr="00094534" w:rsidRDefault="00094534" w:rsidP="00094534">
      <w:pPr>
        <w:autoSpaceDE w:val="0"/>
        <w:autoSpaceDN w:val="0"/>
        <w:adjustRightInd w:val="0"/>
        <w:spacing w:before="0" w:after="0"/>
        <w:rPr>
          <w:rFonts w:eastAsia="Times New Roman" w:cs="Arial"/>
          <w:b/>
          <w:color w:val="auto"/>
          <w:sz w:val="22"/>
        </w:rPr>
      </w:pPr>
      <w:r w:rsidRPr="00094534">
        <w:rPr>
          <w:rFonts w:eastAsia="Times New Roman" w:cs="Arial"/>
          <w:b/>
          <w:color w:val="auto"/>
          <w:sz w:val="22"/>
        </w:rPr>
        <w:t xml:space="preserve">Clean Energy Finance Corporation </w:t>
      </w:r>
    </w:p>
    <w:sectPr w:rsidR="00094534" w:rsidRPr="00094534" w:rsidSect="00E41AFF">
      <w:footerReference w:type="default" r:id="rId13"/>
      <w:headerReference w:type="first" r:id="rId14"/>
      <w:footerReference w:type="first" r:id="rId15"/>
      <w:pgSz w:w="11906" w:h="16838" w:code="9"/>
      <w:pgMar w:top="2977"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D9A3E" w14:textId="77777777" w:rsidR="00C41545" w:rsidRDefault="00C41545" w:rsidP="00162DB9">
      <w:r>
        <w:separator/>
      </w:r>
    </w:p>
  </w:endnote>
  <w:endnote w:type="continuationSeparator" w:id="0">
    <w:p w14:paraId="49F1896E" w14:textId="77777777" w:rsidR="00C41545" w:rsidRDefault="00C41545" w:rsidP="0016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314468"/>
      <w:docPartObj>
        <w:docPartGallery w:val="Page Numbers (Bottom of Page)"/>
        <w:docPartUnique/>
      </w:docPartObj>
    </w:sdtPr>
    <w:sdtEndPr>
      <w:rPr>
        <w:noProof/>
      </w:rPr>
    </w:sdtEndPr>
    <w:sdtContent>
      <w:p w14:paraId="69B91F6F" w14:textId="77777777" w:rsidR="00C41545" w:rsidRDefault="00C41545">
        <w:pPr>
          <w:pStyle w:val="Footer"/>
          <w:jc w:val="right"/>
        </w:pPr>
        <w:r>
          <w:fldChar w:fldCharType="begin"/>
        </w:r>
        <w:r>
          <w:instrText xml:space="preserve"> PAGE   \* MERGEFORMAT </w:instrText>
        </w:r>
        <w:r>
          <w:fldChar w:fldCharType="separate"/>
        </w:r>
        <w:r w:rsidR="008C190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388E" w14:textId="77777777" w:rsidR="00E41AFF" w:rsidRDefault="00E41AFF" w:rsidP="00E41AFF">
    <w:pPr>
      <w:tabs>
        <w:tab w:val="left" w:pos="3119"/>
      </w:tabs>
      <w:spacing w:before="240"/>
      <w:rPr>
        <w:color w:val="0082C8"/>
        <w:sz w:val="12"/>
        <w:szCs w:val="12"/>
      </w:rPr>
    </w:pPr>
    <w:r w:rsidRPr="006A5F33">
      <w:rPr>
        <w:color w:val="0082C8"/>
        <w:sz w:val="12"/>
        <w:szCs w:val="12"/>
      </w:rPr>
      <w:t>Clean Energy Finance Corporation</w:t>
    </w:r>
  </w:p>
  <w:p w14:paraId="38408D35" w14:textId="77777777" w:rsidR="00E41AFF" w:rsidRPr="00214A8F" w:rsidRDefault="00E41AFF" w:rsidP="00E41AFF">
    <w:pPr>
      <w:tabs>
        <w:tab w:val="left" w:pos="3119"/>
      </w:tabs>
      <w:spacing w:before="60" w:line="288" w:lineRule="auto"/>
      <w:rPr>
        <w:color w:val="808285"/>
        <w:sz w:val="11"/>
        <w:szCs w:val="11"/>
      </w:rPr>
    </w:pPr>
    <w:r w:rsidRPr="006A5F33">
      <w:rPr>
        <w:color w:val="808285"/>
        <w:sz w:val="11"/>
        <w:szCs w:val="11"/>
      </w:rPr>
      <w:t>Suite 1702, 1 Bligh Street</w:t>
    </w:r>
    <w:r>
      <w:rPr>
        <w:color w:val="808285"/>
        <w:sz w:val="11"/>
        <w:szCs w:val="11"/>
      </w:rPr>
      <w:tab/>
    </w:r>
    <w:r w:rsidRPr="00CF4C5A">
      <w:rPr>
        <w:color w:val="808285"/>
        <w:sz w:val="10"/>
        <w:szCs w:val="10"/>
      </w:rPr>
      <w:t xml:space="preserve">e </w:t>
    </w:r>
    <w:hyperlink r:id="rId1" w:history="1">
      <w:r w:rsidRPr="00A95795">
        <w:rPr>
          <w:sz w:val="10"/>
          <w:szCs w:val="10"/>
        </w:rPr>
        <w:t>info@cleanenergyfinancecorp.com.au</w:t>
      </w:r>
    </w:hyperlink>
    <w:r>
      <w:rPr>
        <w:color w:val="808285"/>
        <w:sz w:val="11"/>
        <w:szCs w:val="11"/>
      </w:rPr>
      <w:br/>
    </w:r>
    <w:r w:rsidRPr="006A5F33">
      <w:rPr>
        <w:color w:val="808285"/>
        <w:sz w:val="11"/>
        <w:szCs w:val="11"/>
      </w:rPr>
      <w:t>Sydney, NSW 2000 Australia</w:t>
    </w:r>
    <w:r>
      <w:rPr>
        <w:color w:val="808285"/>
        <w:sz w:val="11"/>
        <w:szCs w:val="11"/>
      </w:rPr>
      <w:tab/>
    </w:r>
    <w:r w:rsidRPr="00CF4C5A">
      <w:rPr>
        <w:color w:val="808285"/>
        <w:sz w:val="10"/>
        <w:szCs w:val="10"/>
      </w:rPr>
      <w:t>t 1300 002 332</w:t>
    </w:r>
    <w:r>
      <w:rPr>
        <w:color w:val="808285"/>
        <w:sz w:val="11"/>
        <w:szCs w:val="11"/>
      </w:rPr>
      <w:br/>
    </w:r>
    <w:r w:rsidRPr="006A5F33">
      <w:rPr>
        <w:color w:val="808285"/>
        <w:sz w:val="11"/>
        <w:szCs w:val="11"/>
      </w:rPr>
      <w:t>ABN: 43 669 904 352</w:t>
    </w:r>
    <w:r>
      <w:rPr>
        <w:color w:val="808285"/>
        <w:sz w:val="11"/>
        <w:szCs w:val="11"/>
      </w:rPr>
      <w:tab/>
    </w:r>
    <w:r>
      <w:rPr>
        <w:color w:val="808285"/>
        <w:sz w:val="10"/>
        <w:szCs w:val="10"/>
      </w:rPr>
      <w:t>i</w:t>
    </w:r>
    <w:r w:rsidRPr="00CF4C5A">
      <w:rPr>
        <w:color w:val="808285"/>
        <w:sz w:val="10"/>
        <w:szCs w:val="10"/>
      </w:rPr>
      <w:t xml:space="preserve"> +61 2 8039 0800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ED15" w14:textId="77777777" w:rsidR="00C41545" w:rsidRDefault="00C41545" w:rsidP="00162DB9">
      <w:r>
        <w:separator/>
      </w:r>
    </w:p>
  </w:footnote>
  <w:footnote w:type="continuationSeparator" w:id="0">
    <w:p w14:paraId="09C8FE60" w14:textId="77777777" w:rsidR="00C41545" w:rsidRDefault="00C41545" w:rsidP="0016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769F" w14:textId="77777777" w:rsidR="00620823" w:rsidRDefault="002C0AAA" w:rsidP="00E04CAC">
    <w:pPr>
      <w:ind w:left="-1134" w:firstLine="1134"/>
    </w:pPr>
    <w:r>
      <w:rPr>
        <w:noProof/>
        <w:lang w:eastAsia="en-AU"/>
      </w:rPr>
      <w:drawing>
        <wp:anchor distT="0" distB="0" distL="114300" distR="114300" simplePos="0" relativeHeight="251658240" behindDoc="0" locked="0" layoutInCell="1" allowOverlap="1" wp14:anchorId="65D67842" wp14:editId="6FD06519">
          <wp:simplePos x="0" y="0"/>
          <wp:positionH relativeFrom="column">
            <wp:posOffset>-346710</wp:posOffset>
          </wp:positionH>
          <wp:positionV relativeFrom="paragraph">
            <wp:posOffset>121285</wp:posOffset>
          </wp:positionV>
          <wp:extent cx="1619885" cy="6477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647700"/>
                  </a:xfrm>
                  <a:prstGeom prst="rect">
                    <a:avLst/>
                  </a:prstGeom>
                </pic:spPr>
              </pic:pic>
            </a:graphicData>
          </a:graphic>
        </wp:anchor>
      </w:drawing>
    </w:r>
  </w:p>
  <w:p w14:paraId="1B9F6F21" w14:textId="77777777" w:rsidR="00620823" w:rsidRDefault="008C190A" w:rsidP="007669C1"/>
  <w:p w14:paraId="4E7715C3" w14:textId="77777777" w:rsidR="00620823" w:rsidRDefault="008C190A" w:rsidP="00C11B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C12"/>
    <w:multiLevelType w:val="hybridMultilevel"/>
    <w:tmpl w:val="8F2E7E4C"/>
    <w:lvl w:ilvl="0" w:tplc="5F56EC58">
      <w:start w:val="1"/>
      <w:numFmt w:val="decimal"/>
      <w:lvlText w:val="%1."/>
      <w:lvlJc w:val="left"/>
      <w:pPr>
        <w:ind w:left="1077" w:hanging="360"/>
      </w:pPr>
      <w:rPr>
        <w:rFonts w:hint="default"/>
      </w:r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04487C34"/>
    <w:multiLevelType w:val="multilevel"/>
    <w:tmpl w:val="622804BC"/>
    <w:lvl w:ilvl="0">
      <w:numFmt w:val="bullet"/>
      <w:lvlText w:val="•"/>
      <w:lvlJc w:val="left"/>
      <w:pPr>
        <w:ind w:left="417" w:hanging="360"/>
      </w:pPr>
      <w:rPr>
        <w:rFonts w:ascii="Arial" w:hAnsi="Arial" w:hint="default"/>
        <w:b w:val="0"/>
        <w:i w:val="0"/>
        <w:color w:val="auto"/>
        <w:sz w:val="20"/>
      </w:rPr>
    </w:lvl>
    <w:lvl w:ilvl="1">
      <w:start w:val="1"/>
      <w:numFmt w:val="bullet"/>
      <w:lvlText w:val="–"/>
      <w:lvlJc w:val="left"/>
      <w:pPr>
        <w:ind w:left="680" w:hanging="340"/>
      </w:pPr>
      <w:rPr>
        <w:rFonts w:ascii="Arial" w:hAnsi="Arial" w:hint="default"/>
        <w:b w:val="0"/>
        <w:i w:val="0"/>
        <w:color w:val="auto"/>
        <w:sz w:val="20"/>
      </w:rPr>
    </w:lvl>
    <w:lvl w:ilvl="2">
      <w:start w:val="1"/>
      <w:numFmt w:val="bullet"/>
      <w:lvlText w:val="-"/>
      <w:lvlJc w:val="left"/>
      <w:pPr>
        <w:ind w:left="1020" w:hanging="340"/>
      </w:pPr>
      <w:rPr>
        <w:rFonts w:ascii="Arial" w:hAnsi="Arial" w:hint="default"/>
        <w:b w:val="0"/>
        <w:i w:val="0"/>
        <w:color w:val="auto"/>
        <w:sz w:val="20"/>
        <w:szCs w:val="28"/>
      </w:rPr>
    </w:lvl>
    <w:lvl w:ilvl="3">
      <w:start w:val="1"/>
      <w:numFmt w:val="none"/>
      <w:suff w:val="nothing"/>
      <w:lvlText w:val=""/>
      <w:lvlJc w:val="left"/>
      <w:pPr>
        <w:ind w:left="340" w:firstLine="0"/>
      </w:pPr>
      <w:rPr>
        <w:rFonts w:hint="default"/>
        <w:color w:val="auto"/>
      </w:rPr>
    </w:lvl>
    <w:lvl w:ilvl="4">
      <w:start w:val="1"/>
      <w:numFmt w:val="none"/>
      <w:suff w:val="nothing"/>
      <w:lvlText w:val=""/>
      <w:lvlJc w:val="left"/>
      <w:pPr>
        <w:ind w:left="680" w:firstLine="0"/>
      </w:pPr>
      <w:rPr>
        <w:rFonts w:hint="default"/>
        <w:color w:val="auto"/>
      </w:rPr>
    </w:lvl>
    <w:lvl w:ilvl="5">
      <w:start w:val="1"/>
      <w:numFmt w:val="none"/>
      <w:suff w:val="nothing"/>
      <w:lvlText w:val="%1"/>
      <w:lvlJc w:val="left"/>
      <w:pPr>
        <w:ind w:left="1021"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2" w15:restartNumberingAfterBreak="0">
    <w:nsid w:val="3FF13E44"/>
    <w:multiLevelType w:val="multilevel"/>
    <w:tmpl w:val="9D88D922"/>
    <w:lvl w:ilvl="0">
      <w:start w:val="1"/>
      <w:numFmt w:val="decimal"/>
      <w:lvlText w:val="%1"/>
      <w:lvlJc w:val="left"/>
      <w:pPr>
        <w:tabs>
          <w:tab w:val="num" w:pos="284"/>
        </w:tabs>
        <w:ind w:left="284" w:hanging="284"/>
      </w:pPr>
      <w:rPr>
        <w:rFonts w:hint="default"/>
        <w:b/>
        <w:i w:val="0"/>
        <w:color w:val="646464"/>
        <w:sz w:val="26"/>
        <w:szCs w:val="36"/>
      </w:rPr>
    </w:lvl>
    <w:lvl w:ilvl="1">
      <w:start w:val="1"/>
      <w:numFmt w:val="decimal"/>
      <w:lvlText w:val="%1.%2"/>
      <w:lvlJc w:val="left"/>
      <w:pPr>
        <w:ind w:left="454" w:hanging="454"/>
      </w:pPr>
      <w:rPr>
        <w:rFonts w:hint="default"/>
        <w:b/>
        <w:i w:val="0"/>
        <w:sz w:val="24"/>
        <w:szCs w:val="32"/>
      </w:rPr>
    </w:lvl>
    <w:lvl w:ilvl="2">
      <w:start w:val="1"/>
      <w:numFmt w:val="decimal"/>
      <w:lvlText w:val="%1.%2.%3"/>
      <w:lvlJc w:val="left"/>
      <w:pPr>
        <w:ind w:left="624" w:hanging="624"/>
      </w:pPr>
      <w:rPr>
        <w:rFonts w:hint="default"/>
        <w:b/>
        <w:i w:val="0"/>
        <w:sz w:val="22"/>
        <w:szCs w:val="2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pStyle w:val="BodyNumbering1"/>
      <w:lvlText w:val="%7"/>
      <w:lvlJc w:val="left"/>
      <w:pPr>
        <w:ind w:left="340" w:hanging="340"/>
      </w:pPr>
      <w:rPr>
        <w:rFonts w:hint="default"/>
        <w:b w:val="0"/>
        <w:i w:val="0"/>
        <w:sz w:val="20"/>
      </w:rPr>
    </w:lvl>
    <w:lvl w:ilvl="7">
      <w:start w:val="1"/>
      <w:numFmt w:val="lowerLetter"/>
      <w:pStyle w:val="BodyNumbering2"/>
      <w:lvlText w:val="%8"/>
      <w:lvlJc w:val="left"/>
      <w:pPr>
        <w:ind w:left="680" w:hanging="340"/>
      </w:pPr>
      <w:rPr>
        <w:rFonts w:hint="default"/>
        <w:b w:val="0"/>
        <w:i w:val="0"/>
        <w:sz w:val="20"/>
      </w:rPr>
    </w:lvl>
    <w:lvl w:ilvl="8">
      <w:start w:val="1"/>
      <w:numFmt w:val="lowerRoman"/>
      <w:pStyle w:val="BodyNumbering3"/>
      <w:lvlText w:val="%9"/>
      <w:lvlJc w:val="left"/>
      <w:pPr>
        <w:ind w:left="1021" w:hanging="341"/>
      </w:pPr>
      <w:rPr>
        <w:rFonts w:hint="default"/>
        <w:b w:val="0"/>
        <w:i w:val="0"/>
        <w:sz w:val="20"/>
      </w:rPr>
    </w:lvl>
  </w:abstractNum>
  <w:abstractNum w:abstractNumId="3" w15:restartNumberingAfterBreak="0">
    <w:nsid w:val="506877F0"/>
    <w:multiLevelType w:val="multilevel"/>
    <w:tmpl w:val="0354EB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FF67ADD"/>
    <w:multiLevelType w:val="multilevel"/>
    <w:tmpl w:val="CD8AB066"/>
    <w:lvl w:ilvl="0">
      <w:start w:val="1"/>
      <w:numFmt w:val="bullet"/>
      <w:pStyle w:val="BodyBullet1"/>
      <w:lvlText w:val=""/>
      <w:lvlJc w:val="left"/>
      <w:pPr>
        <w:ind w:left="417" w:hanging="360"/>
      </w:pPr>
      <w:rPr>
        <w:rFonts w:ascii="Wingdings" w:hAnsi="Wingdings" w:hint="default"/>
        <w:b w:val="0"/>
        <w:i w:val="0"/>
        <w:color w:val="auto"/>
        <w:sz w:val="20"/>
      </w:rPr>
    </w:lvl>
    <w:lvl w:ilvl="1">
      <w:start w:val="1"/>
      <w:numFmt w:val="bullet"/>
      <w:pStyle w:val="BodyBullet2"/>
      <w:lvlText w:val="–"/>
      <w:lvlJc w:val="left"/>
      <w:pPr>
        <w:ind w:left="680" w:hanging="340"/>
      </w:pPr>
      <w:rPr>
        <w:rFonts w:ascii="Arial" w:hAnsi="Arial" w:hint="default"/>
        <w:b w:val="0"/>
        <w:i w:val="0"/>
        <w:color w:val="auto"/>
        <w:sz w:val="20"/>
      </w:rPr>
    </w:lvl>
    <w:lvl w:ilvl="2">
      <w:start w:val="1"/>
      <w:numFmt w:val="bullet"/>
      <w:pStyle w:val="BodyBullet3"/>
      <w:lvlText w:val="-"/>
      <w:lvlJc w:val="left"/>
      <w:pPr>
        <w:ind w:left="1020" w:hanging="340"/>
      </w:pPr>
      <w:rPr>
        <w:rFonts w:ascii="Arial" w:hAnsi="Arial" w:hint="default"/>
        <w:b w:val="0"/>
        <w:i w:val="0"/>
        <w:color w:val="auto"/>
        <w:sz w:val="20"/>
        <w:szCs w:val="28"/>
      </w:rPr>
    </w:lvl>
    <w:lvl w:ilvl="3">
      <w:start w:val="1"/>
      <w:numFmt w:val="none"/>
      <w:pStyle w:val="BodyIndent1"/>
      <w:suff w:val="nothing"/>
      <w:lvlText w:val=""/>
      <w:lvlJc w:val="left"/>
      <w:pPr>
        <w:ind w:left="340" w:firstLine="0"/>
      </w:pPr>
      <w:rPr>
        <w:rFonts w:hint="default"/>
        <w:color w:val="auto"/>
      </w:rPr>
    </w:lvl>
    <w:lvl w:ilvl="4">
      <w:start w:val="1"/>
      <w:numFmt w:val="none"/>
      <w:pStyle w:val="BodyIndent2"/>
      <w:suff w:val="nothing"/>
      <w:lvlText w:val=""/>
      <w:lvlJc w:val="left"/>
      <w:pPr>
        <w:ind w:left="680" w:firstLine="0"/>
      </w:pPr>
      <w:rPr>
        <w:rFonts w:hint="default"/>
        <w:color w:val="auto"/>
      </w:rPr>
    </w:lvl>
    <w:lvl w:ilvl="5">
      <w:start w:val="1"/>
      <w:numFmt w:val="none"/>
      <w:pStyle w:val="BodyIndent3"/>
      <w:suff w:val="nothing"/>
      <w:lvlText w:val="%1"/>
      <w:lvlJc w:val="left"/>
      <w:pPr>
        <w:ind w:left="1021"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5" w15:restartNumberingAfterBreak="0">
    <w:nsid w:val="70140B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2"/>
  </w:num>
  <w:num w:numId="12">
    <w:abstractNumId w:val="2"/>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num>
  <w:num w:numId="20">
    <w:abstractNumId w:val="4"/>
  </w:num>
  <w:num w:numId="21">
    <w:abstractNumId w:val="4"/>
  </w:num>
  <w:num w:numId="22">
    <w:abstractNumId w:val="4"/>
  </w:num>
  <w:num w:numId="23">
    <w:abstractNumId w:val="4"/>
  </w:num>
  <w:num w:numId="24">
    <w:abstractNumId w:val="2"/>
  </w:num>
  <w:num w:numId="25">
    <w:abstractNumId w:val="2"/>
  </w:num>
  <w:num w:numId="26">
    <w:abstractNumId w:val="2"/>
  </w:num>
  <w:num w:numId="27">
    <w:abstractNumId w:val="5"/>
  </w:num>
  <w:num w:numId="28">
    <w:abstractNumId w:val="4"/>
  </w:num>
  <w:num w:numId="29">
    <w:abstractNumId w:val="4"/>
  </w:num>
  <w:num w:numId="30">
    <w:abstractNumId w:val="4"/>
  </w:num>
  <w:num w:numId="31">
    <w:abstractNumId w:val="4"/>
  </w:num>
  <w:num w:numId="32">
    <w:abstractNumId w:val="4"/>
  </w:num>
  <w:num w:numId="33">
    <w:abstractNumId w:val="4"/>
  </w:num>
  <w:num w:numId="34">
    <w:abstractNumId w:val="2"/>
  </w:num>
  <w:num w:numId="35">
    <w:abstractNumId w:val="2"/>
  </w:num>
  <w:num w:numId="36">
    <w:abstractNumId w:val="2"/>
  </w:num>
  <w:num w:numId="37">
    <w:abstractNumId w:val="1"/>
  </w:num>
  <w:num w:numId="38">
    <w:abstractNumId w:val="3"/>
  </w:num>
  <w:num w:numId="39">
    <w:abstractNumId w:val="3"/>
  </w:num>
  <w:num w:numId="40">
    <w:abstractNumId w:val="3"/>
  </w:num>
  <w:num w:numId="41">
    <w:abstractNumId w:val="3"/>
  </w:num>
  <w:num w:numId="42">
    <w:abstractNumId w:val="3"/>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45"/>
    <w:rsid w:val="00007AB0"/>
    <w:rsid w:val="000635D2"/>
    <w:rsid w:val="00094534"/>
    <w:rsid w:val="000C3B3E"/>
    <w:rsid w:val="000F077E"/>
    <w:rsid w:val="00103A8C"/>
    <w:rsid w:val="0011114F"/>
    <w:rsid w:val="00162DB9"/>
    <w:rsid w:val="00163C60"/>
    <w:rsid w:val="001C4DD9"/>
    <w:rsid w:val="001D3EE4"/>
    <w:rsid w:val="00233071"/>
    <w:rsid w:val="002671C7"/>
    <w:rsid w:val="002A6C13"/>
    <w:rsid w:val="002B2FB1"/>
    <w:rsid w:val="002C0AAA"/>
    <w:rsid w:val="002C5C33"/>
    <w:rsid w:val="002F5564"/>
    <w:rsid w:val="00305033"/>
    <w:rsid w:val="00312A2E"/>
    <w:rsid w:val="003438C3"/>
    <w:rsid w:val="003D6C98"/>
    <w:rsid w:val="00403C66"/>
    <w:rsid w:val="0043154D"/>
    <w:rsid w:val="004567BD"/>
    <w:rsid w:val="004A2C7B"/>
    <w:rsid w:val="004D003A"/>
    <w:rsid w:val="00526FC5"/>
    <w:rsid w:val="0054742C"/>
    <w:rsid w:val="005A60F0"/>
    <w:rsid w:val="005A6B22"/>
    <w:rsid w:val="00606678"/>
    <w:rsid w:val="00674A10"/>
    <w:rsid w:val="006B7427"/>
    <w:rsid w:val="006C2DA4"/>
    <w:rsid w:val="006C5882"/>
    <w:rsid w:val="007200E5"/>
    <w:rsid w:val="00742CB1"/>
    <w:rsid w:val="00745EFB"/>
    <w:rsid w:val="007C26AB"/>
    <w:rsid w:val="00832A42"/>
    <w:rsid w:val="00846DF2"/>
    <w:rsid w:val="00861E0D"/>
    <w:rsid w:val="008B4021"/>
    <w:rsid w:val="008C190A"/>
    <w:rsid w:val="009F4BE0"/>
    <w:rsid w:val="00A641AD"/>
    <w:rsid w:val="00A67F27"/>
    <w:rsid w:val="00AE3C1C"/>
    <w:rsid w:val="00B25521"/>
    <w:rsid w:val="00B62526"/>
    <w:rsid w:val="00B97E3A"/>
    <w:rsid w:val="00BA7F07"/>
    <w:rsid w:val="00BE4B17"/>
    <w:rsid w:val="00C172B3"/>
    <w:rsid w:val="00C41545"/>
    <w:rsid w:val="00C563E2"/>
    <w:rsid w:val="00C75FD2"/>
    <w:rsid w:val="00C83E02"/>
    <w:rsid w:val="00C84BFA"/>
    <w:rsid w:val="00C863A4"/>
    <w:rsid w:val="00D46EE4"/>
    <w:rsid w:val="00DB5283"/>
    <w:rsid w:val="00DF3DDA"/>
    <w:rsid w:val="00E41AFF"/>
    <w:rsid w:val="00EB38AB"/>
    <w:rsid w:val="00EC3BE9"/>
    <w:rsid w:val="00F03DD0"/>
    <w:rsid w:val="00F20284"/>
    <w:rsid w:val="00F65522"/>
    <w:rsid w:val="00F96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CE9CD0"/>
  <w15:docId w15:val="{B354E090-2B70-415E-ADC6-EF4A2F9A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0AAA"/>
    <w:pPr>
      <w:spacing w:before="180" w:after="60" w:line="240" w:lineRule="auto"/>
    </w:pPr>
    <w:rPr>
      <w:rFonts w:ascii="Arial" w:hAnsi="Arial"/>
      <w:color w:val="000000" w:themeColor="text1"/>
      <w:sz w:val="20"/>
    </w:rPr>
  </w:style>
  <w:style w:type="paragraph" w:styleId="Heading1">
    <w:name w:val="heading 1"/>
    <w:basedOn w:val="Normal"/>
    <w:next w:val="BodyText"/>
    <w:link w:val="Heading1Char"/>
    <w:uiPriority w:val="9"/>
    <w:qFormat/>
    <w:rsid w:val="002C0AAA"/>
    <w:pPr>
      <w:keepNext/>
      <w:keepLines/>
      <w:outlineLvl w:val="0"/>
    </w:pPr>
    <w:rPr>
      <w:rFonts w:eastAsiaTheme="majorEastAsia" w:cstheme="majorBidi"/>
      <w:bCs/>
      <w:caps/>
      <w:color w:val="0078D7"/>
      <w:sz w:val="32"/>
      <w:szCs w:val="28"/>
    </w:rPr>
  </w:style>
  <w:style w:type="paragraph" w:styleId="Heading2">
    <w:name w:val="heading 2"/>
    <w:basedOn w:val="Heading1"/>
    <w:next w:val="BodyText"/>
    <w:link w:val="Heading2Char"/>
    <w:uiPriority w:val="9"/>
    <w:qFormat/>
    <w:rsid w:val="002C0AAA"/>
    <w:pPr>
      <w:outlineLvl w:val="1"/>
    </w:pPr>
    <w:rPr>
      <w:bCs w:val="0"/>
      <w:color w:val="000000" w:themeColor="text1"/>
      <w:sz w:val="28"/>
      <w:szCs w:val="26"/>
    </w:rPr>
  </w:style>
  <w:style w:type="paragraph" w:styleId="Heading3">
    <w:name w:val="heading 3"/>
    <w:basedOn w:val="Normal"/>
    <w:next w:val="BodyText"/>
    <w:link w:val="Heading3Char"/>
    <w:uiPriority w:val="9"/>
    <w:qFormat/>
    <w:rsid w:val="002C0AAA"/>
    <w:pPr>
      <w:keepNext/>
      <w:keepLines/>
      <w:outlineLvl w:val="2"/>
    </w:pPr>
    <w:rPr>
      <w:rFonts w:eastAsiaTheme="majorEastAsia" w:cstheme="majorBidi"/>
      <w:bCs/>
      <w:caps/>
      <w:color w:val="0078D7"/>
      <w:sz w:val="24"/>
    </w:rPr>
  </w:style>
  <w:style w:type="paragraph" w:styleId="Heading4">
    <w:name w:val="heading 4"/>
    <w:basedOn w:val="Heading3"/>
    <w:next w:val="Normal"/>
    <w:link w:val="Heading4Char"/>
    <w:uiPriority w:val="9"/>
    <w:qFormat/>
    <w:rsid w:val="002C0AAA"/>
    <w:pPr>
      <w:outlineLvl w:val="3"/>
    </w:pPr>
    <w:rPr>
      <w:bCs w:val="0"/>
      <w:iCs/>
      <w:color w:val="auto"/>
    </w:rPr>
  </w:style>
  <w:style w:type="paragraph" w:styleId="Heading5">
    <w:name w:val="heading 5"/>
    <w:basedOn w:val="Normal"/>
    <w:next w:val="Normal"/>
    <w:link w:val="Heading5Char"/>
    <w:uiPriority w:val="9"/>
    <w:unhideWhenUsed/>
    <w:rsid w:val="002C0AAA"/>
    <w:pPr>
      <w:keepNext/>
      <w:keepLines/>
      <w:numPr>
        <w:ilvl w:val="4"/>
        <w:numId w:val="42"/>
      </w:numPr>
      <w:spacing w:before="200"/>
      <w:outlineLvl w:val="4"/>
    </w:pPr>
    <w:rPr>
      <w:rFonts w:asciiTheme="majorHAnsi" w:eastAsiaTheme="majorEastAsia" w:hAnsiTheme="majorHAnsi" w:cstheme="majorBidi"/>
      <w:color w:val="0A3D60" w:themeColor="accent1" w:themeShade="7F"/>
    </w:rPr>
  </w:style>
  <w:style w:type="paragraph" w:styleId="Heading6">
    <w:name w:val="heading 6"/>
    <w:basedOn w:val="Normal"/>
    <w:next w:val="Normal"/>
    <w:link w:val="Heading6Char"/>
    <w:uiPriority w:val="9"/>
    <w:unhideWhenUsed/>
    <w:rsid w:val="002C0AAA"/>
    <w:pPr>
      <w:keepNext/>
      <w:keepLines/>
      <w:numPr>
        <w:ilvl w:val="5"/>
        <w:numId w:val="42"/>
      </w:numPr>
      <w:spacing w:before="200"/>
      <w:outlineLvl w:val="5"/>
    </w:pPr>
    <w:rPr>
      <w:rFonts w:asciiTheme="majorHAnsi" w:eastAsiaTheme="majorEastAsia" w:hAnsiTheme="majorHAnsi" w:cstheme="majorBidi"/>
      <w:i/>
      <w:iCs/>
      <w:color w:val="0A3D60" w:themeColor="accent1" w:themeShade="7F"/>
    </w:rPr>
  </w:style>
  <w:style w:type="paragraph" w:styleId="Heading7">
    <w:name w:val="heading 7"/>
    <w:basedOn w:val="Normal"/>
    <w:next w:val="Normal"/>
    <w:link w:val="Heading7Char"/>
    <w:uiPriority w:val="9"/>
    <w:unhideWhenUsed/>
    <w:rsid w:val="002C0AAA"/>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C0AAA"/>
    <w:pPr>
      <w:keepNext/>
      <w:keepLines/>
      <w:numPr>
        <w:ilvl w:val="7"/>
        <w:numId w:val="4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2C0AA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AA"/>
    <w:rPr>
      <w:rFonts w:ascii="Arial" w:eastAsiaTheme="majorEastAsia" w:hAnsi="Arial" w:cstheme="majorBidi"/>
      <w:bCs/>
      <w:caps/>
      <w:color w:val="0078D7"/>
      <w:sz w:val="32"/>
      <w:szCs w:val="28"/>
    </w:rPr>
  </w:style>
  <w:style w:type="character" w:customStyle="1" w:styleId="Heading2Char">
    <w:name w:val="Heading 2 Char"/>
    <w:basedOn w:val="DefaultParagraphFont"/>
    <w:link w:val="Heading2"/>
    <w:uiPriority w:val="9"/>
    <w:rsid w:val="002C0AAA"/>
    <w:rPr>
      <w:rFonts w:ascii="Arial" w:eastAsiaTheme="majorEastAsia" w:hAnsi="Arial" w:cstheme="majorBidi"/>
      <w:caps/>
      <w:color w:val="000000" w:themeColor="text1"/>
      <w:sz w:val="28"/>
      <w:szCs w:val="26"/>
    </w:rPr>
  </w:style>
  <w:style w:type="character" w:customStyle="1" w:styleId="Heading3Char">
    <w:name w:val="Heading 3 Char"/>
    <w:basedOn w:val="DefaultParagraphFont"/>
    <w:link w:val="Heading3"/>
    <w:uiPriority w:val="9"/>
    <w:rsid w:val="002C0AAA"/>
    <w:rPr>
      <w:rFonts w:ascii="Arial" w:eastAsiaTheme="majorEastAsia" w:hAnsi="Arial" w:cstheme="majorBidi"/>
      <w:bCs/>
      <w:caps/>
      <w:color w:val="0078D7"/>
      <w:sz w:val="24"/>
    </w:rPr>
  </w:style>
  <w:style w:type="character" w:customStyle="1" w:styleId="Heading4Char">
    <w:name w:val="Heading 4 Char"/>
    <w:basedOn w:val="DefaultParagraphFont"/>
    <w:link w:val="Heading4"/>
    <w:uiPriority w:val="9"/>
    <w:rsid w:val="002C0AAA"/>
    <w:rPr>
      <w:rFonts w:ascii="Arial" w:eastAsiaTheme="majorEastAsia" w:hAnsi="Arial" w:cstheme="majorBidi"/>
      <w:iCs/>
      <w:caps/>
      <w:sz w:val="24"/>
    </w:rPr>
  </w:style>
  <w:style w:type="character" w:customStyle="1" w:styleId="Heading5Char">
    <w:name w:val="Heading 5 Char"/>
    <w:basedOn w:val="DefaultParagraphFont"/>
    <w:link w:val="Heading5"/>
    <w:uiPriority w:val="9"/>
    <w:rsid w:val="002C0AAA"/>
    <w:rPr>
      <w:rFonts w:asciiTheme="majorHAnsi" w:eastAsiaTheme="majorEastAsia" w:hAnsiTheme="majorHAnsi" w:cstheme="majorBidi"/>
      <w:color w:val="0A3D60" w:themeColor="accent1" w:themeShade="7F"/>
      <w:sz w:val="20"/>
    </w:rPr>
  </w:style>
  <w:style w:type="character" w:customStyle="1" w:styleId="Heading6Char">
    <w:name w:val="Heading 6 Char"/>
    <w:basedOn w:val="DefaultParagraphFont"/>
    <w:link w:val="Heading6"/>
    <w:uiPriority w:val="9"/>
    <w:rsid w:val="002C0AAA"/>
    <w:rPr>
      <w:rFonts w:asciiTheme="majorHAnsi" w:eastAsiaTheme="majorEastAsia" w:hAnsiTheme="majorHAnsi" w:cstheme="majorBidi"/>
      <w:i/>
      <w:iCs/>
      <w:color w:val="0A3D60" w:themeColor="accent1" w:themeShade="7F"/>
      <w:sz w:val="20"/>
    </w:rPr>
  </w:style>
  <w:style w:type="character" w:customStyle="1" w:styleId="Heading7Char">
    <w:name w:val="Heading 7 Char"/>
    <w:basedOn w:val="DefaultParagraphFont"/>
    <w:link w:val="Heading7"/>
    <w:uiPriority w:val="9"/>
    <w:rsid w:val="002C0AA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2C0A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C0AA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2"/>
    <w:qFormat/>
    <w:rsid w:val="002C0AAA"/>
    <w:pPr>
      <w:spacing w:before="200" w:after="200"/>
    </w:pPr>
  </w:style>
  <w:style w:type="character" w:customStyle="1" w:styleId="BodyTextChar">
    <w:name w:val="Body Text Char"/>
    <w:basedOn w:val="DefaultParagraphFont"/>
    <w:link w:val="BodyText"/>
    <w:uiPriority w:val="2"/>
    <w:rsid w:val="002C0AAA"/>
    <w:rPr>
      <w:rFonts w:ascii="Arial" w:hAnsi="Arial"/>
      <w:color w:val="000000" w:themeColor="text1"/>
      <w:sz w:val="20"/>
    </w:rPr>
  </w:style>
  <w:style w:type="paragraph" w:customStyle="1" w:styleId="Address">
    <w:name w:val="Address"/>
    <w:basedOn w:val="BodyText"/>
    <w:qFormat/>
    <w:rsid w:val="002C0AAA"/>
    <w:pPr>
      <w:spacing w:before="0" w:after="0" w:line="288" w:lineRule="auto"/>
      <w:ind w:left="567"/>
    </w:pPr>
  </w:style>
  <w:style w:type="paragraph" w:styleId="BalloonText">
    <w:name w:val="Balloon Text"/>
    <w:basedOn w:val="Normal"/>
    <w:link w:val="BalloonTextChar"/>
    <w:uiPriority w:val="99"/>
    <w:semiHidden/>
    <w:unhideWhenUsed/>
    <w:rsid w:val="002C0AAA"/>
    <w:rPr>
      <w:rFonts w:ascii="Tahoma" w:hAnsi="Tahoma" w:cs="Tahoma"/>
      <w:sz w:val="16"/>
      <w:szCs w:val="16"/>
    </w:rPr>
  </w:style>
  <w:style w:type="character" w:customStyle="1" w:styleId="BalloonTextChar">
    <w:name w:val="Balloon Text Char"/>
    <w:basedOn w:val="DefaultParagraphFont"/>
    <w:link w:val="BalloonText"/>
    <w:uiPriority w:val="99"/>
    <w:semiHidden/>
    <w:rsid w:val="002C0AAA"/>
    <w:rPr>
      <w:rFonts w:ascii="Tahoma" w:hAnsi="Tahoma" w:cs="Tahoma"/>
      <w:color w:val="000000" w:themeColor="text1"/>
      <w:sz w:val="16"/>
      <w:szCs w:val="16"/>
    </w:rPr>
  </w:style>
  <w:style w:type="paragraph" w:customStyle="1" w:styleId="BodyBullet1">
    <w:name w:val="Body Bullet 1"/>
    <w:basedOn w:val="BodyText"/>
    <w:uiPriority w:val="3"/>
    <w:qFormat/>
    <w:rsid w:val="002C0AAA"/>
    <w:pPr>
      <w:numPr>
        <w:numId w:val="33"/>
      </w:numPr>
      <w:spacing w:before="180" w:after="60"/>
    </w:pPr>
  </w:style>
  <w:style w:type="paragraph" w:customStyle="1" w:styleId="BodyBullet2">
    <w:name w:val="Body Bullet 2"/>
    <w:basedOn w:val="BodyBullet1"/>
    <w:uiPriority w:val="3"/>
    <w:qFormat/>
    <w:rsid w:val="002C0AAA"/>
    <w:pPr>
      <w:numPr>
        <w:ilvl w:val="1"/>
      </w:numPr>
    </w:pPr>
  </w:style>
  <w:style w:type="paragraph" w:customStyle="1" w:styleId="BodyBullet3">
    <w:name w:val="Body Bullet 3"/>
    <w:basedOn w:val="BodyBullet2"/>
    <w:uiPriority w:val="3"/>
    <w:qFormat/>
    <w:rsid w:val="002C0AAA"/>
    <w:pPr>
      <w:numPr>
        <w:ilvl w:val="2"/>
      </w:numPr>
    </w:pPr>
  </w:style>
  <w:style w:type="paragraph" w:customStyle="1" w:styleId="BodyIndent1">
    <w:name w:val="Body Indent 1"/>
    <w:basedOn w:val="BodyBullet1"/>
    <w:uiPriority w:val="3"/>
    <w:rsid w:val="002C0AAA"/>
    <w:pPr>
      <w:numPr>
        <w:ilvl w:val="3"/>
      </w:numPr>
    </w:pPr>
  </w:style>
  <w:style w:type="paragraph" w:customStyle="1" w:styleId="BodyIndent2">
    <w:name w:val="Body Indent 2"/>
    <w:basedOn w:val="BodyBullet2"/>
    <w:uiPriority w:val="3"/>
    <w:rsid w:val="002C0AAA"/>
    <w:pPr>
      <w:numPr>
        <w:ilvl w:val="4"/>
      </w:numPr>
    </w:pPr>
  </w:style>
  <w:style w:type="paragraph" w:customStyle="1" w:styleId="BodyIndent3">
    <w:name w:val="Body Indent 3"/>
    <w:basedOn w:val="BodyBullet3"/>
    <w:uiPriority w:val="3"/>
    <w:rsid w:val="002C0AAA"/>
    <w:pPr>
      <w:numPr>
        <w:ilvl w:val="5"/>
      </w:numPr>
    </w:pPr>
  </w:style>
  <w:style w:type="paragraph" w:customStyle="1" w:styleId="BodyNumbering1">
    <w:name w:val="Body Numbering 1"/>
    <w:basedOn w:val="BodyBullet1"/>
    <w:uiPriority w:val="3"/>
    <w:rsid w:val="002C0AAA"/>
    <w:pPr>
      <w:numPr>
        <w:ilvl w:val="6"/>
        <w:numId w:val="36"/>
      </w:numPr>
    </w:pPr>
  </w:style>
  <w:style w:type="paragraph" w:customStyle="1" w:styleId="BodyNumbering2">
    <w:name w:val="Body Numbering 2"/>
    <w:basedOn w:val="BodyNumbering1"/>
    <w:uiPriority w:val="3"/>
    <w:rsid w:val="002C0AAA"/>
    <w:pPr>
      <w:numPr>
        <w:ilvl w:val="7"/>
      </w:numPr>
    </w:pPr>
  </w:style>
  <w:style w:type="paragraph" w:customStyle="1" w:styleId="BodyNumbering3">
    <w:name w:val="Body Numbering 3"/>
    <w:basedOn w:val="BodyNumbering2"/>
    <w:uiPriority w:val="3"/>
    <w:rsid w:val="002C0AAA"/>
    <w:pPr>
      <w:numPr>
        <w:ilvl w:val="8"/>
      </w:numPr>
    </w:pPr>
  </w:style>
  <w:style w:type="paragraph" w:customStyle="1" w:styleId="Boxed2Bullets">
    <w:name w:val="Boxed 2 Bullets"/>
    <w:basedOn w:val="Normal"/>
    <w:rsid w:val="002C0AAA"/>
  </w:style>
  <w:style w:type="paragraph" w:customStyle="1" w:styleId="CEFCEmphasis">
    <w:name w:val="CEFC Emphasis"/>
    <w:basedOn w:val="BodyText"/>
    <w:qFormat/>
    <w:rsid w:val="002C0AAA"/>
    <w:pPr>
      <w:tabs>
        <w:tab w:val="left" w:pos="244"/>
      </w:tabs>
      <w:spacing w:before="180" w:after="60"/>
    </w:pPr>
    <w:rPr>
      <w:b/>
      <w:color w:val="auto"/>
    </w:rPr>
  </w:style>
  <w:style w:type="paragraph" w:styleId="Closing">
    <w:name w:val="Closing"/>
    <w:basedOn w:val="BodyText"/>
    <w:link w:val="ClosingChar"/>
    <w:uiPriority w:val="2"/>
    <w:qFormat/>
    <w:rsid w:val="002C0AAA"/>
    <w:pPr>
      <w:spacing w:before="720" w:after="720"/>
    </w:pPr>
  </w:style>
  <w:style w:type="character" w:customStyle="1" w:styleId="ClosingChar">
    <w:name w:val="Closing Char"/>
    <w:basedOn w:val="DefaultParagraphFont"/>
    <w:link w:val="Closing"/>
    <w:uiPriority w:val="2"/>
    <w:rsid w:val="002C0AAA"/>
    <w:rPr>
      <w:rFonts w:ascii="Arial" w:hAnsi="Arial"/>
      <w:color w:val="000000" w:themeColor="text1"/>
      <w:sz w:val="20"/>
    </w:rPr>
  </w:style>
  <w:style w:type="paragraph" w:styleId="Date">
    <w:name w:val="Date"/>
    <w:basedOn w:val="Normal"/>
    <w:next w:val="Normal"/>
    <w:link w:val="DateChar"/>
    <w:qFormat/>
    <w:rsid w:val="002C0AAA"/>
    <w:pPr>
      <w:spacing w:before="600" w:after="600"/>
    </w:pPr>
  </w:style>
  <w:style w:type="character" w:customStyle="1" w:styleId="DateChar">
    <w:name w:val="Date Char"/>
    <w:basedOn w:val="DefaultParagraphFont"/>
    <w:link w:val="Date"/>
    <w:rsid w:val="002C0AAA"/>
    <w:rPr>
      <w:rFonts w:ascii="Arial" w:hAnsi="Arial"/>
      <w:color w:val="000000" w:themeColor="text1"/>
      <w:sz w:val="20"/>
    </w:rPr>
  </w:style>
  <w:style w:type="paragraph" w:styleId="Footer">
    <w:name w:val="footer"/>
    <w:aliases w:val="Footer small"/>
    <w:basedOn w:val="Normal"/>
    <w:link w:val="FooterChar"/>
    <w:uiPriority w:val="99"/>
    <w:rsid w:val="002C0AAA"/>
    <w:pPr>
      <w:tabs>
        <w:tab w:val="right" w:pos="8505"/>
      </w:tabs>
    </w:pPr>
    <w:rPr>
      <w:sz w:val="17"/>
    </w:rPr>
  </w:style>
  <w:style w:type="character" w:customStyle="1" w:styleId="FooterChar">
    <w:name w:val="Footer Char"/>
    <w:aliases w:val="Footer small Char"/>
    <w:basedOn w:val="DefaultParagraphFont"/>
    <w:link w:val="Footer"/>
    <w:uiPriority w:val="99"/>
    <w:rsid w:val="002C0AAA"/>
    <w:rPr>
      <w:rFonts w:ascii="Arial" w:hAnsi="Arial"/>
      <w:color w:val="000000" w:themeColor="text1"/>
      <w:sz w:val="17"/>
    </w:rPr>
  </w:style>
  <w:style w:type="paragraph" w:styleId="Header">
    <w:name w:val="header"/>
    <w:basedOn w:val="Normal"/>
    <w:link w:val="HeaderChar"/>
    <w:uiPriority w:val="99"/>
    <w:unhideWhenUsed/>
    <w:rsid w:val="002C0AAA"/>
    <w:pPr>
      <w:tabs>
        <w:tab w:val="center" w:pos="4513"/>
        <w:tab w:val="right" w:pos="9026"/>
      </w:tabs>
    </w:pPr>
  </w:style>
  <w:style w:type="character" w:customStyle="1" w:styleId="HeaderChar">
    <w:name w:val="Header Char"/>
    <w:basedOn w:val="DefaultParagraphFont"/>
    <w:link w:val="Header"/>
    <w:uiPriority w:val="99"/>
    <w:rsid w:val="002C0AAA"/>
    <w:rPr>
      <w:rFonts w:ascii="Arial" w:hAnsi="Arial"/>
      <w:color w:val="000000" w:themeColor="text1"/>
      <w:sz w:val="20"/>
    </w:rPr>
  </w:style>
  <w:style w:type="character" w:styleId="Hyperlink">
    <w:name w:val="Hyperlink"/>
    <w:basedOn w:val="DefaultParagraphFont"/>
    <w:uiPriority w:val="99"/>
    <w:unhideWhenUsed/>
    <w:rsid w:val="002C0AAA"/>
    <w:rPr>
      <w:color w:val="157BC2" w:themeColor="hyperlink"/>
      <w:u w:val="single"/>
    </w:rPr>
  </w:style>
  <w:style w:type="paragraph" w:styleId="IntenseQuote">
    <w:name w:val="Intense Quote"/>
    <w:aliases w:val="Numbered List"/>
    <w:basedOn w:val="BodyNumbering1"/>
    <w:next w:val="Normal"/>
    <w:link w:val="IntenseQuoteChar"/>
    <w:uiPriority w:val="30"/>
    <w:qFormat/>
    <w:rsid w:val="002C0AAA"/>
    <w:rPr>
      <w:iCs/>
      <w:color w:val="auto"/>
    </w:rPr>
  </w:style>
  <w:style w:type="character" w:customStyle="1" w:styleId="IntenseQuoteChar">
    <w:name w:val="Intense Quote Char"/>
    <w:aliases w:val="Numbered List Char"/>
    <w:basedOn w:val="DefaultParagraphFont"/>
    <w:link w:val="IntenseQuote"/>
    <w:uiPriority w:val="30"/>
    <w:rsid w:val="002C0AAA"/>
    <w:rPr>
      <w:rFonts w:ascii="Arial" w:hAnsi="Arial"/>
      <w:iCs/>
      <w:sz w:val="20"/>
    </w:rPr>
  </w:style>
  <w:style w:type="character" w:styleId="IntenseReference">
    <w:name w:val="Intense Reference"/>
    <w:basedOn w:val="DefaultParagraphFont"/>
    <w:uiPriority w:val="32"/>
    <w:qFormat/>
    <w:rsid w:val="002C0AAA"/>
    <w:rPr>
      <w:b/>
      <w:bCs/>
      <w:caps w:val="0"/>
      <w:smallCaps w:val="0"/>
      <w:color w:val="auto"/>
      <w:spacing w:val="5"/>
      <w:u w:val="none"/>
    </w:rPr>
  </w:style>
  <w:style w:type="paragraph" w:styleId="ListParagraph">
    <w:name w:val="List Paragraph"/>
    <w:basedOn w:val="Normal"/>
    <w:uiPriority w:val="34"/>
    <w:qFormat/>
    <w:rsid w:val="002C0AAA"/>
    <w:pPr>
      <w:ind w:left="720"/>
    </w:pPr>
  </w:style>
  <w:style w:type="paragraph" w:styleId="NoSpacing">
    <w:name w:val="No Spacing"/>
    <w:uiPriority w:val="3"/>
    <w:qFormat/>
    <w:rsid w:val="002C0AAA"/>
    <w:pPr>
      <w:spacing w:after="0" w:line="280" w:lineRule="atLeast"/>
    </w:pPr>
    <w:rPr>
      <w:color w:val="000000" w:themeColor="text1"/>
      <w:sz w:val="20"/>
    </w:rPr>
  </w:style>
  <w:style w:type="character" w:styleId="PlaceholderText">
    <w:name w:val="Placeholder Text"/>
    <w:basedOn w:val="DefaultParagraphFont"/>
    <w:uiPriority w:val="99"/>
    <w:semiHidden/>
    <w:rsid w:val="002C0AAA"/>
    <w:rPr>
      <w:color w:val="808080"/>
    </w:rPr>
  </w:style>
  <w:style w:type="paragraph" w:customStyle="1" w:styleId="Subject">
    <w:name w:val="Subject"/>
    <w:basedOn w:val="BodyText"/>
    <w:qFormat/>
    <w:rsid w:val="002C0AAA"/>
    <w:pPr>
      <w:spacing w:before="180" w:after="60"/>
    </w:pPr>
    <w:rPr>
      <w:b/>
    </w:rPr>
  </w:style>
  <w:style w:type="paragraph" w:styleId="Subtitle">
    <w:name w:val="Subtitle"/>
    <w:basedOn w:val="Heading2"/>
    <w:next w:val="Normal"/>
    <w:link w:val="SubtitleChar"/>
    <w:uiPriority w:val="11"/>
    <w:qFormat/>
    <w:rsid w:val="002C0AAA"/>
    <w:pPr>
      <w:numPr>
        <w:ilvl w:val="1"/>
      </w:numPr>
    </w:pPr>
    <w:rPr>
      <w:rFonts w:eastAsiaTheme="minorEastAsia"/>
      <w:color w:val="auto"/>
      <w:spacing w:val="15"/>
    </w:rPr>
  </w:style>
  <w:style w:type="character" w:customStyle="1" w:styleId="SubtitleChar">
    <w:name w:val="Subtitle Char"/>
    <w:basedOn w:val="DefaultParagraphFont"/>
    <w:link w:val="Subtitle"/>
    <w:uiPriority w:val="11"/>
    <w:rsid w:val="002C0AAA"/>
    <w:rPr>
      <w:rFonts w:ascii="Arial" w:eastAsiaTheme="minorEastAsia" w:hAnsi="Arial" w:cstheme="majorBidi"/>
      <w:caps/>
      <w:spacing w:val="15"/>
      <w:sz w:val="28"/>
      <w:szCs w:val="26"/>
    </w:rPr>
  </w:style>
  <w:style w:type="character" w:styleId="SubtleEmphasis">
    <w:name w:val="Subtle Emphasis"/>
    <w:aliases w:val="CEFC Emphasis 2"/>
    <w:basedOn w:val="BodyTextChar"/>
    <w:uiPriority w:val="19"/>
    <w:qFormat/>
    <w:rsid w:val="002C0AAA"/>
    <w:rPr>
      <w:rFonts w:ascii="Arial" w:hAnsi="Arial"/>
      <w:i w:val="0"/>
      <w:iCs/>
      <w:color w:val="404040" w:themeColor="text1" w:themeTint="BF"/>
      <w:sz w:val="20"/>
      <w:u w:val="single"/>
    </w:rPr>
  </w:style>
  <w:style w:type="character" w:styleId="SubtleReference">
    <w:name w:val="Subtle Reference"/>
    <w:basedOn w:val="DefaultParagraphFont"/>
    <w:uiPriority w:val="31"/>
    <w:qFormat/>
    <w:rsid w:val="002C0AAA"/>
    <w:rPr>
      <w:caps w:val="0"/>
      <w:smallCaps w:val="0"/>
      <w:color w:val="0078D7"/>
      <w:u w:val="none"/>
    </w:rPr>
  </w:style>
  <w:style w:type="table" w:styleId="TableGrid">
    <w:name w:val="Table Grid"/>
    <w:basedOn w:val="TableNormal"/>
    <w:uiPriority w:val="59"/>
    <w:rsid w:val="002C0AA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
    <w:qFormat/>
    <w:rsid w:val="002C0AAA"/>
    <w:pPr>
      <w:spacing w:before="180" w:after="60"/>
    </w:pPr>
  </w:style>
  <w:style w:type="paragraph" w:styleId="Title">
    <w:name w:val="Title"/>
    <w:basedOn w:val="Heading1"/>
    <w:next w:val="Normal"/>
    <w:link w:val="TitleChar"/>
    <w:uiPriority w:val="10"/>
    <w:qFormat/>
    <w:rsid w:val="002C0AAA"/>
    <w:rPr>
      <w:spacing w:val="-10"/>
      <w:kern w:val="28"/>
      <w:szCs w:val="56"/>
    </w:rPr>
  </w:style>
  <w:style w:type="character" w:customStyle="1" w:styleId="TitleChar">
    <w:name w:val="Title Char"/>
    <w:basedOn w:val="DefaultParagraphFont"/>
    <w:link w:val="Title"/>
    <w:uiPriority w:val="10"/>
    <w:rsid w:val="002C0AAA"/>
    <w:rPr>
      <w:rFonts w:ascii="Arial" w:eastAsiaTheme="majorEastAsia" w:hAnsi="Arial" w:cstheme="majorBidi"/>
      <w:bCs/>
      <w:caps/>
      <w:color w:val="0078D7"/>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cleanenergyfinancecorp.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CEFC%20Templates\CEFC%20General\CEFC%20Letterhead%202016.dotx" TargetMode="External"/></Relationships>
</file>

<file path=word/theme/theme1.xml><?xml version="1.0" encoding="utf-8"?>
<a:theme xmlns:a="http://schemas.openxmlformats.org/drawingml/2006/main" name="CEFC">
  <a:themeElements>
    <a:clrScheme name="CEFC">
      <a:dk1>
        <a:sysClr val="windowText" lastClr="000000"/>
      </a:dk1>
      <a:lt1>
        <a:sysClr val="window" lastClr="FFFFFF"/>
      </a:lt1>
      <a:dk2>
        <a:srgbClr val="157BC2"/>
      </a:dk2>
      <a:lt2>
        <a:srgbClr val="DBEFFC"/>
      </a:lt2>
      <a:accent1>
        <a:srgbClr val="157BC2"/>
      </a:accent1>
      <a:accent2>
        <a:srgbClr val="4091CA"/>
      </a:accent2>
      <a:accent3>
        <a:srgbClr val="56A8E1"/>
      </a:accent3>
      <a:accent4>
        <a:srgbClr val="72BDF1"/>
      </a:accent4>
      <a:accent5>
        <a:srgbClr val="DBEFFC"/>
      </a:accent5>
      <a:accent6>
        <a:srgbClr val="57585B"/>
      </a:accent6>
      <a:hlink>
        <a:srgbClr val="157BC2"/>
      </a:hlink>
      <a:folHlink>
        <a:srgbClr val="4091CA"/>
      </a:folHlink>
    </a:clrScheme>
    <a:fontScheme name="CEFC">
      <a:majorFont>
        <a:latin typeface="Verdana"/>
        <a:ea typeface=""/>
        <a:cs typeface=""/>
      </a:majorFont>
      <a:minorFont>
        <a:latin typeface="Verdana"/>
        <a:ea typeface=""/>
        <a:cs typeface=""/>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8A4C-3272-467B-8C67-2B986BF2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3DC0F-FAF2-4DE9-8826-9830ACC030CB}">
  <ds:schemaRefs>
    <ds:schemaRef ds:uri="http://schemas.microsoft.com/sharepoint/v3/contenttype/forms"/>
  </ds:schemaRefs>
</ds:datastoreItem>
</file>

<file path=customXml/itemProps3.xml><?xml version="1.0" encoding="utf-8"?>
<ds:datastoreItem xmlns:ds="http://schemas.openxmlformats.org/officeDocument/2006/customXml" ds:itemID="{01E17108-A7D8-4CB1-B193-51288A2F181B}">
  <ds:schemaRefs>
    <ds:schemaRef ds:uri="http://schemas.microsoft.com/office/2006/metadata/properties"/>
    <ds:schemaRef ds:uri="http://schemas.microsoft.com/office/2006/documentManagement/types"/>
    <ds:schemaRef ds:uri="http://schemas.microsoft.com/sharepoint/v4"/>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7d1753f3-b6db-484b-93d6-b74f5ca30d2d"/>
    <ds:schemaRef ds:uri="http://purl.org/dc/elements/1.1/"/>
  </ds:schemaRefs>
</ds:datastoreItem>
</file>

<file path=customXml/itemProps4.xml><?xml version="1.0" encoding="utf-8"?>
<ds:datastoreItem xmlns:ds="http://schemas.openxmlformats.org/officeDocument/2006/customXml" ds:itemID="{C408E4AE-DEC4-4F7D-9F51-3AA4DFF73B65}">
  <ds:schemaRefs>
    <ds:schemaRef ds:uri="http://schemas.microsoft.com/office/2006/metadata/customXsn"/>
  </ds:schemaRefs>
</ds:datastoreItem>
</file>

<file path=customXml/itemProps5.xml><?xml version="1.0" encoding="utf-8"?>
<ds:datastoreItem xmlns:ds="http://schemas.openxmlformats.org/officeDocument/2006/customXml" ds:itemID="{D3914F97-8435-48C2-B436-BDF70D40EBE7}">
  <ds:schemaRefs>
    <ds:schemaRef ds:uri="http://schemas.microsoft.com/sharepoint/events"/>
  </ds:schemaRefs>
</ds:datastoreItem>
</file>

<file path=customXml/itemProps6.xml><?xml version="1.0" encoding="utf-8"?>
<ds:datastoreItem xmlns:ds="http://schemas.openxmlformats.org/officeDocument/2006/customXml" ds:itemID="{8F8BCF2B-E684-4BD2-A692-8725B3D9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CEFC Letterhead 2016.dotx</Template>
  <TotalTime>7</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CEFC</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9.01.17 - CEFC Board Response - Investment mandate direction 2016 (no. 2)</dc:title>
  <dc:creator>CEFC</dc:creator>
  <cp:lastModifiedBy>Pearson, Kelly</cp:lastModifiedBy>
  <cp:revision>3</cp:revision>
  <dcterms:created xsi:type="dcterms:W3CDTF">2017-01-08T22:45:00Z</dcterms:created>
  <dcterms:modified xsi:type="dcterms:W3CDTF">2017-01-08T23:48:00Z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{8603bb64-ffce-48ca-be1c-084f01c244e0}</vt:lpwstr>
  </property>
  <property fmtid="{D5CDD505-2E9C-101B-9397-08002B2CF9AE}" pid="6" name="RecordPoint_ActiveItemUniqueId">
    <vt:lpwstr>{82d5a870-9456-4c01-9f44-c8ea79ab477f}</vt:lpwstr>
  </property>
  <property fmtid="{D5CDD505-2E9C-101B-9397-08002B2CF9AE}" pid="7" name="RecordPoint_ActiveItemWebId">
    <vt:lpwstr>{7d1753f3-b6db-484b-93d6-b74f5ca30d2d}</vt:lpwstr>
  </property>
</Properties>
</file>