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F29" w:rsidRPr="006E1F29" w:rsidRDefault="006E1F29" w:rsidP="006E1F29">
      <w:pPr>
        <w:spacing w:line="260" w:lineRule="atLeast"/>
        <w:rPr>
          <w:rFonts w:eastAsia="Calibri"/>
          <w:sz w:val="28"/>
          <w:szCs w:val="20"/>
          <w:lang w:eastAsia="en-US"/>
        </w:rPr>
      </w:pPr>
    </w:p>
    <w:p w:rsidR="006E1F29" w:rsidRPr="006E1F29" w:rsidRDefault="006E1F29" w:rsidP="006E1F29">
      <w:pPr>
        <w:keepNext/>
        <w:keepLines/>
        <w:spacing w:before="480" w:line="276" w:lineRule="auto"/>
        <w:outlineLvl w:val="0"/>
        <w:rPr>
          <w:rFonts w:ascii="Arial" w:hAnsi="Arial"/>
          <w:b/>
          <w:bCs/>
          <w:sz w:val="28"/>
          <w:szCs w:val="28"/>
        </w:rPr>
      </w:pPr>
      <w:bookmarkStart w:id="0" w:name="ConfidenceBlock"/>
      <w:bookmarkStart w:id="1" w:name="_GoBack"/>
      <w:bookmarkEnd w:id="0"/>
      <w:bookmarkEnd w:id="1"/>
      <w:r w:rsidRPr="006E1F29">
        <w:rPr>
          <w:rFonts w:ascii="Arial" w:hAnsi="Arial"/>
          <w:b/>
          <w:bCs/>
          <w:sz w:val="28"/>
          <w:szCs w:val="28"/>
        </w:rPr>
        <w:t>Explanatory Statement</w:t>
      </w:r>
    </w:p>
    <w:p w:rsidR="006E1F29" w:rsidRPr="006E1F29" w:rsidRDefault="006E1F29" w:rsidP="006E1F29">
      <w:pPr>
        <w:keepNext/>
        <w:keepLines/>
        <w:spacing w:before="480" w:line="276" w:lineRule="auto"/>
        <w:outlineLvl w:val="0"/>
        <w:rPr>
          <w:rFonts w:ascii="Arial" w:hAnsi="Arial"/>
          <w:b/>
          <w:bCs/>
          <w:sz w:val="28"/>
          <w:szCs w:val="28"/>
        </w:rPr>
      </w:pPr>
      <w:r w:rsidRPr="006E1F29">
        <w:rPr>
          <w:rFonts w:ascii="Arial" w:hAnsi="Arial"/>
          <w:b/>
          <w:bCs/>
          <w:i/>
          <w:sz w:val="28"/>
          <w:szCs w:val="28"/>
        </w:rPr>
        <w:t>Australian Education (Financial Assistance for Non-participating States and Territories) Determination 2016</w:t>
      </w:r>
    </w:p>
    <w:p w:rsidR="006E1F29" w:rsidRPr="006E1F29" w:rsidRDefault="006E1F29" w:rsidP="006E1F29">
      <w:pPr>
        <w:keepNext/>
        <w:keepLines/>
        <w:spacing w:before="200" w:line="276" w:lineRule="auto"/>
        <w:outlineLvl w:val="1"/>
        <w:rPr>
          <w:rFonts w:ascii="Arial" w:hAnsi="Arial"/>
          <w:b/>
          <w:bCs/>
          <w:sz w:val="26"/>
          <w:szCs w:val="26"/>
        </w:rPr>
      </w:pPr>
      <w:r w:rsidRPr="006E1F29">
        <w:rPr>
          <w:rFonts w:ascii="Arial" w:hAnsi="Arial"/>
          <w:b/>
          <w:bCs/>
          <w:sz w:val="26"/>
          <w:szCs w:val="26"/>
        </w:rPr>
        <w:t>Summary</w:t>
      </w:r>
    </w:p>
    <w:p w:rsidR="006E1F29" w:rsidRPr="006E1F29" w:rsidRDefault="006E1F29" w:rsidP="006E1F29">
      <w:pPr>
        <w:spacing w:after="200" w:line="276" w:lineRule="auto"/>
        <w:rPr>
          <w:rFonts w:eastAsia="Calibri"/>
          <w:szCs w:val="22"/>
        </w:rPr>
      </w:pPr>
      <w:r w:rsidRPr="006E1F29">
        <w:rPr>
          <w:rFonts w:eastAsia="Calibri"/>
          <w:szCs w:val="22"/>
        </w:rPr>
        <w:t xml:space="preserve">The </w:t>
      </w:r>
      <w:r w:rsidRPr="006E1F29">
        <w:rPr>
          <w:rFonts w:eastAsia="Calibri"/>
          <w:i/>
          <w:szCs w:val="22"/>
        </w:rPr>
        <w:t>Australian Education (Financial Assistance for Non-participating States and Territories) Determination 2016</w:t>
      </w:r>
      <w:r w:rsidRPr="006E1F29">
        <w:rPr>
          <w:rFonts w:eastAsia="Calibri"/>
          <w:szCs w:val="22"/>
        </w:rPr>
        <w:t xml:space="preserve"> (Determination) is made by the Minister for Education and Training under subsections 65(3) and (7) of the </w:t>
      </w:r>
      <w:r w:rsidRPr="006E1F29">
        <w:rPr>
          <w:rFonts w:eastAsia="Calibri"/>
          <w:i/>
          <w:szCs w:val="22"/>
        </w:rPr>
        <w:t>Australian Education Act 2013</w:t>
      </w:r>
      <w:r w:rsidRPr="006E1F29">
        <w:rPr>
          <w:rFonts w:eastAsia="Calibri"/>
          <w:szCs w:val="22"/>
        </w:rPr>
        <w:t xml:space="preserve"> (Act).</w:t>
      </w:r>
    </w:p>
    <w:p w:rsidR="006E1F29" w:rsidRPr="006E1F29" w:rsidRDefault="006E1F29" w:rsidP="006E1F29">
      <w:pPr>
        <w:spacing w:after="200" w:line="276" w:lineRule="auto"/>
        <w:rPr>
          <w:rFonts w:eastAsia="Calibri"/>
          <w:szCs w:val="22"/>
        </w:rPr>
      </w:pPr>
      <w:r w:rsidRPr="006E1F29">
        <w:rPr>
          <w:rFonts w:eastAsia="Calibri"/>
          <w:szCs w:val="22"/>
        </w:rPr>
        <w:t xml:space="preserve">The purpose of the Determination is to define the total amount of 2015 recurrent school funding entitlement for non-participating schools for the purposes of the Act, and to define the split of that amount between the non-participating States and Territories. </w:t>
      </w:r>
    </w:p>
    <w:p w:rsidR="006E1F29" w:rsidRPr="006E1F29" w:rsidRDefault="006E1F29" w:rsidP="006E1F29">
      <w:pPr>
        <w:keepNext/>
        <w:keepLines/>
        <w:spacing w:before="200" w:line="276" w:lineRule="auto"/>
        <w:outlineLvl w:val="1"/>
        <w:rPr>
          <w:rFonts w:ascii="Arial" w:hAnsi="Arial"/>
          <w:b/>
          <w:bCs/>
          <w:sz w:val="26"/>
          <w:szCs w:val="26"/>
        </w:rPr>
      </w:pPr>
      <w:r w:rsidRPr="006E1F29">
        <w:rPr>
          <w:rFonts w:ascii="Arial" w:hAnsi="Arial"/>
          <w:b/>
          <w:bCs/>
          <w:sz w:val="26"/>
          <w:szCs w:val="26"/>
        </w:rPr>
        <w:t>Background</w:t>
      </w:r>
    </w:p>
    <w:p w:rsidR="006E1F29" w:rsidRPr="006E1F29" w:rsidRDefault="006E1F29" w:rsidP="006E1F29">
      <w:pPr>
        <w:tabs>
          <w:tab w:val="num" w:pos="426"/>
        </w:tabs>
        <w:rPr>
          <w:rFonts w:eastAsia="Calibri"/>
          <w:szCs w:val="22"/>
        </w:rPr>
      </w:pPr>
      <w:r w:rsidRPr="006E1F29">
        <w:rPr>
          <w:rFonts w:eastAsia="Calibri"/>
          <w:szCs w:val="22"/>
        </w:rPr>
        <w:t>The Act provides for (amongst other things) Commonwealth recurrent funding for “participating schools” and “non-participating schools”. Participating schools are all non-government schools, and government schools of “participating States and Territories”; non-participating schools are government schools of States and Territories that are not participating States and Territories.</w:t>
      </w:r>
    </w:p>
    <w:p w:rsidR="006E1F29" w:rsidRPr="006E1F29" w:rsidRDefault="006E1F29" w:rsidP="006E1F29">
      <w:pPr>
        <w:tabs>
          <w:tab w:val="num" w:pos="426"/>
        </w:tabs>
        <w:rPr>
          <w:rFonts w:eastAsia="Calibri"/>
          <w:szCs w:val="22"/>
        </w:rPr>
      </w:pPr>
    </w:p>
    <w:p w:rsidR="006E1F29" w:rsidRPr="006E1F29" w:rsidRDefault="006E1F29" w:rsidP="006E1F29">
      <w:pPr>
        <w:tabs>
          <w:tab w:val="num" w:pos="426"/>
        </w:tabs>
        <w:rPr>
          <w:rFonts w:eastAsia="Calibri"/>
          <w:szCs w:val="22"/>
        </w:rPr>
      </w:pPr>
      <w:r w:rsidRPr="006E1F29">
        <w:rPr>
          <w:rFonts w:eastAsia="Calibri"/>
          <w:szCs w:val="22"/>
        </w:rPr>
        <w:t xml:space="preserve">The </w:t>
      </w:r>
      <w:r w:rsidRPr="006E1F29">
        <w:rPr>
          <w:rFonts w:eastAsia="Calibri"/>
          <w:i/>
          <w:szCs w:val="22"/>
        </w:rPr>
        <w:t>Australian Education (Participating States and Territories) Determination 2014</w:t>
      </w:r>
      <w:r w:rsidRPr="006E1F29">
        <w:rPr>
          <w:rFonts w:eastAsia="Calibri"/>
          <w:szCs w:val="22"/>
        </w:rPr>
        <w:t>, made under subsection 14(2) of the Act, determined the participating States and Territories as New South Wales, South Australia and the Australian Capital Territory.  All other States and Territories are therefore non-participating States and Territories.</w:t>
      </w:r>
    </w:p>
    <w:p w:rsidR="006E1F29" w:rsidRPr="006E1F29" w:rsidRDefault="006E1F29" w:rsidP="006E1F29">
      <w:pPr>
        <w:tabs>
          <w:tab w:val="num" w:pos="426"/>
        </w:tabs>
        <w:rPr>
          <w:rFonts w:eastAsia="Calibri"/>
          <w:szCs w:val="22"/>
        </w:rPr>
      </w:pPr>
    </w:p>
    <w:p w:rsidR="006E1F29" w:rsidRPr="006E1F29" w:rsidRDefault="006E1F29" w:rsidP="006E1F29">
      <w:pPr>
        <w:tabs>
          <w:tab w:val="num" w:pos="426"/>
        </w:tabs>
        <w:rPr>
          <w:rFonts w:eastAsia="Calibri"/>
          <w:szCs w:val="22"/>
        </w:rPr>
      </w:pPr>
      <w:r w:rsidRPr="006E1F29">
        <w:rPr>
          <w:rFonts w:eastAsia="Calibri"/>
          <w:szCs w:val="22"/>
        </w:rPr>
        <w:t>Recurrent funding for participating schools is calculated as set out in Part 3 of the Act, which provides for needs based funding (consisting of a base amount per student for a school plus loadings for educational disadvantage) and associated transitional arrangements.</w:t>
      </w:r>
    </w:p>
    <w:p w:rsidR="006E1F29" w:rsidRPr="006E1F29" w:rsidRDefault="006E1F29" w:rsidP="006E1F29">
      <w:pPr>
        <w:tabs>
          <w:tab w:val="num" w:pos="426"/>
        </w:tabs>
        <w:rPr>
          <w:rFonts w:eastAsia="Calibri"/>
          <w:szCs w:val="22"/>
        </w:rPr>
      </w:pPr>
    </w:p>
    <w:p w:rsidR="006E1F29" w:rsidRPr="006E1F29" w:rsidRDefault="006E1F29" w:rsidP="006E1F29">
      <w:pPr>
        <w:tabs>
          <w:tab w:val="num" w:pos="426"/>
        </w:tabs>
        <w:rPr>
          <w:rFonts w:eastAsia="Calibri"/>
          <w:szCs w:val="22"/>
        </w:rPr>
      </w:pPr>
      <w:r w:rsidRPr="006E1F29">
        <w:rPr>
          <w:rFonts w:eastAsia="Calibri"/>
          <w:szCs w:val="22"/>
        </w:rPr>
        <w:t xml:space="preserve">Recurrent funding amounts for non-participating schools are set out in Part 4 of the Act.  Essentially, Part 4 provides for the calculation of a total amount payable for all non-participating schools by multiplying the amount payable for non-participating schools in the previous year by an indexation factor determined by the Minister. These funding arrangements are consistent with the previous arrangements for government schools under the </w:t>
      </w:r>
      <w:r w:rsidRPr="006E1F29">
        <w:rPr>
          <w:rFonts w:eastAsia="Calibri"/>
          <w:i/>
          <w:szCs w:val="22"/>
        </w:rPr>
        <w:t>Federal Financial Relations Act 2009</w:t>
      </w:r>
      <w:r w:rsidRPr="006E1F29">
        <w:rPr>
          <w:rFonts w:eastAsia="Calibri"/>
          <w:szCs w:val="22"/>
        </w:rPr>
        <w:t>.</w:t>
      </w:r>
    </w:p>
    <w:p w:rsidR="006E1F29" w:rsidRPr="006E1F29" w:rsidRDefault="006E1F29" w:rsidP="006E1F29">
      <w:pPr>
        <w:tabs>
          <w:tab w:val="num" w:pos="426"/>
        </w:tabs>
        <w:rPr>
          <w:rFonts w:eastAsia="Calibri"/>
          <w:szCs w:val="22"/>
        </w:rPr>
      </w:pPr>
    </w:p>
    <w:p w:rsidR="006E1F29" w:rsidRPr="006E1F29" w:rsidRDefault="006E1F29" w:rsidP="006E1F29">
      <w:pPr>
        <w:tabs>
          <w:tab w:val="num" w:pos="426"/>
        </w:tabs>
        <w:rPr>
          <w:rFonts w:eastAsia="Calibri"/>
          <w:szCs w:val="22"/>
        </w:rPr>
      </w:pPr>
      <w:r w:rsidRPr="006E1F29">
        <w:rPr>
          <w:rFonts w:eastAsia="Calibri"/>
          <w:szCs w:val="22"/>
        </w:rPr>
        <w:t>Paragraph 65(2</w:t>
      </w:r>
      <w:proofErr w:type="gramStart"/>
      <w:r w:rsidRPr="006E1F29">
        <w:rPr>
          <w:rFonts w:eastAsia="Calibri"/>
          <w:szCs w:val="22"/>
        </w:rPr>
        <w:t>)(</w:t>
      </w:r>
      <w:proofErr w:type="gramEnd"/>
      <w:r w:rsidRPr="006E1F29">
        <w:rPr>
          <w:rFonts w:eastAsia="Calibri"/>
          <w:szCs w:val="22"/>
        </w:rPr>
        <w:t>b) of the Act provides that, for any year other than 2014, the total amount of recurrent funding payable to non-participating States and Territories for non-participating schools located in those States or Territories, is the total amount payable for the previous year for those States and Territories, indexed in the manner determined by the Minister by legislative instrument made under subsection 65(3). The determination under subsection 65(3) must include a statement of the total amount for 2015.</w:t>
      </w:r>
    </w:p>
    <w:p w:rsidR="006E1F29" w:rsidRPr="006E1F29" w:rsidRDefault="006E1F29" w:rsidP="006E1F29">
      <w:pPr>
        <w:tabs>
          <w:tab w:val="num" w:pos="426"/>
        </w:tabs>
        <w:rPr>
          <w:rFonts w:eastAsia="Calibri"/>
          <w:szCs w:val="22"/>
        </w:rPr>
      </w:pPr>
    </w:p>
    <w:p w:rsidR="006E1F29" w:rsidRPr="006E1F29" w:rsidRDefault="006E1F29" w:rsidP="006E1F29">
      <w:pPr>
        <w:tabs>
          <w:tab w:val="num" w:pos="426"/>
        </w:tabs>
        <w:rPr>
          <w:rFonts w:eastAsia="Calibri"/>
          <w:szCs w:val="22"/>
        </w:rPr>
      </w:pPr>
      <w:r w:rsidRPr="006E1F29">
        <w:rPr>
          <w:rFonts w:eastAsia="Calibri"/>
          <w:szCs w:val="22"/>
        </w:rPr>
        <w:t>Subsection 65(7) of the Act then empowers the Minister to determine, by legislative instrument, the manner in which the amount under subsection 65(2) is to be split between the non-participating States and Territories.</w:t>
      </w:r>
    </w:p>
    <w:p w:rsidR="006E1F29" w:rsidRPr="006E1F29" w:rsidRDefault="006E1F29" w:rsidP="006E1F29">
      <w:pPr>
        <w:rPr>
          <w:rFonts w:ascii="Arial" w:hAnsi="Arial"/>
          <w:b/>
          <w:bCs/>
          <w:sz w:val="26"/>
          <w:szCs w:val="26"/>
        </w:rPr>
      </w:pPr>
      <w:r w:rsidRPr="006E1F29">
        <w:rPr>
          <w:rFonts w:ascii="Arial" w:hAnsi="Arial"/>
          <w:b/>
          <w:bCs/>
          <w:sz w:val="26"/>
          <w:szCs w:val="26"/>
        </w:rPr>
        <w:br w:type="page"/>
      </w:r>
    </w:p>
    <w:p w:rsidR="006E1F29" w:rsidRPr="006E1F29" w:rsidRDefault="006E1F29" w:rsidP="006E1F29">
      <w:pPr>
        <w:keepNext/>
        <w:keepLines/>
        <w:spacing w:before="200" w:line="276" w:lineRule="auto"/>
        <w:outlineLvl w:val="1"/>
        <w:rPr>
          <w:rFonts w:ascii="Arial" w:hAnsi="Arial"/>
          <w:b/>
          <w:bCs/>
          <w:sz w:val="26"/>
          <w:szCs w:val="26"/>
        </w:rPr>
      </w:pPr>
      <w:r w:rsidRPr="006E1F29">
        <w:rPr>
          <w:rFonts w:ascii="Arial" w:hAnsi="Arial"/>
          <w:b/>
          <w:bCs/>
          <w:sz w:val="26"/>
          <w:szCs w:val="26"/>
        </w:rPr>
        <w:lastRenderedPageBreak/>
        <w:t>Operation of determination</w:t>
      </w:r>
    </w:p>
    <w:p w:rsidR="006E1F29" w:rsidRPr="006E1F29" w:rsidRDefault="006E1F29" w:rsidP="006E1F29">
      <w:pPr>
        <w:spacing w:after="200" w:line="276" w:lineRule="auto"/>
        <w:rPr>
          <w:rFonts w:eastAsia="Calibri"/>
          <w:szCs w:val="22"/>
        </w:rPr>
      </w:pPr>
      <w:r w:rsidRPr="006E1F29">
        <w:rPr>
          <w:rFonts w:eastAsia="Calibri"/>
          <w:szCs w:val="22"/>
        </w:rPr>
        <w:t>The Determination:</w:t>
      </w:r>
    </w:p>
    <w:p w:rsidR="006E1F29" w:rsidRPr="006E1F29" w:rsidRDefault="006E1F29" w:rsidP="006E1F29">
      <w:pPr>
        <w:numPr>
          <w:ilvl w:val="0"/>
          <w:numId w:val="1"/>
        </w:numPr>
        <w:spacing w:after="200" w:line="276" w:lineRule="auto"/>
        <w:contextualSpacing/>
        <w:rPr>
          <w:rFonts w:eastAsia="Calibri"/>
          <w:szCs w:val="22"/>
        </w:rPr>
      </w:pPr>
      <w:r w:rsidRPr="006E1F29">
        <w:rPr>
          <w:rFonts w:eastAsia="Calibri"/>
          <w:szCs w:val="22"/>
        </w:rPr>
        <w:t>sets out the manner in which the total amount payable for 2014 for non-participating States and Territories under Part 4 of the Act is indexed to produce the total amount payable to non-participating States and Territories for non-participating schools for 2015 (section 4);</w:t>
      </w:r>
    </w:p>
    <w:p w:rsidR="006E1F29" w:rsidRPr="006E1F29" w:rsidRDefault="006E1F29" w:rsidP="006E1F29">
      <w:pPr>
        <w:numPr>
          <w:ilvl w:val="0"/>
          <w:numId w:val="1"/>
        </w:numPr>
        <w:spacing w:after="200" w:line="276" w:lineRule="auto"/>
        <w:contextualSpacing/>
        <w:rPr>
          <w:rFonts w:eastAsia="Calibri"/>
          <w:szCs w:val="22"/>
        </w:rPr>
      </w:pPr>
      <w:r w:rsidRPr="006E1F29">
        <w:rPr>
          <w:rFonts w:eastAsia="Calibri"/>
          <w:szCs w:val="22"/>
        </w:rPr>
        <w:t>sets out that total amount (section 5); and</w:t>
      </w:r>
    </w:p>
    <w:p w:rsidR="006E1F29" w:rsidRPr="006E1F29" w:rsidRDefault="006E1F29" w:rsidP="006E1F29">
      <w:pPr>
        <w:numPr>
          <w:ilvl w:val="0"/>
          <w:numId w:val="1"/>
        </w:numPr>
        <w:spacing w:after="200" w:line="276" w:lineRule="auto"/>
        <w:contextualSpacing/>
        <w:rPr>
          <w:rFonts w:eastAsia="Calibri"/>
          <w:szCs w:val="22"/>
        </w:rPr>
      </w:pPr>
      <w:proofErr w:type="gramStart"/>
      <w:r w:rsidRPr="006E1F29">
        <w:rPr>
          <w:rFonts w:eastAsia="Calibri"/>
          <w:szCs w:val="22"/>
        </w:rPr>
        <w:t>sets</w:t>
      </w:r>
      <w:proofErr w:type="gramEnd"/>
      <w:r w:rsidRPr="006E1F29">
        <w:rPr>
          <w:rFonts w:eastAsia="Calibri"/>
          <w:szCs w:val="22"/>
        </w:rPr>
        <w:t xml:space="preserve"> out how the total amount is split between the non-participating States and Territories (section 6).</w:t>
      </w:r>
    </w:p>
    <w:p w:rsidR="006E1F29" w:rsidRPr="006E1F29" w:rsidRDefault="006E1F29" w:rsidP="006E1F29">
      <w:pPr>
        <w:spacing w:after="200" w:line="276" w:lineRule="auto"/>
        <w:rPr>
          <w:rFonts w:eastAsia="Calibri"/>
          <w:szCs w:val="22"/>
        </w:rPr>
      </w:pPr>
      <w:r w:rsidRPr="006E1F29">
        <w:rPr>
          <w:rFonts w:eastAsia="Calibri"/>
          <w:szCs w:val="22"/>
        </w:rPr>
        <w:t>The Determination gives effect to the commitment by the Australian Government to pay Commonwealth schools funding to States and Territories on the same basis, irrespective of whether they are participating or non-participating under the Act. That is, the total amount payable to non-participating States and Territories for 2015, and the amount for each non-participating State and Territory, are the same as they would have been had the amounts been calculated under Part 3 of the Act (recurrent funding for participating schools).</w:t>
      </w:r>
    </w:p>
    <w:p w:rsidR="006E1F29" w:rsidRPr="006E1F29" w:rsidRDefault="006E1F29" w:rsidP="006E1F29">
      <w:pPr>
        <w:keepNext/>
        <w:keepLines/>
        <w:spacing w:before="200" w:line="276" w:lineRule="auto"/>
        <w:outlineLvl w:val="1"/>
        <w:rPr>
          <w:rFonts w:ascii="Arial" w:hAnsi="Arial"/>
          <w:b/>
          <w:bCs/>
          <w:sz w:val="26"/>
          <w:szCs w:val="26"/>
        </w:rPr>
      </w:pPr>
      <w:r w:rsidRPr="006E1F29">
        <w:rPr>
          <w:rFonts w:ascii="Arial" w:hAnsi="Arial"/>
          <w:b/>
          <w:bCs/>
          <w:sz w:val="26"/>
          <w:szCs w:val="26"/>
        </w:rPr>
        <w:t>Consultation</w:t>
      </w:r>
    </w:p>
    <w:p w:rsidR="006E1F29" w:rsidRPr="006E1F29" w:rsidRDefault="006E1F29" w:rsidP="006E1F29">
      <w:pPr>
        <w:spacing w:after="200" w:line="276" w:lineRule="auto"/>
        <w:rPr>
          <w:rFonts w:eastAsia="Calibri"/>
          <w:szCs w:val="22"/>
        </w:rPr>
      </w:pPr>
      <w:r w:rsidRPr="006E1F29">
        <w:rPr>
          <w:rFonts w:eastAsia="Calibri"/>
          <w:szCs w:val="22"/>
        </w:rPr>
        <w:t>There was extensive consultation with representatives of State and Territory education authorities in the lead up to the preparation of the Act. Consultation included significant negotiation on funding matters, including specifically on the requirements under the Act for a State or Territory to be funded as a participating State or Territory under Part 3, or as a non-participating State or Territory under Part 4. The Determination gives effect to the outcome of that consultation.</w:t>
      </w:r>
    </w:p>
    <w:p w:rsidR="006E1F29" w:rsidRPr="006E1F29" w:rsidRDefault="006E1F29" w:rsidP="006E1F29">
      <w:pPr>
        <w:spacing w:after="200" w:line="276" w:lineRule="auto"/>
        <w:rPr>
          <w:rFonts w:eastAsia="Calibri"/>
          <w:szCs w:val="22"/>
        </w:rPr>
      </w:pPr>
      <w:r w:rsidRPr="006E1F29">
        <w:rPr>
          <w:rFonts w:eastAsia="Calibri"/>
          <w:szCs w:val="22"/>
        </w:rPr>
        <w:t>The annual entitlement for government schools is calculated on the basis of government school student information reported by States and Territories. Consultation occurs with States and Territories throughout the relevant year on both the accuracy of this data and the funding calculations that will occur as a result.</w:t>
      </w:r>
    </w:p>
    <w:p w:rsidR="006E1F29" w:rsidRPr="006E1F29" w:rsidRDefault="006E1F29" w:rsidP="006E1F29">
      <w:pPr>
        <w:keepNext/>
        <w:keepLines/>
        <w:spacing w:before="200" w:line="276" w:lineRule="auto"/>
        <w:outlineLvl w:val="1"/>
        <w:rPr>
          <w:rFonts w:ascii="Arial" w:hAnsi="Arial"/>
          <w:b/>
          <w:bCs/>
          <w:sz w:val="26"/>
          <w:szCs w:val="26"/>
        </w:rPr>
      </w:pPr>
      <w:r w:rsidRPr="006E1F29">
        <w:rPr>
          <w:rFonts w:ascii="Arial" w:hAnsi="Arial"/>
          <w:b/>
          <w:bCs/>
          <w:sz w:val="26"/>
          <w:szCs w:val="26"/>
        </w:rPr>
        <w:t>Regulatory Impact Statement</w:t>
      </w:r>
    </w:p>
    <w:p w:rsidR="006E1F29" w:rsidRPr="006E1F29" w:rsidRDefault="006E1F29" w:rsidP="006E1F29">
      <w:pPr>
        <w:spacing w:after="200" w:line="276" w:lineRule="auto"/>
        <w:rPr>
          <w:rFonts w:eastAsia="Calibri"/>
          <w:szCs w:val="22"/>
        </w:rPr>
      </w:pPr>
      <w:r w:rsidRPr="006E1F29">
        <w:rPr>
          <w:rFonts w:eastAsia="Calibri"/>
          <w:szCs w:val="22"/>
        </w:rPr>
        <w:t xml:space="preserve">This Determination does not require a Regulatory Impact Statement (RIS) or a Business Cost Calculator Figure. The Determination gives effect to a policy already enacted through the Act, and is simply the mechanism to give effect to that policy.  </w:t>
      </w:r>
    </w:p>
    <w:p w:rsidR="006E1F29" w:rsidRPr="006E1F29" w:rsidRDefault="006E1F29" w:rsidP="006E1F29">
      <w:pPr>
        <w:keepNext/>
        <w:keepLines/>
        <w:spacing w:before="200" w:line="276" w:lineRule="auto"/>
        <w:outlineLvl w:val="1"/>
        <w:rPr>
          <w:rFonts w:ascii="Arial" w:hAnsi="Arial"/>
          <w:b/>
          <w:bCs/>
          <w:sz w:val="26"/>
          <w:szCs w:val="26"/>
        </w:rPr>
      </w:pPr>
      <w:r w:rsidRPr="006E1F29">
        <w:rPr>
          <w:rFonts w:ascii="Arial" w:hAnsi="Arial"/>
          <w:b/>
          <w:bCs/>
          <w:sz w:val="26"/>
          <w:szCs w:val="26"/>
        </w:rPr>
        <w:t>Authority</w:t>
      </w:r>
    </w:p>
    <w:p w:rsidR="006E1F29" w:rsidRPr="006E1F29" w:rsidRDefault="006E1F29" w:rsidP="006E1F29">
      <w:pPr>
        <w:spacing w:after="200" w:line="276" w:lineRule="auto"/>
        <w:rPr>
          <w:rFonts w:eastAsia="Calibri"/>
          <w:szCs w:val="22"/>
        </w:rPr>
      </w:pPr>
      <w:proofErr w:type="gramStart"/>
      <w:r w:rsidRPr="006E1F29">
        <w:rPr>
          <w:rFonts w:eastAsia="Calibri"/>
          <w:szCs w:val="22"/>
        </w:rPr>
        <w:t>Subsections 65(3) and (7) of the Act.</w:t>
      </w:r>
      <w:proofErr w:type="gramEnd"/>
    </w:p>
    <w:p w:rsidR="006E1F29" w:rsidRPr="006E1F29" w:rsidRDefault="006E1F29" w:rsidP="006E1F29">
      <w:pPr>
        <w:keepNext/>
        <w:keepLines/>
        <w:spacing w:before="200" w:line="276" w:lineRule="auto"/>
        <w:outlineLvl w:val="1"/>
        <w:rPr>
          <w:rFonts w:ascii="Arial" w:hAnsi="Arial"/>
          <w:b/>
          <w:bCs/>
          <w:sz w:val="26"/>
          <w:szCs w:val="26"/>
        </w:rPr>
      </w:pPr>
      <w:r w:rsidRPr="006E1F29">
        <w:rPr>
          <w:rFonts w:ascii="Arial" w:hAnsi="Arial"/>
          <w:b/>
          <w:bCs/>
          <w:sz w:val="26"/>
          <w:szCs w:val="26"/>
        </w:rPr>
        <w:t>Explanation of Provisions</w:t>
      </w:r>
    </w:p>
    <w:p w:rsidR="006E1F29" w:rsidRPr="006E1F29" w:rsidRDefault="006E1F29" w:rsidP="006E1F29">
      <w:pPr>
        <w:keepNext/>
        <w:keepLines/>
        <w:spacing w:before="200" w:line="276" w:lineRule="auto"/>
        <w:outlineLvl w:val="2"/>
        <w:rPr>
          <w:rFonts w:ascii="Arial" w:hAnsi="Arial"/>
          <w:b/>
          <w:bCs/>
          <w:szCs w:val="22"/>
        </w:rPr>
      </w:pPr>
      <w:r w:rsidRPr="006E1F29">
        <w:rPr>
          <w:rFonts w:ascii="Arial" w:hAnsi="Arial"/>
          <w:b/>
          <w:bCs/>
          <w:szCs w:val="22"/>
        </w:rPr>
        <w:t>Sections 1 and 2</w:t>
      </w:r>
    </w:p>
    <w:p w:rsidR="006E1F29" w:rsidRPr="006E1F29" w:rsidRDefault="006E1F29" w:rsidP="006E1F29">
      <w:pPr>
        <w:spacing w:after="200" w:line="276" w:lineRule="auto"/>
        <w:rPr>
          <w:rFonts w:eastAsia="Calibri"/>
          <w:szCs w:val="22"/>
        </w:rPr>
      </w:pPr>
      <w:r w:rsidRPr="006E1F29">
        <w:rPr>
          <w:rFonts w:eastAsia="Calibri"/>
          <w:szCs w:val="22"/>
        </w:rPr>
        <w:t>Sections 1 and 2 of the Determination are formal provisions setting out the name and date of commencement of the Determination.</w:t>
      </w:r>
    </w:p>
    <w:p w:rsidR="006E1F29" w:rsidRPr="006E1F29" w:rsidRDefault="006E1F29" w:rsidP="006E1F29">
      <w:pPr>
        <w:keepNext/>
        <w:keepLines/>
        <w:spacing w:before="200" w:line="276" w:lineRule="auto"/>
        <w:outlineLvl w:val="2"/>
        <w:rPr>
          <w:rFonts w:ascii="Arial" w:hAnsi="Arial"/>
          <w:b/>
          <w:bCs/>
          <w:szCs w:val="22"/>
        </w:rPr>
      </w:pPr>
      <w:r w:rsidRPr="006E1F29">
        <w:rPr>
          <w:rFonts w:ascii="Arial" w:hAnsi="Arial"/>
          <w:b/>
          <w:bCs/>
          <w:szCs w:val="22"/>
        </w:rPr>
        <w:t>Section 3</w:t>
      </w:r>
    </w:p>
    <w:p w:rsidR="006E1F29" w:rsidRPr="006E1F29" w:rsidRDefault="006E1F29" w:rsidP="006E1F29">
      <w:pPr>
        <w:spacing w:after="200" w:line="276" w:lineRule="auto"/>
        <w:rPr>
          <w:rFonts w:eastAsia="Calibri"/>
          <w:szCs w:val="22"/>
        </w:rPr>
      </w:pPr>
      <w:r w:rsidRPr="006E1F29">
        <w:rPr>
          <w:rFonts w:eastAsia="Calibri"/>
          <w:szCs w:val="22"/>
        </w:rPr>
        <w:t>Section 3 of the Determination defines the term “the Act” for the purposes of the Determination.</w:t>
      </w:r>
      <w:r w:rsidRPr="006E1F29">
        <w:rPr>
          <w:rFonts w:eastAsia="Calibri"/>
          <w:szCs w:val="22"/>
        </w:rPr>
        <w:br w:type="page"/>
      </w:r>
    </w:p>
    <w:p w:rsidR="006E1F29" w:rsidRPr="006E1F29" w:rsidRDefault="006E1F29" w:rsidP="006E1F29">
      <w:pPr>
        <w:keepNext/>
        <w:keepLines/>
        <w:spacing w:before="200" w:line="276" w:lineRule="auto"/>
        <w:outlineLvl w:val="2"/>
        <w:rPr>
          <w:rFonts w:ascii="Arial" w:hAnsi="Arial"/>
          <w:b/>
          <w:bCs/>
          <w:szCs w:val="22"/>
        </w:rPr>
      </w:pPr>
      <w:r w:rsidRPr="006E1F29">
        <w:rPr>
          <w:rFonts w:ascii="Arial" w:hAnsi="Arial"/>
          <w:b/>
          <w:bCs/>
          <w:szCs w:val="22"/>
        </w:rPr>
        <w:lastRenderedPageBreak/>
        <w:t>Section 4</w:t>
      </w:r>
    </w:p>
    <w:p w:rsidR="006E1F29" w:rsidRPr="006E1F29" w:rsidRDefault="006E1F29" w:rsidP="006E1F29">
      <w:pPr>
        <w:spacing w:after="200" w:line="276" w:lineRule="auto"/>
        <w:rPr>
          <w:rFonts w:eastAsia="Calibri"/>
          <w:szCs w:val="22"/>
        </w:rPr>
      </w:pPr>
      <w:r w:rsidRPr="006E1F29">
        <w:rPr>
          <w:rFonts w:eastAsia="Calibri"/>
          <w:szCs w:val="22"/>
        </w:rPr>
        <w:t>Section 4 of the Determination provides that the manner of indexing the total amount payable for the previous year for non-participating States and Territories under Part 4 of the Act is by multiplying that amount by 1.12999928392238.  This indexation factor ensures that the non-participating States and Territories receive as much Commonwealth funding for their schools as if they had been participating States and Territories.</w:t>
      </w:r>
    </w:p>
    <w:p w:rsidR="006E1F29" w:rsidRPr="006E1F29" w:rsidRDefault="006E1F29" w:rsidP="006E1F29">
      <w:pPr>
        <w:keepNext/>
        <w:keepLines/>
        <w:spacing w:before="200" w:line="276" w:lineRule="auto"/>
        <w:outlineLvl w:val="2"/>
        <w:rPr>
          <w:rFonts w:ascii="Arial" w:hAnsi="Arial"/>
          <w:b/>
          <w:bCs/>
          <w:szCs w:val="22"/>
        </w:rPr>
      </w:pPr>
      <w:r w:rsidRPr="006E1F29">
        <w:rPr>
          <w:rFonts w:ascii="Arial" w:hAnsi="Arial"/>
          <w:b/>
          <w:bCs/>
          <w:szCs w:val="22"/>
        </w:rPr>
        <w:t>Section 5</w:t>
      </w:r>
    </w:p>
    <w:p w:rsidR="006E1F29" w:rsidRPr="006E1F29" w:rsidRDefault="006E1F29" w:rsidP="006E1F29">
      <w:pPr>
        <w:spacing w:after="200" w:line="276" w:lineRule="auto"/>
        <w:rPr>
          <w:rFonts w:eastAsia="Calibri"/>
          <w:szCs w:val="22"/>
        </w:rPr>
      </w:pPr>
      <w:proofErr w:type="gramStart"/>
      <w:r w:rsidRPr="006E1F29">
        <w:rPr>
          <w:rFonts w:eastAsia="Calibri"/>
          <w:szCs w:val="22"/>
        </w:rPr>
        <w:t>Section 5 of the Determination sets out the total amount payable under Part 4 of the Act to non-participating States and Territories for 2015, as $3,342,951,952.</w:t>
      </w:r>
      <w:proofErr w:type="gramEnd"/>
    </w:p>
    <w:p w:rsidR="006E1F29" w:rsidRPr="006E1F29" w:rsidRDefault="006E1F29" w:rsidP="006E1F29">
      <w:pPr>
        <w:keepNext/>
        <w:keepLines/>
        <w:spacing w:before="200" w:line="276" w:lineRule="auto"/>
        <w:outlineLvl w:val="2"/>
        <w:rPr>
          <w:rFonts w:ascii="Arial" w:hAnsi="Arial"/>
          <w:b/>
          <w:bCs/>
          <w:szCs w:val="22"/>
        </w:rPr>
      </w:pPr>
      <w:r w:rsidRPr="006E1F29">
        <w:rPr>
          <w:rFonts w:ascii="Arial" w:hAnsi="Arial"/>
          <w:b/>
          <w:bCs/>
          <w:szCs w:val="22"/>
        </w:rPr>
        <w:t>Section 6</w:t>
      </w:r>
    </w:p>
    <w:p w:rsidR="006E1F29" w:rsidRPr="006E1F29" w:rsidRDefault="006E1F29" w:rsidP="006E1F29">
      <w:pPr>
        <w:spacing w:after="200" w:line="276" w:lineRule="auto"/>
        <w:rPr>
          <w:rFonts w:eastAsia="Calibri"/>
          <w:szCs w:val="22"/>
        </w:rPr>
      </w:pPr>
      <w:r w:rsidRPr="006E1F29">
        <w:rPr>
          <w:rFonts w:eastAsia="Calibri"/>
          <w:szCs w:val="22"/>
        </w:rPr>
        <w:t>Section 6 of the Determination sets out how the total amount mentioned in section 5 is to be split amongst the non-participating States and Territories, as follows:</w:t>
      </w:r>
    </w:p>
    <w:tbl>
      <w:tblPr>
        <w:tblStyle w:val="TableGrid2"/>
        <w:tblW w:w="0" w:type="auto"/>
        <w:tblInd w:w="1134" w:type="dxa"/>
        <w:tblBorders>
          <w:top w:val="nil"/>
          <w:left w:val="nil"/>
          <w:bottom w:val="nil"/>
          <w:right w:val="nil"/>
          <w:insideV w:val="nil"/>
        </w:tblBorders>
        <w:tblLayout w:type="fixed"/>
        <w:tblLook w:val="04A0" w:firstRow="1" w:lastRow="0" w:firstColumn="1" w:lastColumn="0" w:noHBand="0" w:noVBand="1"/>
      </w:tblPr>
      <w:tblGrid>
        <w:gridCol w:w="675"/>
        <w:gridCol w:w="3402"/>
        <w:gridCol w:w="2092"/>
      </w:tblGrid>
      <w:tr w:rsidR="006E1F29" w:rsidRPr="006E1F29" w:rsidTr="00C94664">
        <w:tc>
          <w:tcPr>
            <w:tcW w:w="675" w:type="dxa"/>
            <w:tcBorders>
              <w:bottom w:val="single" w:sz="12" w:space="0" w:color="auto"/>
            </w:tcBorders>
          </w:tcPr>
          <w:p w:rsidR="006E1F29" w:rsidRPr="006E1F29" w:rsidRDefault="006E1F29" w:rsidP="006E1F29">
            <w:pPr>
              <w:keepNext/>
              <w:spacing w:before="60" w:line="240" w:lineRule="atLeast"/>
              <w:rPr>
                <w:b/>
                <w:sz w:val="20"/>
                <w:szCs w:val="20"/>
              </w:rPr>
            </w:pPr>
            <w:r w:rsidRPr="006E1F29">
              <w:rPr>
                <w:b/>
                <w:sz w:val="20"/>
                <w:szCs w:val="20"/>
              </w:rPr>
              <w:t>Item</w:t>
            </w:r>
          </w:p>
        </w:tc>
        <w:tc>
          <w:tcPr>
            <w:tcW w:w="3402" w:type="dxa"/>
            <w:tcBorders>
              <w:bottom w:val="single" w:sz="12" w:space="0" w:color="auto"/>
            </w:tcBorders>
          </w:tcPr>
          <w:p w:rsidR="006E1F29" w:rsidRPr="006E1F29" w:rsidRDefault="006E1F29" w:rsidP="006E1F29">
            <w:pPr>
              <w:keepNext/>
              <w:spacing w:before="60" w:line="240" w:lineRule="atLeast"/>
              <w:rPr>
                <w:b/>
                <w:sz w:val="20"/>
                <w:szCs w:val="20"/>
              </w:rPr>
            </w:pPr>
            <w:r w:rsidRPr="006E1F29">
              <w:rPr>
                <w:b/>
                <w:sz w:val="20"/>
                <w:szCs w:val="20"/>
              </w:rPr>
              <w:t>Non-participating State or Territory</w:t>
            </w:r>
          </w:p>
        </w:tc>
        <w:tc>
          <w:tcPr>
            <w:tcW w:w="2092" w:type="dxa"/>
            <w:tcBorders>
              <w:bottom w:val="single" w:sz="12" w:space="0" w:color="auto"/>
            </w:tcBorders>
          </w:tcPr>
          <w:p w:rsidR="006E1F29" w:rsidRPr="006E1F29" w:rsidRDefault="006E1F29" w:rsidP="006E1F29">
            <w:pPr>
              <w:keepNext/>
              <w:spacing w:before="60" w:line="240" w:lineRule="atLeast"/>
              <w:rPr>
                <w:b/>
                <w:sz w:val="20"/>
                <w:szCs w:val="20"/>
              </w:rPr>
            </w:pPr>
            <w:r w:rsidRPr="006E1F29">
              <w:rPr>
                <w:b/>
                <w:sz w:val="20"/>
                <w:szCs w:val="20"/>
              </w:rPr>
              <w:t>Amount:</w:t>
            </w:r>
          </w:p>
        </w:tc>
      </w:tr>
      <w:tr w:rsidR="006E1F29" w:rsidRPr="006E1F29" w:rsidTr="00C94664">
        <w:tc>
          <w:tcPr>
            <w:tcW w:w="675" w:type="dxa"/>
            <w:tcBorders>
              <w:top w:val="single" w:sz="12" w:space="0" w:color="auto"/>
            </w:tcBorders>
          </w:tcPr>
          <w:p w:rsidR="006E1F29" w:rsidRPr="006E1F29" w:rsidRDefault="006E1F29" w:rsidP="006E1F29">
            <w:pPr>
              <w:spacing w:before="60" w:line="240" w:lineRule="atLeast"/>
              <w:rPr>
                <w:sz w:val="20"/>
                <w:szCs w:val="20"/>
              </w:rPr>
            </w:pPr>
            <w:r w:rsidRPr="006E1F29">
              <w:rPr>
                <w:sz w:val="20"/>
                <w:szCs w:val="20"/>
              </w:rPr>
              <w:t>1</w:t>
            </w:r>
          </w:p>
        </w:tc>
        <w:tc>
          <w:tcPr>
            <w:tcW w:w="3402" w:type="dxa"/>
            <w:tcBorders>
              <w:top w:val="single" w:sz="12" w:space="0" w:color="auto"/>
            </w:tcBorders>
          </w:tcPr>
          <w:p w:rsidR="006E1F29" w:rsidRPr="006E1F29" w:rsidRDefault="006E1F29" w:rsidP="006E1F29">
            <w:pPr>
              <w:spacing w:before="60" w:line="240" w:lineRule="atLeast"/>
              <w:rPr>
                <w:sz w:val="20"/>
                <w:szCs w:val="20"/>
              </w:rPr>
            </w:pPr>
            <w:r w:rsidRPr="006E1F29">
              <w:rPr>
                <w:sz w:val="20"/>
                <w:szCs w:val="20"/>
              </w:rPr>
              <w:t>Victoria</w:t>
            </w:r>
          </w:p>
        </w:tc>
        <w:tc>
          <w:tcPr>
            <w:tcW w:w="2092" w:type="dxa"/>
            <w:tcBorders>
              <w:top w:val="single" w:sz="12" w:space="0" w:color="auto"/>
            </w:tcBorders>
          </w:tcPr>
          <w:p w:rsidR="006E1F29" w:rsidRPr="006E1F29" w:rsidRDefault="006E1F29" w:rsidP="006E1F29">
            <w:pPr>
              <w:spacing w:line="260" w:lineRule="atLeast"/>
              <w:rPr>
                <w:sz w:val="20"/>
                <w:szCs w:val="20"/>
              </w:rPr>
            </w:pPr>
            <w:r w:rsidRPr="006E1F29">
              <w:rPr>
                <w:sz w:val="20"/>
                <w:szCs w:val="20"/>
              </w:rPr>
              <w:t>$1,303,297,220</w:t>
            </w:r>
          </w:p>
        </w:tc>
      </w:tr>
      <w:tr w:rsidR="006E1F29" w:rsidRPr="006E1F29" w:rsidTr="00C94664">
        <w:tc>
          <w:tcPr>
            <w:tcW w:w="675" w:type="dxa"/>
          </w:tcPr>
          <w:p w:rsidR="006E1F29" w:rsidRPr="006E1F29" w:rsidRDefault="006E1F29" w:rsidP="006E1F29">
            <w:pPr>
              <w:spacing w:before="60" w:line="240" w:lineRule="atLeast"/>
              <w:rPr>
                <w:sz w:val="20"/>
                <w:szCs w:val="20"/>
              </w:rPr>
            </w:pPr>
            <w:r w:rsidRPr="006E1F29">
              <w:rPr>
                <w:sz w:val="20"/>
                <w:szCs w:val="20"/>
              </w:rPr>
              <w:t>2</w:t>
            </w:r>
          </w:p>
        </w:tc>
        <w:tc>
          <w:tcPr>
            <w:tcW w:w="3402" w:type="dxa"/>
          </w:tcPr>
          <w:p w:rsidR="006E1F29" w:rsidRPr="006E1F29" w:rsidRDefault="006E1F29" w:rsidP="006E1F29">
            <w:pPr>
              <w:spacing w:before="60" w:line="240" w:lineRule="atLeast"/>
              <w:rPr>
                <w:sz w:val="20"/>
                <w:szCs w:val="20"/>
              </w:rPr>
            </w:pPr>
            <w:r w:rsidRPr="006E1F29">
              <w:rPr>
                <w:sz w:val="20"/>
                <w:szCs w:val="20"/>
              </w:rPr>
              <w:t>Queensland</w:t>
            </w:r>
          </w:p>
        </w:tc>
        <w:tc>
          <w:tcPr>
            <w:tcW w:w="2092" w:type="dxa"/>
          </w:tcPr>
          <w:p w:rsidR="006E1F29" w:rsidRPr="006E1F29" w:rsidRDefault="006E1F29" w:rsidP="006E1F29">
            <w:pPr>
              <w:spacing w:line="260" w:lineRule="atLeast"/>
              <w:rPr>
                <w:sz w:val="20"/>
                <w:szCs w:val="20"/>
              </w:rPr>
            </w:pPr>
            <w:r w:rsidRPr="006E1F29">
              <w:rPr>
                <w:sz w:val="20"/>
                <w:szCs w:val="20"/>
              </w:rPr>
              <w:t>$1,204,971,607</w:t>
            </w:r>
          </w:p>
        </w:tc>
      </w:tr>
      <w:tr w:rsidR="006E1F29" w:rsidRPr="006E1F29" w:rsidTr="00C94664">
        <w:tc>
          <w:tcPr>
            <w:tcW w:w="675" w:type="dxa"/>
          </w:tcPr>
          <w:p w:rsidR="006E1F29" w:rsidRPr="006E1F29" w:rsidRDefault="006E1F29" w:rsidP="006E1F29">
            <w:pPr>
              <w:spacing w:before="60" w:line="240" w:lineRule="atLeast"/>
              <w:rPr>
                <w:sz w:val="20"/>
                <w:szCs w:val="20"/>
              </w:rPr>
            </w:pPr>
            <w:r w:rsidRPr="006E1F29">
              <w:rPr>
                <w:sz w:val="20"/>
                <w:szCs w:val="20"/>
              </w:rPr>
              <w:t>3</w:t>
            </w:r>
          </w:p>
        </w:tc>
        <w:tc>
          <w:tcPr>
            <w:tcW w:w="3402" w:type="dxa"/>
          </w:tcPr>
          <w:p w:rsidR="006E1F29" w:rsidRPr="006E1F29" w:rsidRDefault="006E1F29" w:rsidP="006E1F29">
            <w:pPr>
              <w:spacing w:before="60" w:line="240" w:lineRule="atLeast"/>
              <w:rPr>
                <w:sz w:val="20"/>
                <w:szCs w:val="20"/>
              </w:rPr>
            </w:pPr>
            <w:r w:rsidRPr="006E1F29">
              <w:rPr>
                <w:sz w:val="20"/>
                <w:szCs w:val="20"/>
              </w:rPr>
              <w:t>Western Australia</w:t>
            </w:r>
          </w:p>
        </w:tc>
        <w:tc>
          <w:tcPr>
            <w:tcW w:w="2092" w:type="dxa"/>
          </w:tcPr>
          <w:p w:rsidR="006E1F29" w:rsidRPr="006E1F29" w:rsidRDefault="006E1F29" w:rsidP="006E1F29">
            <w:pPr>
              <w:spacing w:line="260" w:lineRule="atLeast"/>
              <w:rPr>
                <w:sz w:val="20"/>
                <w:szCs w:val="20"/>
              </w:rPr>
            </w:pPr>
            <w:r w:rsidRPr="006E1F29">
              <w:rPr>
                <w:sz w:val="20"/>
                <w:szCs w:val="20"/>
              </w:rPr>
              <w:t>$537,184,733</w:t>
            </w:r>
          </w:p>
        </w:tc>
      </w:tr>
      <w:tr w:rsidR="006E1F29" w:rsidRPr="006E1F29" w:rsidTr="00C94664">
        <w:tc>
          <w:tcPr>
            <w:tcW w:w="675" w:type="dxa"/>
          </w:tcPr>
          <w:p w:rsidR="006E1F29" w:rsidRPr="006E1F29" w:rsidRDefault="006E1F29" w:rsidP="006E1F29">
            <w:pPr>
              <w:spacing w:before="60" w:line="240" w:lineRule="atLeast"/>
              <w:rPr>
                <w:sz w:val="20"/>
                <w:szCs w:val="20"/>
              </w:rPr>
            </w:pPr>
            <w:r w:rsidRPr="006E1F29">
              <w:rPr>
                <w:sz w:val="20"/>
                <w:szCs w:val="20"/>
              </w:rPr>
              <w:t>4</w:t>
            </w:r>
          </w:p>
        </w:tc>
        <w:tc>
          <w:tcPr>
            <w:tcW w:w="3402" w:type="dxa"/>
          </w:tcPr>
          <w:p w:rsidR="006E1F29" w:rsidRPr="006E1F29" w:rsidRDefault="006E1F29" w:rsidP="006E1F29">
            <w:pPr>
              <w:spacing w:before="60" w:line="240" w:lineRule="atLeast"/>
              <w:rPr>
                <w:sz w:val="20"/>
                <w:szCs w:val="20"/>
              </w:rPr>
            </w:pPr>
            <w:r w:rsidRPr="006E1F29">
              <w:rPr>
                <w:sz w:val="20"/>
                <w:szCs w:val="20"/>
              </w:rPr>
              <w:t>Tasmania</w:t>
            </w:r>
          </w:p>
        </w:tc>
        <w:tc>
          <w:tcPr>
            <w:tcW w:w="2092" w:type="dxa"/>
          </w:tcPr>
          <w:p w:rsidR="006E1F29" w:rsidRPr="006E1F29" w:rsidRDefault="006E1F29" w:rsidP="006E1F29">
            <w:pPr>
              <w:spacing w:line="260" w:lineRule="atLeast"/>
              <w:rPr>
                <w:sz w:val="20"/>
                <w:szCs w:val="20"/>
              </w:rPr>
            </w:pPr>
            <w:r w:rsidRPr="006E1F29">
              <w:rPr>
                <w:sz w:val="20"/>
                <w:szCs w:val="20"/>
              </w:rPr>
              <w:t>$158,140,840</w:t>
            </w:r>
          </w:p>
        </w:tc>
      </w:tr>
      <w:tr w:rsidR="006E1F29" w:rsidRPr="006E1F29" w:rsidTr="00C94664">
        <w:tc>
          <w:tcPr>
            <w:tcW w:w="675" w:type="dxa"/>
            <w:tcBorders>
              <w:bottom w:val="single" w:sz="12" w:space="0" w:color="auto"/>
            </w:tcBorders>
          </w:tcPr>
          <w:p w:rsidR="006E1F29" w:rsidRPr="006E1F29" w:rsidRDefault="006E1F29" w:rsidP="006E1F29">
            <w:pPr>
              <w:spacing w:before="60" w:line="240" w:lineRule="atLeast"/>
              <w:rPr>
                <w:sz w:val="20"/>
                <w:szCs w:val="20"/>
              </w:rPr>
            </w:pPr>
            <w:r w:rsidRPr="006E1F29">
              <w:rPr>
                <w:sz w:val="20"/>
                <w:szCs w:val="20"/>
              </w:rPr>
              <w:t>5</w:t>
            </w:r>
          </w:p>
        </w:tc>
        <w:tc>
          <w:tcPr>
            <w:tcW w:w="3402" w:type="dxa"/>
            <w:tcBorders>
              <w:bottom w:val="single" w:sz="12" w:space="0" w:color="auto"/>
            </w:tcBorders>
          </w:tcPr>
          <w:p w:rsidR="006E1F29" w:rsidRPr="006E1F29" w:rsidRDefault="006E1F29" w:rsidP="006E1F29">
            <w:pPr>
              <w:spacing w:before="60" w:line="240" w:lineRule="atLeast"/>
              <w:rPr>
                <w:sz w:val="20"/>
                <w:szCs w:val="20"/>
              </w:rPr>
            </w:pPr>
            <w:r w:rsidRPr="006E1F29">
              <w:rPr>
                <w:sz w:val="20"/>
                <w:szCs w:val="20"/>
              </w:rPr>
              <w:t>Northern Territory</w:t>
            </w:r>
          </w:p>
        </w:tc>
        <w:tc>
          <w:tcPr>
            <w:tcW w:w="2092" w:type="dxa"/>
            <w:tcBorders>
              <w:bottom w:val="single" w:sz="12" w:space="0" w:color="auto"/>
            </w:tcBorders>
          </w:tcPr>
          <w:p w:rsidR="006E1F29" w:rsidRPr="006E1F29" w:rsidRDefault="006E1F29" w:rsidP="006E1F29">
            <w:pPr>
              <w:spacing w:line="260" w:lineRule="atLeast"/>
              <w:rPr>
                <w:sz w:val="20"/>
                <w:szCs w:val="20"/>
              </w:rPr>
            </w:pPr>
            <w:r w:rsidRPr="006E1F29">
              <w:rPr>
                <w:sz w:val="20"/>
                <w:szCs w:val="20"/>
              </w:rPr>
              <w:t>$139,357,552</w:t>
            </w:r>
          </w:p>
        </w:tc>
      </w:tr>
    </w:tbl>
    <w:p w:rsidR="006E1F29" w:rsidRPr="006E1F29" w:rsidRDefault="006E1F29" w:rsidP="006E1F29">
      <w:pPr>
        <w:spacing w:after="200" w:line="276" w:lineRule="auto"/>
        <w:rPr>
          <w:rFonts w:eastAsia="Calibri"/>
          <w:szCs w:val="22"/>
        </w:rPr>
      </w:pPr>
    </w:p>
    <w:p w:rsidR="006E1F29" w:rsidRPr="006E1F29" w:rsidRDefault="006E1F29" w:rsidP="006E1F29">
      <w:pPr>
        <w:spacing w:line="276" w:lineRule="auto"/>
        <w:jc w:val="center"/>
        <w:rPr>
          <w:rFonts w:eastAsia="Calibri"/>
          <w:b/>
        </w:rPr>
      </w:pPr>
      <w:r w:rsidRPr="006E1F29">
        <w:rPr>
          <w:rFonts w:eastAsia="Calibri"/>
          <w:b/>
        </w:rPr>
        <w:br w:type="page"/>
      </w:r>
    </w:p>
    <w:p w:rsidR="006E1F29" w:rsidRPr="006E1F29" w:rsidRDefault="006E1F29" w:rsidP="006E1F29">
      <w:pPr>
        <w:spacing w:line="276" w:lineRule="auto"/>
        <w:jc w:val="center"/>
        <w:rPr>
          <w:rFonts w:eastAsia="Calibri"/>
          <w:b/>
          <w:sz w:val="28"/>
          <w:szCs w:val="28"/>
        </w:rPr>
      </w:pPr>
      <w:r w:rsidRPr="006E1F29">
        <w:rPr>
          <w:rFonts w:eastAsia="Calibri"/>
          <w:b/>
          <w:sz w:val="28"/>
          <w:szCs w:val="28"/>
        </w:rPr>
        <w:lastRenderedPageBreak/>
        <w:t>Statement of Compatibility with Human Rights</w:t>
      </w:r>
    </w:p>
    <w:p w:rsidR="006E1F29" w:rsidRPr="006E1F29" w:rsidRDefault="006E1F29" w:rsidP="006E1F29">
      <w:pPr>
        <w:spacing w:line="276" w:lineRule="auto"/>
        <w:jc w:val="center"/>
        <w:rPr>
          <w:rFonts w:eastAsia="Calibri"/>
        </w:rPr>
      </w:pPr>
      <w:r w:rsidRPr="006E1F29">
        <w:rPr>
          <w:rFonts w:eastAsia="Calibri"/>
          <w:i/>
        </w:rPr>
        <w:t>Prepared in accordance with Part 3 of the Human Rights (Parliamentary Scrutiny) Act 2011</w:t>
      </w:r>
    </w:p>
    <w:p w:rsidR="006E1F29" w:rsidRPr="006E1F29" w:rsidRDefault="006E1F29" w:rsidP="006E1F29">
      <w:pPr>
        <w:spacing w:line="276" w:lineRule="auto"/>
        <w:jc w:val="center"/>
        <w:rPr>
          <w:rFonts w:eastAsia="Calibri"/>
        </w:rPr>
      </w:pPr>
    </w:p>
    <w:p w:rsidR="006E1F29" w:rsidRPr="006E1F29" w:rsidRDefault="006E1F29" w:rsidP="006E1F29">
      <w:pPr>
        <w:spacing w:line="276" w:lineRule="auto"/>
        <w:jc w:val="center"/>
        <w:rPr>
          <w:rFonts w:eastAsia="Calibri"/>
          <w:b/>
          <w:i/>
        </w:rPr>
      </w:pPr>
      <w:r w:rsidRPr="006E1F29">
        <w:rPr>
          <w:rFonts w:eastAsia="Calibri"/>
          <w:b/>
          <w:i/>
        </w:rPr>
        <w:t>Australian Education (Financial Assistance for Non-participating States and Territories) Determination 2016</w:t>
      </w:r>
    </w:p>
    <w:p w:rsidR="006E1F29" w:rsidRPr="006E1F29" w:rsidRDefault="006E1F29" w:rsidP="006E1F29">
      <w:pPr>
        <w:spacing w:line="276" w:lineRule="auto"/>
        <w:jc w:val="both"/>
        <w:rPr>
          <w:rFonts w:eastAsia="Calibri"/>
        </w:rPr>
      </w:pPr>
    </w:p>
    <w:p w:rsidR="006E1F29" w:rsidRPr="006E1F29" w:rsidRDefault="006E1F29" w:rsidP="006E1F29">
      <w:pPr>
        <w:spacing w:line="276" w:lineRule="auto"/>
        <w:jc w:val="both"/>
        <w:rPr>
          <w:rFonts w:eastAsia="Calibri"/>
        </w:rPr>
      </w:pPr>
      <w:r w:rsidRPr="006E1F29">
        <w:rPr>
          <w:rFonts w:eastAsia="Calibri"/>
        </w:rPr>
        <w:t xml:space="preserve">This legislative instrument is compatible with the human rights and freedoms recognised or declared in the international instruments listed in section 3 of the </w:t>
      </w:r>
      <w:r w:rsidRPr="006E1F29">
        <w:rPr>
          <w:rFonts w:eastAsia="Calibri"/>
          <w:i/>
        </w:rPr>
        <w:t>Human Rights (Parliamentary Scrutiny) Act 2011</w:t>
      </w:r>
      <w:r w:rsidRPr="006E1F29">
        <w:rPr>
          <w:rFonts w:eastAsia="Calibri"/>
        </w:rPr>
        <w:t>.</w:t>
      </w:r>
    </w:p>
    <w:p w:rsidR="006E1F29" w:rsidRPr="006E1F29" w:rsidRDefault="006E1F29" w:rsidP="006E1F29">
      <w:pPr>
        <w:spacing w:line="276" w:lineRule="auto"/>
        <w:jc w:val="both"/>
        <w:rPr>
          <w:rFonts w:eastAsia="Calibri"/>
          <w:b/>
        </w:rPr>
      </w:pPr>
    </w:p>
    <w:p w:rsidR="006E1F29" w:rsidRPr="006E1F29" w:rsidRDefault="006E1F29" w:rsidP="006E1F29">
      <w:pPr>
        <w:spacing w:line="276" w:lineRule="auto"/>
        <w:jc w:val="both"/>
        <w:rPr>
          <w:rFonts w:eastAsia="Calibri"/>
          <w:b/>
        </w:rPr>
      </w:pPr>
      <w:r w:rsidRPr="006E1F29">
        <w:rPr>
          <w:rFonts w:eastAsia="Calibri"/>
          <w:b/>
        </w:rPr>
        <w:t>Overview of the Legislative Instrument</w:t>
      </w:r>
    </w:p>
    <w:p w:rsidR="006E1F29" w:rsidRPr="006E1F29" w:rsidRDefault="006E1F29" w:rsidP="006E1F29">
      <w:pPr>
        <w:tabs>
          <w:tab w:val="num" w:pos="426"/>
        </w:tabs>
        <w:rPr>
          <w:rFonts w:eastAsia="Calibri"/>
          <w:szCs w:val="22"/>
        </w:rPr>
      </w:pPr>
      <w:r w:rsidRPr="006E1F29">
        <w:rPr>
          <w:rFonts w:eastAsia="Calibri"/>
          <w:szCs w:val="22"/>
        </w:rPr>
        <w:t xml:space="preserve">The </w:t>
      </w:r>
      <w:r w:rsidRPr="006E1F29">
        <w:rPr>
          <w:rFonts w:eastAsia="Calibri"/>
          <w:i/>
          <w:szCs w:val="22"/>
        </w:rPr>
        <w:t>Australian Education Act 2013</w:t>
      </w:r>
      <w:r w:rsidRPr="006E1F29">
        <w:rPr>
          <w:rFonts w:eastAsia="Calibri"/>
          <w:szCs w:val="22"/>
        </w:rPr>
        <w:t xml:space="preserve"> (Act) provides for (amongst other things) Commonwealth recurrent funding for “participating schools” and “non-participating schools”. Participating schools are all non-government schools, and government schools of “participating States and Territories”; non-participating schools are government schools of States and Territories that are not participating States and Territories.</w:t>
      </w:r>
    </w:p>
    <w:p w:rsidR="006E1F29" w:rsidRPr="006E1F29" w:rsidRDefault="006E1F29" w:rsidP="006E1F29">
      <w:pPr>
        <w:tabs>
          <w:tab w:val="num" w:pos="426"/>
        </w:tabs>
        <w:rPr>
          <w:rFonts w:eastAsia="Calibri"/>
          <w:szCs w:val="22"/>
        </w:rPr>
      </w:pPr>
    </w:p>
    <w:p w:rsidR="006E1F29" w:rsidRPr="006E1F29" w:rsidRDefault="006E1F29" w:rsidP="006E1F29">
      <w:pPr>
        <w:tabs>
          <w:tab w:val="num" w:pos="426"/>
        </w:tabs>
        <w:rPr>
          <w:rFonts w:eastAsia="Calibri"/>
          <w:szCs w:val="22"/>
        </w:rPr>
      </w:pPr>
      <w:r w:rsidRPr="006E1F29">
        <w:rPr>
          <w:rFonts w:eastAsia="Calibri"/>
          <w:szCs w:val="22"/>
        </w:rPr>
        <w:t xml:space="preserve">The </w:t>
      </w:r>
      <w:r w:rsidRPr="006E1F29">
        <w:rPr>
          <w:rFonts w:eastAsia="Calibri"/>
          <w:i/>
          <w:szCs w:val="22"/>
        </w:rPr>
        <w:t>Australian Education (Participating States and Territories) Determination 2014</w:t>
      </w:r>
      <w:r w:rsidRPr="006E1F29">
        <w:rPr>
          <w:rFonts w:eastAsia="Calibri"/>
          <w:szCs w:val="22"/>
        </w:rPr>
        <w:t>, made under subsection 14(2) of the Act, determined the participating States and Territories as New South Wales, South Australia and the Australian Capital Territory.  All other States and Territories are therefore non-participating States and Territories.</w:t>
      </w:r>
    </w:p>
    <w:p w:rsidR="006E1F29" w:rsidRPr="006E1F29" w:rsidRDefault="006E1F29" w:rsidP="006E1F29">
      <w:pPr>
        <w:tabs>
          <w:tab w:val="num" w:pos="426"/>
        </w:tabs>
        <w:rPr>
          <w:rFonts w:eastAsia="Calibri"/>
          <w:szCs w:val="22"/>
        </w:rPr>
      </w:pPr>
    </w:p>
    <w:p w:rsidR="006E1F29" w:rsidRPr="006E1F29" w:rsidRDefault="006E1F29" w:rsidP="006E1F29">
      <w:pPr>
        <w:tabs>
          <w:tab w:val="num" w:pos="426"/>
        </w:tabs>
        <w:rPr>
          <w:rFonts w:eastAsia="Calibri"/>
          <w:szCs w:val="22"/>
        </w:rPr>
      </w:pPr>
      <w:r w:rsidRPr="006E1F29">
        <w:rPr>
          <w:rFonts w:eastAsia="Calibri"/>
          <w:szCs w:val="22"/>
        </w:rPr>
        <w:t>Recurrent funding for participating schools is calculated as set out in Part 3 of the Act, which provides for needs based funding (consisting of a base amount per student for a school plus loadings for educational disadvantage) and associated transitional arrangements.</w:t>
      </w:r>
    </w:p>
    <w:p w:rsidR="006E1F29" w:rsidRPr="006E1F29" w:rsidRDefault="006E1F29" w:rsidP="006E1F29">
      <w:pPr>
        <w:tabs>
          <w:tab w:val="num" w:pos="426"/>
        </w:tabs>
        <w:rPr>
          <w:rFonts w:eastAsia="Calibri"/>
          <w:szCs w:val="22"/>
        </w:rPr>
      </w:pPr>
    </w:p>
    <w:p w:rsidR="006E1F29" w:rsidRPr="006E1F29" w:rsidRDefault="006E1F29" w:rsidP="006E1F29">
      <w:pPr>
        <w:tabs>
          <w:tab w:val="num" w:pos="426"/>
        </w:tabs>
        <w:rPr>
          <w:rFonts w:eastAsia="Calibri"/>
          <w:szCs w:val="22"/>
        </w:rPr>
      </w:pPr>
      <w:r w:rsidRPr="006E1F29">
        <w:rPr>
          <w:rFonts w:eastAsia="Calibri"/>
          <w:szCs w:val="22"/>
        </w:rPr>
        <w:t xml:space="preserve">Recurrent funding amounts for non-participating schools are set out in Part 4 of the Act.  Essentially, Part 4 provides for the calculation of a total amount payable for all non-participating schools by multiplying the amount payable for non-participating schools in the previous year by an indexation factor determined by the Minister. These funding arrangements are consistent with the previous arrangements for Commonwealth funding of government schools under the </w:t>
      </w:r>
      <w:r w:rsidRPr="006E1F29">
        <w:rPr>
          <w:rFonts w:eastAsia="Calibri"/>
          <w:i/>
          <w:szCs w:val="22"/>
        </w:rPr>
        <w:t>Federal Financial Relations Act 2009</w:t>
      </w:r>
      <w:r w:rsidRPr="006E1F29">
        <w:rPr>
          <w:rFonts w:eastAsia="Calibri"/>
          <w:szCs w:val="22"/>
        </w:rPr>
        <w:t xml:space="preserve"> (</w:t>
      </w:r>
      <w:proofErr w:type="spellStart"/>
      <w:r w:rsidRPr="006E1F29">
        <w:rPr>
          <w:rFonts w:eastAsia="Calibri"/>
          <w:szCs w:val="22"/>
        </w:rPr>
        <w:t>FFR</w:t>
      </w:r>
      <w:proofErr w:type="spellEnd"/>
      <w:r w:rsidRPr="006E1F29">
        <w:rPr>
          <w:rFonts w:eastAsia="Calibri"/>
          <w:szCs w:val="22"/>
        </w:rPr>
        <w:t xml:space="preserve"> Act).</w:t>
      </w:r>
    </w:p>
    <w:p w:rsidR="006E1F29" w:rsidRPr="006E1F29" w:rsidRDefault="006E1F29" w:rsidP="006E1F29">
      <w:pPr>
        <w:tabs>
          <w:tab w:val="num" w:pos="426"/>
        </w:tabs>
        <w:rPr>
          <w:rFonts w:eastAsia="Calibri"/>
          <w:szCs w:val="22"/>
        </w:rPr>
      </w:pPr>
    </w:p>
    <w:p w:rsidR="006E1F29" w:rsidRPr="006E1F29" w:rsidRDefault="006E1F29" w:rsidP="006E1F29">
      <w:pPr>
        <w:spacing w:after="200" w:line="276" w:lineRule="auto"/>
        <w:rPr>
          <w:rFonts w:eastAsia="Calibri"/>
          <w:szCs w:val="22"/>
        </w:rPr>
      </w:pPr>
      <w:r w:rsidRPr="006E1F29">
        <w:rPr>
          <w:rFonts w:eastAsia="Calibri"/>
          <w:szCs w:val="22"/>
        </w:rPr>
        <w:t xml:space="preserve">The </w:t>
      </w:r>
      <w:r w:rsidRPr="006E1F29">
        <w:rPr>
          <w:rFonts w:eastAsia="Calibri"/>
          <w:i/>
        </w:rPr>
        <w:t>Australian Education (Financial Assistance for Non-participating States and Territories) Determination 2016</w:t>
      </w:r>
      <w:r w:rsidRPr="006E1F29">
        <w:rPr>
          <w:rFonts w:eastAsia="Calibri"/>
        </w:rPr>
        <w:t xml:space="preserve"> (Determination) is made under Part 4 of the Act, and</w:t>
      </w:r>
      <w:r w:rsidRPr="006E1F29">
        <w:rPr>
          <w:rFonts w:eastAsia="Calibri"/>
          <w:szCs w:val="22"/>
        </w:rPr>
        <w:t>:</w:t>
      </w:r>
    </w:p>
    <w:p w:rsidR="006E1F29" w:rsidRPr="006E1F29" w:rsidRDefault="006E1F29" w:rsidP="006E1F29">
      <w:pPr>
        <w:numPr>
          <w:ilvl w:val="0"/>
          <w:numId w:val="2"/>
        </w:numPr>
        <w:spacing w:after="200" w:line="276" w:lineRule="auto"/>
        <w:contextualSpacing/>
        <w:rPr>
          <w:rFonts w:eastAsia="Calibri"/>
          <w:szCs w:val="22"/>
        </w:rPr>
      </w:pPr>
      <w:r w:rsidRPr="006E1F29">
        <w:rPr>
          <w:rFonts w:eastAsia="Calibri"/>
          <w:szCs w:val="22"/>
        </w:rPr>
        <w:t>sets out the manner in which the total amount payable for 2014 for non-participating States and Territories under Part 4 of the Act is indexed to produce the total amount payable to non-participating States and Territories for non-participating schools for 2015 (section 4);</w:t>
      </w:r>
    </w:p>
    <w:p w:rsidR="006E1F29" w:rsidRPr="006E1F29" w:rsidRDefault="006E1F29" w:rsidP="006E1F29">
      <w:pPr>
        <w:numPr>
          <w:ilvl w:val="0"/>
          <w:numId w:val="2"/>
        </w:numPr>
        <w:spacing w:after="200" w:line="276" w:lineRule="auto"/>
        <w:contextualSpacing/>
        <w:rPr>
          <w:rFonts w:eastAsia="Calibri"/>
          <w:szCs w:val="22"/>
        </w:rPr>
      </w:pPr>
      <w:r w:rsidRPr="006E1F29">
        <w:rPr>
          <w:rFonts w:eastAsia="Calibri"/>
          <w:szCs w:val="22"/>
        </w:rPr>
        <w:t>sets out that total amount (section 5); and</w:t>
      </w:r>
    </w:p>
    <w:p w:rsidR="006E1F29" w:rsidRPr="006E1F29" w:rsidRDefault="006E1F29" w:rsidP="006E1F29">
      <w:pPr>
        <w:numPr>
          <w:ilvl w:val="0"/>
          <w:numId w:val="2"/>
        </w:numPr>
        <w:spacing w:after="200" w:line="276" w:lineRule="auto"/>
        <w:contextualSpacing/>
        <w:rPr>
          <w:rFonts w:eastAsia="Calibri"/>
          <w:szCs w:val="22"/>
        </w:rPr>
      </w:pPr>
      <w:proofErr w:type="gramStart"/>
      <w:r w:rsidRPr="006E1F29">
        <w:rPr>
          <w:rFonts w:eastAsia="Calibri"/>
          <w:szCs w:val="22"/>
        </w:rPr>
        <w:t>sets</w:t>
      </w:r>
      <w:proofErr w:type="gramEnd"/>
      <w:r w:rsidRPr="006E1F29">
        <w:rPr>
          <w:rFonts w:eastAsia="Calibri"/>
          <w:szCs w:val="22"/>
        </w:rPr>
        <w:t xml:space="preserve"> out how the total amount is split between the non-participating States and Territories (section 6).</w:t>
      </w:r>
    </w:p>
    <w:p w:rsidR="006E1F29" w:rsidRPr="006E1F29" w:rsidRDefault="006E1F29" w:rsidP="006E1F29">
      <w:pPr>
        <w:spacing w:after="200" w:line="276" w:lineRule="auto"/>
        <w:rPr>
          <w:rFonts w:eastAsia="Calibri"/>
          <w:szCs w:val="22"/>
        </w:rPr>
      </w:pPr>
      <w:r w:rsidRPr="006E1F29">
        <w:rPr>
          <w:rFonts w:eastAsia="Calibri"/>
          <w:szCs w:val="22"/>
        </w:rPr>
        <w:t>The Determination gives effect to the commitment by the Australian Government to pay Commonwealth schools funding to States and Territories on the same basis, irrespective of whether they are participating or non-participating under the Act. That is, the total amount payable to non-participating States and Territories for 2015, and the amount for each non-participating State and Territory, are the same as they would have been had the amounts be calculated under Part 3 of the Act (recurrent funding for participating schools).</w:t>
      </w:r>
    </w:p>
    <w:p w:rsidR="006E1F29" w:rsidRPr="006E1F29" w:rsidRDefault="006E1F29" w:rsidP="006E1F29">
      <w:pPr>
        <w:spacing w:line="276" w:lineRule="auto"/>
        <w:rPr>
          <w:rFonts w:eastAsia="Calibri"/>
          <w:b/>
        </w:rPr>
      </w:pPr>
      <w:r w:rsidRPr="006E1F29">
        <w:rPr>
          <w:rFonts w:eastAsia="Calibri"/>
          <w:b/>
        </w:rPr>
        <w:lastRenderedPageBreak/>
        <w:t>Human rights implications</w:t>
      </w:r>
    </w:p>
    <w:p w:rsidR="006E1F29" w:rsidRPr="006E1F29" w:rsidRDefault="006E1F29" w:rsidP="006E1F29">
      <w:pPr>
        <w:spacing w:line="276" w:lineRule="auto"/>
        <w:rPr>
          <w:rFonts w:eastAsia="Calibri"/>
          <w:b/>
        </w:rPr>
      </w:pPr>
    </w:p>
    <w:p w:rsidR="006E1F29" w:rsidRPr="006E1F29" w:rsidRDefault="006E1F29" w:rsidP="006E1F29">
      <w:pPr>
        <w:spacing w:line="276" w:lineRule="auto"/>
        <w:rPr>
          <w:rFonts w:eastAsia="Calibri"/>
        </w:rPr>
      </w:pPr>
      <w:r w:rsidRPr="006E1F29">
        <w:rPr>
          <w:rFonts w:eastAsia="Calibri"/>
        </w:rPr>
        <w:t>The instrument engages the following human rights, which are discussed in more detail below:</w:t>
      </w:r>
    </w:p>
    <w:p w:rsidR="006E1F29" w:rsidRPr="006E1F29" w:rsidRDefault="006E1F29" w:rsidP="006E1F29">
      <w:pPr>
        <w:numPr>
          <w:ilvl w:val="0"/>
          <w:numId w:val="3"/>
        </w:numPr>
        <w:spacing w:after="200" w:line="276" w:lineRule="auto"/>
        <w:contextualSpacing/>
        <w:rPr>
          <w:rFonts w:eastAsia="Calibri"/>
        </w:rPr>
      </w:pPr>
      <w:r w:rsidRPr="006E1F29">
        <w:rPr>
          <w:rFonts w:eastAsia="Calibri"/>
        </w:rPr>
        <w:t>the right to education - Article 13 of the</w:t>
      </w:r>
      <w:r w:rsidRPr="006E1F29">
        <w:rPr>
          <w:rFonts w:eastAsia="Calibri"/>
          <w:i/>
        </w:rPr>
        <w:t xml:space="preserve"> International Covenant on Economic, Social and Cultural Rights</w:t>
      </w:r>
      <w:r w:rsidRPr="006E1F29">
        <w:rPr>
          <w:rFonts w:eastAsia="Calibri"/>
        </w:rPr>
        <w:t xml:space="preserve"> (</w:t>
      </w:r>
      <w:proofErr w:type="spellStart"/>
      <w:r w:rsidRPr="006E1F29">
        <w:rPr>
          <w:rFonts w:eastAsia="Calibri"/>
          <w:b/>
        </w:rPr>
        <w:t>ICESCR</w:t>
      </w:r>
      <w:proofErr w:type="spellEnd"/>
      <w:r w:rsidRPr="006E1F29">
        <w:rPr>
          <w:rFonts w:eastAsia="Calibri"/>
        </w:rPr>
        <w:t>);</w:t>
      </w:r>
    </w:p>
    <w:p w:rsidR="006E1F29" w:rsidRPr="006E1F29" w:rsidRDefault="006E1F29" w:rsidP="006E1F29">
      <w:pPr>
        <w:numPr>
          <w:ilvl w:val="0"/>
          <w:numId w:val="3"/>
        </w:numPr>
        <w:spacing w:after="200" w:line="276" w:lineRule="auto"/>
        <w:contextualSpacing/>
        <w:rPr>
          <w:rFonts w:eastAsia="Calibri"/>
        </w:rPr>
      </w:pPr>
      <w:r w:rsidRPr="006E1F29">
        <w:rPr>
          <w:rFonts w:eastAsia="Calibri"/>
        </w:rPr>
        <w:t xml:space="preserve">the right to education of school aged children with disability under Article 24 of the </w:t>
      </w:r>
      <w:r w:rsidRPr="006E1F29">
        <w:rPr>
          <w:rFonts w:eastAsia="Calibri"/>
          <w:i/>
        </w:rPr>
        <w:t>United Nations Convention on the Rights of Persons with Disability</w:t>
      </w:r>
      <w:r w:rsidRPr="006E1F29">
        <w:rPr>
          <w:rFonts w:eastAsia="Calibri"/>
        </w:rPr>
        <w:t xml:space="preserve"> (</w:t>
      </w:r>
      <w:proofErr w:type="spellStart"/>
      <w:r w:rsidRPr="006E1F29">
        <w:rPr>
          <w:rFonts w:eastAsia="Calibri"/>
          <w:b/>
        </w:rPr>
        <w:t>UNCRPD</w:t>
      </w:r>
      <w:proofErr w:type="spellEnd"/>
      <w:r w:rsidRPr="006E1F29">
        <w:rPr>
          <w:rFonts w:eastAsia="Calibri"/>
        </w:rPr>
        <w:t>); and</w:t>
      </w:r>
    </w:p>
    <w:p w:rsidR="006E1F29" w:rsidRPr="006E1F29" w:rsidRDefault="006E1F29" w:rsidP="006E1F29">
      <w:pPr>
        <w:numPr>
          <w:ilvl w:val="0"/>
          <w:numId w:val="3"/>
        </w:numPr>
        <w:spacing w:after="200" w:line="276" w:lineRule="auto"/>
        <w:contextualSpacing/>
        <w:rPr>
          <w:rFonts w:eastAsia="Calibri"/>
        </w:rPr>
      </w:pPr>
      <w:r w:rsidRPr="006E1F29">
        <w:rPr>
          <w:rFonts w:eastAsia="Calibri"/>
        </w:rPr>
        <w:t xml:space="preserve">the right to equality and non-discrimination in, amongst other international human rights treaties, Articles 2 and 26 of the </w:t>
      </w:r>
      <w:r w:rsidRPr="006E1F29">
        <w:rPr>
          <w:rFonts w:eastAsia="Calibri"/>
          <w:i/>
        </w:rPr>
        <w:t>International Covenant on Civil and Political Rights</w:t>
      </w:r>
      <w:r w:rsidRPr="006E1F29">
        <w:rPr>
          <w:rFonts w:eastAsia="Calibri"/>
        </w:rPr>
        <w:t xml:space="preserve"> (</w:t>
      </w:r>
      <w:proofErr w:type="spellStart"/>
      <w:r w:rsidRPr="006E1F29">
        <w:rPr>
          <w:rFonts w:eastAsia="Calibri"/>
          <w:b/>
        </w:rPr>
        <w:t>ICCPR</w:t>
      </w:r>
      <w:proofErr w:type="spellEnd"/>
      <w:r w:rsidRPr="006E1F29">
        <w:rPr>
          <w:rFonts w:eastAsia="Calibri"/>
        </w:rPr>
        <w:t xml:space="preserve">), Article 2(2) of the </w:t>
      </w:r>
      <w:proofErr w:type="spellStart"/>
      <w:r w:rsidRPr="006E1F29">
        <w:rPr>
          <w:rFonts w:eastAsia="Calibri"/>
        </w:rPr>
        <w:t>ICESCR</w:t>
      </w:r>
      <w:proofErr w:type="spellEnd"/>
      <w:r w:rsidRPr="006E1F29">
        <w:rPr>
          <w:rFonts w:eastAsia="Calibri"/>
        </w:rPr>
        <w:t xml:space="preserve"> and Article 2 on the </w:t>
      </w:r>
      <w:r w:rsidRPr="006E1F29">
        <w:rPr>
          <w:rFonts w:eastAsia="Calibri"/>
          <w:i/>
        </w:rPr>
        <w:t>Convention on the Rights of the Child</w:t>
      </w:r>
      <w:r w:rsidRPr="006E1F29">
        <w:rPr>
          <w:rFonts w:eastAsia="Calibri"/>
        </w:rPr>
        <w:t xml:space="preserve"> (</w:t>
      </w:r>
      <w:r w:rsidRPr="006E1F29">
        <w:rPr>
          <w:rFonts w:eastAsia="Calibri"/>
          <w:b/>
        </w:rPr>
        <w:t>CRC</w:t>
      </w:r>
      <w:r w:rsidRPr="006E1F29">
        <w:rPr>
          <w:rFonts w:eastAsia="Calibri"/>
        </w:rPr>
        <w:t>).</w:t>
      </w:r>
    </w:p>
    <w:p w:rsidR="006E1F29" w:rsidRPr="006E1F29" w:rsidRDefault="006E1F29" w:rsidP="006E1F29">
      <w:pPr>
        <w:spacing w:line="276" w:lineRule="auto"/>
        <w:rPr>
          <w:rFonts w:eastAsia="Calibri"/>
        </w:rPr>
      </w:pPr>
    </w:p>
    <w:p w:rsidR="006E1F29" w:rsidRPr="006E1F29" w:rsidRDefault="006E1F29" w:rsidP="006E1F29">
      <w:pPr>
        <w:spacing w:line="276" w:lineRule="auto"/>
        <w:rPr>
          <w:rFonts w:eastAsia="Calibri"/>
          <w:i/>
        </w:rPr>
      </w:pPr>
      <w:r w:rsidRPr="006E1F29">
        <w:rPr>
          <w:rFonts w:eastAsia="Calibri"/>
          <w:i/>
        </w:rPr>
        <w:t>Right to Education</w:t>
      </w:r>
    </w:p>
    <w:p w:rsidR="006E1F29" w:rsidRPr="006E1F29" w:rsidRDefault="006E1F29" w:rsidP="006E1F29">
      <w:pPr>
        <w:spacing w:line="276" w:lineRule="auto"/>
        <w:rPr>
          <w:rFonts w:eastAsia="Calibri"/>
          <w:i/>
        </w:rPr>
      </w:pPr>
    </w:p>
    <w:p w:rsidR="006E1F29" w:rsidRPr="006E1F29" w:rsidRDefault="006E1F29" w:rsidP="006E1F29">
      <w:pPr>
        <w:spacing w:line="276" w:lineRule="auto"/>
        <w:rPr>
          <w:rFonts w:eastAsia="Calibri"/>
        </w:rPr>
      </w:pPr>
      <w:r w:rsidRPr="006E1F29">
        <w:rPr>
          <w:rFonts w:eastAsia="Calibri"/>
        </w:rPr>
        <w:t xml:space="preserve">The instrument engages the right to education, set out in Article 13 of the </w:t>
      </w:r>
      <w:proofErr w:type="spellStart"/>
      <w:r w:rsidRPr="006E1F29">
        <w:rPr>
          <w:rFonts w:eastAsia="Calibri"/>
        </w:rPr>
        <w:t>ICESCR</w:t>
      </w:r>
      <w:proofErr w:type="spellEnd"/>
      <w:r w:rsidRPr="006E1F29">
        <w:rPr>
          <w:rFonts w:eastAsia="Calibri"/>
        </w:rPr>
        <w:t xml:space="preserve"> and the rights to education of school</w:t>
      </w:r>
      <w:r w:rsidRPr="006E1F29">
        <w:rPr>
          <w:rFonts w:eastAsia="Calibri"/>
        </w:rPr>
        <w:noBreakHyphen/>
        <w:t xml:space="preserve">aged children with disability set out in Article 24 of the </w:t>
      </w:r>
      <w:proofErr w:type="spellStart"/>
      <w:r w:rsidRPr="006E1F29">
        <w:rPr>
          <w:rFonts w:eastAsia="Calibri"/>
        </w:rPr>
        <w:t>UNCRPD</w:t>
      </w:r>
      <w:proofErr w:type="spellEnd"/>
      <w:r w:rsidRPr="006E1F29">
        <w:rPr>
          <w:rFonts w:eastAsia="Calibri"/>
        </w:rPr>
        <w:t xml:space="preserve">. The right to education recognises the important personal, societal, economic and intellectual benefits of education. It requires education be available, safe, and appropriately resourced, dependent on the needs of the child. The rights of school-aged children with disability recognises that children with disability should not be excluded from quality, free primary and secondary education on the basis of disability, that they can access such education on an equal basis with others in the community in which they live and that they </w:t>
      </w:r>
      <w:r w:rsidRPr="006E1F29">
        <w:rPr>
          <w:rFonts w:eastAsia="Calibri"/>
          <w:szCs w:val="22"/>
        </w:rPr>
        <w:t>receive the support required, within the general education system, to facilitate their effective education</w:t>
      </w:r>
      <w:r w:rsidRPr="006E1F29">
        <w:rPr>
          <w:rFonts w:eastAsia="Calibri"/>
        </w:rPr>
        <w:t>.</w:t>
      </w:r>
    </w:p>
    <w:p w:rsidR="006E1F29" w:rsidRPr="006E1F29" w:rsidRDefault="006E1F29" w:rsidP="006E1F29">
      <w:pPr>
        <w:spacing w:line="276" w:lineRule="auto"/>
        <w:rPr>
          <w:rFonts w:eastAsia="Calibri"/>
        </w:rPr>
      </w:pPr>
    </w:p>
    <w:p w:rsidR="006E1F29" w:rsidRPr="006E1F29" w:rsidRDefault="006E1F29" w:rsidP="006E1F29">
      <w:pPr>
        <w:spacing w:line="276" w:lineRule="auto"/>
        <w:rPr>
          <w:rFonts w:eastAsia="Calibri"/>
        </w:rPr>
      </w:pPr>
      <w:r w:rsidRPr="006E1F29">
        <w:rPr>
          <w:rFonts w:eastAsia="Calibri"/>
        </w:rPr>
        <w:t xml:space="preserve">This legislative instrument engages and promotes the right to education by providing recurrent school funding to non-participating States and Territories in accordance with the Act. This instrument facilitates the targeting of resourcing to schools to assist them in providing appropriately resourced education to all school-aged students. </w:t>
      </w:r>
    </w:p>
    <w:p w:rsidR="006E1F29" w:rsidRPr="006E1F29" w:rsidRDefault="006E1F29" w:rsidP="006E1F29">
      <w:pPr>
        <w:rPr>
          <w:rFonts w:eastAsia="Calibri"/>
        </w:rPr>
      </w:pPr>
    </w:p>
    <w:p w:rsidR="006E1F29" w:rsidRPr="006E1F29" w:rsidRDefault="006E1F29" w:rsidP="006E1F29">
      <w:pPr>
        <w:rPr>
          <w:rFonts w:eastAsia="Calibri"/>
        </w:rPr>
      </w:pPr>
      <w:r w:rsidRPr="006E1F29">
        <w:rPr>
          <w:rFonts w:eastAsia="Calibri"/>
        </w:rPr>
        <w:t xml:space="preserve">This legislative instrument is compatible with the right to education. </w:t>
      </w:r>
    </w:p>
    <w:p w:rsidR="006E1F29" w:rsidRPr="006E1F29" w:rsidRDefault="006E1F29" w:rsidP="006E1F29">
      <w:pPr>
        <w:spacing w:line="276" w:lineRule="auto"/>
        <w:rPr>
          <w:rFonts w:eastAsia="Calibri"/>
          <w:i/>
        </w:rPr>
      </w:pPr>
    </w:p>
    <w:p w:rsidR="006E1F29" w:rsidRPr="006E1F29" w:rsidRDefault="006E1F29" w:rsidP="006E1F29">
      <w:pPr>
        <w:keepNext/>
        <w:spacing w:line="276" w:lineRule="auto"/>
        <w:rPr>
          <w:rFonts w:eastAsia="Calibri"/>
          <w:i/>
        </w:rPr>
      </w:pPr>
      <w:r w:rsidRPr="006E1F29">
        <w:rPr>
          <w:rFonts w:eastAsia="Calibri"/>
          <w:i/>
        </w:rPr>
        <w:t>Right to Equality and Non-Discrimination</w:t>
      </w:r>
    </w:p>
    <w:p w:rsidR="006E1F29" w:rsidRPr="006E1F29" w:rsidRDefault="006E1F29" w:rsidP="006E1F29">
      <w:pPr>
        <w:keepNext/>
        <w:spacing w:line="276" w:lineRule="auto"/>
        <w:rPr>
          <w:rFonts w:eastAsia="Calibri"/>
          <w:i/>
        </w:rPr>
      </w:pPr>
    </w:p>
    <w:p w:rsidR="006E1F29" w:rsidRPr="006E1F29" w:rsidRDefault="006E1F29" w:rsidP="006E1F29">
      <w:pPr>
        <w:keepNext/>
        <w:spacing w:line="276" w:lineRule="auto"/>
      </w:pPr>
      <w:r w:rsidRPr="006E1F29">
        <w:t xml:space="preserve">The instrument engages the right to equality and non-discrimination which is found throughout the international human rights treaties, including Articles 2 and 26 of the </w:t>
      </w:r>
      <w:proofErr w:type="spellStart"/>
      <w:r w:rsidRPr="006E1F29">
        <w:t>ICCPR</w:t>
      </w:r>
      <w:proofErr w:type="spellEnd"/>
      <w:r w:rsidRPr="006E1F29">
        <w:t xml:space="preserve">, Article 2(2) of the </w:t>
      </w:r>
      <w:proofErr w:type="spellStart"/>
      <w:r w:rsidRPr="006E1F29">
        <w:t>ICESCR</w:t>
      </w:r>
      <w:proofErr w:type="spellEnd"/>
      <w:r w:rsidRPr="006E1F29">
        <w:t xml:space="preserve"> and Article 2 of the CRC. The right to equality and non-discrimination confirms that all people are equal and deserving of the same respect. It recognises that people may need to be treated differently in order to achieve equality, for example, by targeting disadvantage.</w:t>
      </w:r>
    </w:p>
    <w:p w:rsidR="006E1F29" w:rsidRPr="006E1F29" w:rsidRDefault="006E1F29" w:rsidP="006E1F29">
      <w:pPr>
        <w:spacing w:line="276" w:lineRule="auto"/>
      </w:pPr>
    </w:p>
    <w:p w:rsidR="006E1F29" w:rsidRPr="006E1F29" w:rsidRDefault="006E1F29" w:rsidP="006E1F29">
      <w:pPr>
        <w:spacing w:line="276" w:lineRule="auto"/>
        <w:rPr>
          <w:rFonts w:eastAsia="Calibri"/>
        </w:rPr>
      </w:pPr>
      <w:r w:rsidRPr="006E1F29">
        <w:t xml:space="preserve">This legislative instrument engages and promotes the right to equality and non-discrimination by qualifying schools in non-participating States and Territories to be eligible for funding in accordance with funding entitlements provided for in Part 3 of the Act. This enables comparable access to recurrent funding for non-participating States and Territories as </w:t>
      </w:r>
      <w:r w:rsidRPr="006E1F29">
        <w:lastRenderedPageBreak/>
        <w:t>participating States and Territories</w:t>
      </w:r>
      <w:r w:rsidRPr="006E1F29">
        <w:rPr>
          <w:rFonts w:eastAsia="Calibri"/>
        </w:rPr>
        <w:t xml:space="preserve">, thereby increasing equity in access for all school-aged children to school education. </w:t>
      </w:r>
    </w:p>
    <w:p w:rsidR="006E1F29" w:rsidRPr="006E1F29" w:rsidRDefault="006E1F29" w:rsidP="006E1F29">
      <w:pPr>
        <w:spacing w:line="276" w:lineRule="auto"/>
        <w:rPr>
          <w:rFonts w:eastAsia="Calibri"/>
        </w:rPr>
      </w:pPr>
    </w:p>
    <w:p w:rsidR="006E1F29" w:rsidRPr="006E1F29" w:rsidRDefault="006E1F29" w:rsidP="006E1F29">
      <w:pPr>
        <w:spacing w:line="276" w:lineRule="auto"/>
        <w:rPr>
          <w:rFonts w:eastAsia="Calibri"/>
        </w:rPr>
      </w:pPr>
      <w:r w:rsidRPr="006E1F29">
        <w:rPr>
          <w:rFonts w:eastAsia="Calibri"/>
        </w:rPr>
        <w:t>The legislative instrument is therefore compatible with the right to equality and non</w:t>
      </w:r>
      <w:r w:rsidRPr="006E1F29">
        <w:rPr>
          <w:rFonts w:eastAsia="Calibri"/>
        </w:rPr>
        <w:noBreakHyphen/>
        <w:t>discrimination.</w:t>
      </w:r>
    </w:p>
    <w:p w:rsidR="006E1F29" w:rsidRPr="006E1F29" w:rsidRDefault="006E1F29" w:rsidP="006E1F29">
      <w:pPr>
        <w:spacing w:line="276" w:lineRule="auto"/>
        <w:rPr>
          <w:rFonts w:eastAsia="Calibri"/>
        </w:rPr>
      </w:pPr>
    </w:p>
    <w:p w:rsidR="006E1F29" w:rsidRPr="006E1F29" w:rsidRDefault="006E1F29" w:rsidP="006E1F29">
      <w:pPr>
        <w:spacing w:line="276" w:lineRule="auto"/>
        <w:rPr>
          <w:rFonts w:eastAsia="Calibri"/>
          <w:b/>
        </w:rPr>
      </w:pPr>
      <w:r w:rsidRPr="006E1F29">
        <w:rPr>
          <w:rFonts w:eastAsia="Calibri"/>
          <w:b/>
        </w:rPr>
        <w:t>Conclusion</w:t>
      </w:r>
    </w:p>
    <w:p w:rsidR="006E1F29" w:rsidRPr="006E1F29" w:rsidRDefault="006E1F29" w:rsidP="006E1F29">
      <w:pPr>
        <w:spacing w:line="276" w:lineRule="auto"/>
        <w:rPr>
          <w:rFonts w:eastAsia="Calibri"/>
        </w:rPr>
      </w:pPr>
      <w:r w:rsidRPr="006E1F29">
        <w:rPr>
          <w:rFonts w:eastAsia="Calibri"/>
        </w:rPr>
        <w:t>This legislative instrument is compatible with human rights and specifically promotes the human rights to education, equality and non-discrimination.</w:t>
      </w:r>
    </w:p>
    <w:p w:rsidR="006E1F29" w:rsidRPr="006E1F29" w:rsidRDefault="006E1F29" w:rsidP="006E1F29">
      <w:pPr>
        <w:spacing w:line="276" w:lineRule="auto"/>
        <w:rPr>
          <w:rFonts w:eastAsia="Calibri"/>
          <w:b/>
        </w:rPr>
      </w:pPr>
    </w:p>
    <w:p w:rsidR="006E1F29" w:rsidRPr="006E1F29" w:rsidRDefault="006E1F29" w:rsidP="006E1F29">
      <w:pPr>
        <w:spacing w:line="276" w:lineRule="auto"/>
        <w:rPr>
          <w:rFonts w:eastAsia="Calibri"/>
          <w:b/>
        </w:rPr>
      </w:pPr>
    </w:p>
    <w:p w:rsidR="006E1F29" w:rsidRPr="006E1F29" w:rsidRDefault="006E1F29" w:rsidP="006E1F29">
      <w:pPr>
        <w:spacing w:line="276" w:lineRule="auto"/>
        <w:rPr>
          <w:rFonts w:eastAsia="Calibri"/>
          <w:b/>
        </w:rPr>
      </w:pPr>
      <w:r w:rsidRPr="006E1F29">
        <w:rPr>
          <w:rFonts w:eastAsia="Calibri"/>
          <w:b/>
        </w:rPr>
        <w:t>Simon Birmingham</w:t>
      </w:r>
    </w:p>
    <w:p w:rsidR="006E1F29" w:rsidRPr="006E1F29" w:rsidRDefault="006E1F29" w:rsidP="006E1F29">
      <w:pPr>
        <w:spacing w:line="276" w:lineRule="auto"/>
        <w:rPr>
          <w:szCs w:val="22"/>
          <w:lang w:eastAsia="en-US"/>
        </w:rPr>
      </w:pPr>
      <w:r w:rsidRPr="006E1F29">
        <w:rPr>
          <w:rFonts w:eastAsia="Calibri"/>
          <w:b/>
        </w:rPr>
        <w:t>Minister for Education and Training</w:t>
      </w:r>
    </w:p>
    <w:p w:rsidR="005459C7" w:rsidRDefault="005459C7"/>
    <w:sectPr w:rsidR="005459C7" w:rsidSect="00D80663">
      <w:headerReference w:type="default" r:id="rId8"/>
      <w:pgSz w:w="11906" w:h="16838"/>
      <w:pgMar w:top="520" w:right="1440" w:bottom="1440" w:left="144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F29" w:rsidRDefault="006E1F29" w:rsidP="006E1F29">
      <w:r>
        <w:separator/>
      </w:r>
    </w:p>
  </w:endnote>
  <w:endnote w:type="continuationSeparator" w:id="0">
    <w:p w:rsidR="006E1F29" w:rsidRDefault="006E1F29" w:rsidP="006E1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F29" w:rsidRDefault="006E1F29" w:rsidP="006E1F29">
      <w:r>
        <w:separator/>
      </w:r>
    </w:p>
  </w:footnote>
  <w:footnote w:type="continuationSeparator" w:id="0">
    <w:p w:rsidR="006E1F29" w:rsidRDefault="006E1F29" w:rsidP="006E1F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67E" w:rsidRPr="00D80663" w:rsidRDefault="00557664" w:rsidP="00D806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4F2CA9"/>
    <w:multiLevelType w:val="hybridMultilevel"/>
    <w:tmpl w:val="645CA66C"/>
    <w:lvl w:ilvl="0" w:tplc="678E0DD4">
      <w:start w:val="1"/>
      <w:numFmt w:val="decimal"/>
      <w:lvlText w:val="%1."/>
      <w:lvlJc w:val="left"/>
      <w:pPr>
        <w:ind w:left="720" w:hanging="360"/>
      </w:pPr>
    </w:lvl>
    <w:lvl w:ilvl="1" w:tplc="CC5456D0" w:tentative="1">
      <w:start w:val="1"/>
      <w:numFmt w:val="lowerLetter"/>
      <w:lvlText w:val="%2."/>
      <w:lvlJc w:val="left"/>
      <w:pPr>
        <w:ind w:left="1440" w:hanging="360"/>
      </w:pPr>
    </w:lvl>
    <w:lvl w:ilvl="2" w:tplc="D17CF7AC" w:tentative="1">
      <w:start w:val="1"/>
      <w:numFmt w:val="lowerRoman"/>
      <w:lvlText w:val="%3."/>
      <w:lvlJc w:val="right"/>
      <w:pPr>
        <w:ind w:left="2160" w:hanging="180"/>
      </w:pPr>
    </w:lvl>
    <w:lvl w:ilvl="3" w:tplc="352426A2" w:tentative="1">
      <w:start w:val="1"/>
      <w:numFmt w:val="decimal"/>
      <w:lvlText w:val="%4."/>
      <w:lvlJc w:val="left"/>
      <w:pPr>
        <w:ind w:left="2880" w:hanging="360"/>
      </w:pPr>
    </w:lvl>
    <w:lvl w:ilvl="4" w:tplc="653414B8" w:tentative="1">
      <w:start w:val="1"/>
      <w:numFmt w:val="lowerLetter"/>
      <w:lvlText w:val="%5."/>
      <w:lvlJc w:val="left"/>
      <w:pPr>
        <w:ind w:left="3600" w:hanging="360"/>
      </w:pPr>
    </w:lvl>
    <w:lvl w:ilvl="5" w:tplc="408CAE44" w:tentative="1">
      <w:start w:val="1"/>
      <w:numFmt w:val="lowerRoman"/>
      <w:lvlText w:val="%6."/>
      <w:lvlJc w:val="right"/>
      <w:pPr>
        <w:ind w:left="4320" w:hanging="180"/>
      </w:pPr>
    </w:lvl>
    <w:lvl w:ilvl="6" w:tplc="08F29EFE" w:tentative="1">
      <w:start w:val="1"/>
      <w:numFmt w:val="decimal"/>
      <w:lvlText w:val="%7."/>
      <w:lvlJc w:val="left"/>
      <w:pPr>
        <w:ind w:left="5040" w:hanging="360"/>
      </w:pPr>
    </w:lvl>
    <w:lvl w:ilvl="7" w:tplc="03C03980" w:tentative="1">
      <w:start w:val="1"/>
      <w:numFmt w:val="lowerLetter"/>
      <w:lvlText w:val="%8."/>
      <w:lvlJc w:val="left"/>
      <w:pPr>
        <w:ind w:left="5760" w:hanging="360"/>
      </w:pPr>
    </w:lvl>
    <w:lvl w:ilvl="8" w:tplc="6CF8FB36" w:tentative="1">
      <w:start w:val="1"/>
      <w:numFmt w:val="lowerRoman"/>
      <w:lvlText w:val="%9."/>
      <w:lvlJc w:val="right"/>
      <w:pPr>
        <w:ind w:left="6480" w:hanging="180"/>
      </w:pPr>
    </w:lvl>
  </w:abstractNum>
  <w:abstractNum w:abstractNumId="1">
    <w:nsid w:val="47996960"/>
    <w:multiLevelType w:val="hybridMultilevel"/>
    <w:tmpl w:val="9E70C326"/>
    <w:lvl w:ilvl="0" w:tplc="CF8E1976">
      <w:start w:val="1"/>
      <w:numFmt w:val="bullet"/>
      <w:lvlText w:val=""/>
      <w:lvlJc w:val="left"/>
      <w:pPr>
        <w:ind w:left="720" w:hanging="360"/>
      </w:pPr>
      <w:rPr>
        <w:rFonts w:ascii="Symbol" w:hAnsi="Symbol" w:hint="default"/>
      </w:rPr>
    </w:lvl>
    <w:lvl w:ilvl="1" w:tplc="27AC6200" w:tentative="1">
      <w:start w:val="1"/>
      <w:numFmt w:val="bullet"/>
      <w:lvlText w:val="o"/>
      <w:lvlJc w:val="left"/>
      <w:pPr>
        <w:ind w:left="1440" w:hanging="360"/>
      </w:pPr>
      <w:rPr>
        <w:rFonts w:ascii="Courier New" w:hAnsi="Courier New" w:cs="Courier New" w:hint="default"/>
      </w:rPr>
    </w:lvl>
    <w:lvl w:ilvl="2" w:tplc="37C257D6" w:tentative="1">
      <w:start w:val="1"/>
      <w:numFmt w:val="bullet"/>
      <w:lvlText w:val=""/>
      <w:lvlJc w:val="left"/>
      <w:pPr>
        <w:ind w:left="2160" w:hanging="360"/>
      </w:pPr>
      <w:rPr>
        <w:rFonts w:ascii="Wingdings" w:hAnsi="Wingdings" w:hint="default"/>
      </w:rPr>
    </w:lvl>
    <w:lvl w:ilvl="3" w:tplc="0B38A8B0" w:tentative="1">
      <w:start w:val="1"/>
      <w:numFmt w:val="bullet"/>
      <w:lvlText w:val=""/>
      <w:lvlJc w:val="left"/>
      <w:pPr>
        <w:ind w:left="2880" w:hanging="360"/>
      </w:pPr>
      <w:rPr>
        <w:rFonts w:ascii="Symbol" w:hAnsi="Symbol" w:hint="default"/>
      </w:rPr>
    </w:lvl>
    <w:lvl w:ilvl="4" w:tplc="E7008530" w:tentative="1">
      <w:start w:val="1"/>
      <w:numFmt w:val="bullet"/>
      <w:lvlText w:val="o"/>
      <w:lvlJc w:val="left"/>
      <w:pPr>
        <w:ind w:left="3600" w:hanging="360"/>
      </w:pPr>
      <w:rPr>
        <w:rFonts w:ascii="Courier New" w:hAnsi="Courier New" w:cs="Courier New" w:hint="default"/>
      </w:rPr>
    </w:lvl>
    <w:lvl w:ilvl="5" w:tplc="EBA23AE8" w:tentative="1">
      <w:start w:val="1"/>
      <w:numFmt w:val="bullet"/>
      <w:lvlText w:val=""/>
      <w:lvlJc w:val="left"/>
      <w:pPr>
        <w:ind w:left="4320" w:hanging="360"/>
      </w:pPr>
      <w:rPr>
        <w:rFonts w:ascii="Wingdings" w:hAnsi="Wingdings" w:hint="default"/>
      </w:rPr>
    </w:lvl>
    <w:lvl w:ilvl="6" w:tplc="303E2526" w:tentative="1">
      <w:start w:val="1"/>
      <w:numFmt w:val="bullet"/>
      <w:lvlText w:val=""/>
      <w:lvlJc w:val="left"/>
      <w:pPr>
        <w:ind w:left="5040" w:hanging="360"/>
      </w:pPr>
      <w:rPr>
        <w:rFonts w:ascii="Symbol" w:hAnsi="Symbol" w:hint="default"/>
      </w:rPr>
    </w:lvl>
    <w:lvl w:ilvl="7" w:tplc="87EA908A" w:tentative="1">
      <w:start w:val="1"/>
      <w:numFmt w:val="bullet"/>
      <w:lvlText w:val="o"/>
      <w:lvlJc w:val="left"/>
      <w:pPr>
        <w:ind w:left="5760" w:hanging="360"/>
      </w:pPr>
      <w:rPr>
        <w:rFonts w:ascii="Courier New" w:hAnsi="Courier New" w:cs="Courier New" w:hint="default"/>
      </w:rPr>
    </w:lvl>
    <w:lvl w:ilvl="8" w:tplc="8C0AE4E4" w:tentative="1">
      <w:start w:val="1"/>
      <w:numFmt w:val="bullet"/>
      <w:lvlText w:val=""/>
      <w:lvlJc w:val="left"/>
      <w:pPr>
        <w:ind w:left="6480" w:hanging="360"/>
      </w:pPr>
      <w:rPr>
        <w:rFonts w:ascii="Wingdings" w:hAnsi="Wingdings" w:hint="default"/>
      </w:rPr>
    </w:lvl>
  </w:abstractNum>
  <w:abstractNum w:abstractNumId="2">
    <w:nsid w:val="559B6984"/>
    <w:multiLevelType w:val="hybridMultilevel"/>
    <w:tmpl w:val="645CA66C"/>
    <w:lvl w:ilvl="0" w:tplc="A53EAE44">
      <w:start w:val="1"/>
      <w:numFmt w:val="decimal"/>
      <w:lvlText w:val="%1."/>
      <w:lvlJc w:val="left"/>
      <w:pPr>
        <w:ind w:left="720" w:hanging="360"/>
      </w:pPr>
    </w:lvl>
    <w:lvl w:ilvl="1" w:tplc="0D0E4E28" w:tentative="1">
      <w:start w:val="1"/>
      <w:numFmt w:val="lowerLetter"/>
      <w:lvlText w:val="%2."/>
      <w:lvlJc w:val="left"/>
      <w:pPr>
        <w:ind w:left="1440" w:hanging="360"/>
      </w:pPr>
    </w:lvl>
    <w:lvl w:ilvl="2" w:tplc="B5D425C2" w:tentative="1">
      <w:start w:val="1"/>
      <w:numFmt w:val="lowerRoman"/>
      <w:lvlText w:val="%3."/>
      <w:lvlJc w:val="right"/>
      <w:pPr>
        <w:ind w:left="2160" w:hanging="180"/>
      </w:pPr>
    </w:lvl>
    <w:lvl w:ilvl="3" w:tplc="E65269C4" w:tentative="1">
      <w:start w:val="1"/>
      <w:numFmt w:val="decimal"/>
      <w:lvlText w:val="%4."/>
      <w:lvlJc w:val="left"/>
      <w:pPr>
        <w:ind w:left="2880" w:hanging="360"/>
      </w:pPr>
    </w:lvl>
    <w:lvl w:ilvl="4" w:tplc="FF063AF8" w:tentative="1">
      <w:start w:val="1"/>
      <w:numFmt w:val="lowerLetter"/>
      <w:lvlText w:val="%5."/>
      <w:lvlJc w:val="left"/>
      <w:pPr>
        <w:ind w:left="3600" w:hanging="360"/>
      </w:pPr>
    </w:lvl>
    <w:lvl w:ilvl="5" w:tplc="A9DCCEB0" w:tentative="1">
      <w:start w:val="1"/>
      <w:numFmt w:val="lowerRoman"/>
      <w:lvlText w:val="%6."/>
      <w:lvlJc w:val="right"/>
      <w:pPr>
        <w:ind w:left="4320" w:hanging="180"/>
      </w:pPr>
    </w:lvl>
    <w:lvl w:ilvl="6" w:tplc="BCE41F72" w:tentative="1">
      <w:start w:val="1"/>
      <w:numFmt w:val="decimal"/>
      <w:lvlText w:val="%7."/>
      <w:lvlJc w:val="left"/>
      <w:pPr>
        <w:ind w:left="5040" w:hanging="360"/>
      </w:pPr>
    </w:lvl>
    <w:lvl w:ilvl="7" w:tplc="D840A09E" w:tentative="1">
      <w:start w:val="1"/>
      <w:numFmt w:val="lowerLetter"/>
      <w:lvlText w:val="%8."/>
      <w:lvlJc w:val="left"/>
      <w:pPr>
        <w:ind w:left="5760" w:hanging="360"/>
      </w:pPr>
    </w:lvl>
    <w:lvl w:ilvl="8" w:tplc="7F767142"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F29"/>
    <w:rsid w:val="00000329"/>
    <w:rsid w:val="000014C9"/>
    <w:rsid w:val="00002757"/>
    <w:rsid w:val="00004AC6"/>
    <w:rsid w:val="00005572"/>
    <w:rsid w:val="00005EB7"/>
    <w:rsid w:val="000065ED"/>
    <w:rsid w:val="0000695D"/>
    <w:rsid w:val="00007088"/>
    <w:rsid w:val="000079D8"/>
    <w:rsid w:val="000115AD"/>
    <w:rsid w:val="00011A68"/>
    <w:rsid w:val="00012405"/>
    <w:rsid w:val="00015BC8"/>
    <w:rsid w:val="00015F43"/>
    <w:rsid w:val="000160D6"/>
    <w:rsid w:val="00020DEB"/>
    <w:rsid w:val="00020E94"/>
    <w:rsid w:val="00020F7F"/>
    <w:rsid w:val="00021B51"/>
    <w:rsid w:val="00022FBF"/>
    <w:rsid w:val="0002300B"/>
    <w:rsid w:val="000235AC"/>
    <w:rsid w:val="00023998"/>
    <w:rsid w:val="00025AAB"/>
    <w:rsid w:val="00025DB7"/>
    <w:rsid w:val="000260EB"/>
    <w:rsid w:val="000265C4"/>
    <w:rsid w:val="0002708D"/>
    <w:rsid w:val="00027A3B"/>
    <w:rsid w:val="00027C55"/>
    <w:rsid w:val="000309D5"/>
    <w:rsid w:val="00030B4A"/>
    <w:rsid w:val="00031B47"/>
    <w:rsid w:val="00032AC4"/>
    <w:rsid w:val="000332A6"/>
    <w:rsid w:val="000351C8"/>
    <w:rsid w:val="0003768C"/>
    <w:rsid w:val="00037E87"/>
    <w:rsid w:val="00040DDD"/>
    <w:rsid w:val="00040E98"/>
    <w:rsid w:val="0004197A"/>
    <w:rsid w:val="00042035"/>
    <w:rsid w:val="0004449C"/>
    <w:rsid w:val="000452FE"/>
    <w:rsid w:val="00045BA6"/>
    <w:rsid w:val="00045BDF"/>
    <w:rsid w:val="00047DFB"/>
    <w:rsid w:val="00050330"/>
    <w:rsid w:val="000517B3"/>
    <w:rsid w:val="000518CF"/>
    <w:rsid w:val="00052DDD"/>
    <w:rsid w:val="00055CB7"/>
    <w:rsid w:val="00056CF0"/>
    <w:rsid w:val="00057DFD"/>
    <w:rsid w:val="000607C9"/>
    <w:rsid w:val="00061477"/>
    <w:rsid w:val="000617EF"/>
    <w:rsid w:val="000675F1"/>
    <w:rsid w:val="0007008E"/>
    <w:rsid w:val="000714C9"/>
    <w:rsid w:val="00071D7C"/>
    <w:rsid w:val="00072423"/>
    <w:rsid w:val="00072704"/>
    <w:rsid w:val="0007304F"/>
    <w:rsid w:val="00073480"/>
    <w:rsid w:val="000736CC"/>
    <w:rsid w:val="000737F9"/>
    <w:rsid w:val="00073B29"/>
    <w:rsid w:val="00073CC9"/>
    <w:rsid w:val="000748D1"/>
    <w:rsid w:val="00076D68"/>
    <w:rsid w:val="00076F4E"/>
    <w:rsid w:val="00077481"/>
    <w:rsid w:val="00077FCA"/>
    <w:rsid w:val="00081B48"/>
    <w:rsid w:val="00082161"/>
    <w:rsid w:val="0008316A"/>
    <w:rsid w:val="000866D2"/>
    <w:rsid w:val="0008765C"/>
    <w:rsid w:val="00095C7E"/>
    <w:rsid w:val="000A0F20"/>
    <w:rsid w:val="000A1747"/>
    <w:rsid w:val="000A3512"/>
    <w:rsid w:val="000A50DB"/>
    <w:rsid w:val="000A5D03"/>
    <w:rsid w:val="000B001C"/>
    <w:rsid w:val="000B0737"/>
    <w:rsid w:val="000B1917"/>
    <w:rsid w:val="000B20D9"/>
    <w:rsid w:val="000B3D80"/>
    <w:rsid w:val="000B3EAE"/>
    <w:rsid w:val="000B5BC7"/>
    <w:rsid w:val="000B600B"/>
    <w:rsid w:val="000B72EC"/>
    <w:rsid w:val="000C0807"/>
    <w:rsid w:val="000C3164"/>
    <w:rsid w:val="000C34DB"/>
    <w:rsid w:val="000C36BE"/>
    <w:rsid w:val="000C3894"/>
    <w:rsid w:val="000C3A17"/>
    <w:rsid w:val="000C3C3F"/>
    <w:rsid w:val="000C40EE"/>
    <w:rsid w:val="000C4528"/>
    <w:rsid w:val="000C4AD5"/>
    <w:rsid w:val="000C5100"/>
    <w:rsid w:val="000C5388"/>
    <w:rsid w:val="000C54C3"/>
    <w:rsid w:val="000C54D0"/>
    <w:rsid w:val="000C551C"/>
    <w:rsid w:val="000C56A3"/>
    <w:rsid w:val="000C651F"/>
    <w:rsid w:val="000C6750"/>
    <w:rsid w:val="000C6B8C"/>
    <w:rsid w:val="000C7D9D"/>
    <w:rsid w:val="000D18BF"/>
    <w:rsid w:val="000D1B51"/>
    <w:rsid w:val="000D35FB"/>
    <w:rsid w:val="000D3B51"/>
    <w:rsid w:val="000D4EE9"/>
    <w:rsid w:val="000D4F1C"/>
    <w:rsid w:val="000D619C"/>
    <w:rsid w:val="000D6CF4"/>
    <w:rsid w:val="000E0124"/>
    <w:rsid w:val="000E0880"/>
    <w:rsid w:val="000E2866"/>
    <w:rsid w:val="000E3513"/>
    <w:rsid w:val="000E5EA7"/>
    <w:rsid w:val="000E628A"/>
    <w:rsid w:val="000F0BC1"/>
    <w:rsid w:val="000F25EE"/>
    <w:rsid w:val="000F415D"/>
    <w:rsid w:val="000F52C8"/>
    <w:rsid w:val="000F5679"/>
    <w:rsid w:val="000F70D9"/>
    <w:rsid w:val="00100848"/>
    <w:rsid w:val="00100F46"/>
    <w:rsid w:val="001010D4"/>
    <w:rsid w:val="00102467"/>
    <w:rsid w:val="00102C71"/>
    <w:rsid w:val="001043E0"/>
    <w:rsid w:val="00104446"/>
    <w:rsid w:val="00105099"/>
    <w:rsid w:val="001103A3"/>
    <w:rsid w:val="00111261"/>
    <w:rsid w:val="00112F54"/>
    <w:rsid w:val="00114C3A"/>
    <w:rsid w:val="001165FA"/>
    <w:rsid w:val="0011665A"/>
    <w:rsid w:val="0011679A"/>
    <w:rsid w:val="001172A4"/>
    <w:rsid w:val="00117538"/>
    <w:rsid w:val="00117C85"/>
    <w:rsid w:val="0012189B"/>
    <w:rsid w:val="00121D75"/>
    <w:rsid w:val="00122053"/>
    <w:rsid w:val="00122E7E"/>
    <w:rsid w:val="001237E1"/>
    <w:rsid w:val="001241FA"/>
    <w:rsid w:val="00124333"/>
    <w:rsid w:val="001243F2"/>
    <w:rsid w:val="00124BCF"/>
    <w:rsid w:val="001256B3"/>
    <w:rsid w:val="00125ADD"/>
    <w:rsid w:val="0012623E"/>
    <w:rsid w:val="00126245"/>
    <w:rsid w:val="001272D1"/>
    <w:rsid w:val="00132622"/>
    <w:rsid w:val="00133457"/>
    <w:rsid w:val="00134B2F"/>
    <w:rsid w:val="0013587D"/>
    <w:rsid w:val="00137B65"/>
    <w:rsid w:val="001444BF"/>
    <w:rsid w:val="00144D7F"/>
    <w:rsid w:val="001454B5"/>
    <w:rsid w:val="0014550A"/>
    <w:rsid w:val="00145E6B"/>
    <w:rsid w:val="001468FA"/>
    <w:rsid w:val="00151BA4"/>
    <w:rsid w:val="0015215E"/>
    <w:rsid w:val="001526AE"/>
    <w:rsid w:val="00152ED7"/>
    <w:rsid w:val="00153317"/>
    <w:rsid w:val="0015380E"/>
    <w:rsid w:val="00153FD5"/>
    <w:rsid w:val="00154B5D"/>
    <w:rsid w:val="001574BE"/>
    <w:rsid w:val="00157B3D"/>
    <w:rsid w:val="00160451"/>
    <w:rsid w:val="00160551"/>
    <w:rsid w:val="00161F45"/>
    <w:rsid w:val="00162223"/>
    <w:rsid w:val="00162352"/>
    <w:rsid w:val="001625A5"/>
    <w:rsid w:val="001636C3"/>
    <w:rsid w:val="0016389A"/>
    <w:rsid w:val="00163AD3"/>
    <w:rsid w:val="0016672E"/>
    <w:rsid w:val="00166771"/>
    <w:rsid w:val="00170558"/>
    <w:rsid w:val="00171E84"/>
    <w:rsid w:val="0017239B"/>
    <w:rsid w:val="001732EB"/>
    <w:rsid w:val="001768A1"/>
    <w:rsid w:val="001776D2"/>
    <w:rsid w:val="00177DEB"/>
    <w:rsid w:val="00180C93"/>
    <w:rsid w:val="00181AF5"/>
    <w:rsid w:val="00183280"/>
    <w:rsid w:val="00183EA5"/>
    <w:rsid w:val="00184D1D"/>
    <w:rsid w:val="00185647"/>
    <w:rsid w:val="00191CA4"/>
    <w:rsid w:val="00191EAD"/>
    <w:rsid w:val="00191F59"/>
    <w:rsid w:val="001923FE"/>
    <w:rsid w:val="0019285D"/>
    <w:rsid w:val="001967F1"/>
    <w:rsid w:val="00196CC2"/>
    <w:rsid w:val="00196F40"/>
    <w:rsid w:val="0019720E"/>
    <w:rsid w:val="001A1062"/>
    <w:rsid w:val="001A25FC"/>
    <w:rsid w:val="001A2680"/>
    <w:rsid w:val="001A604D"/>
    <w:rsid w:val="001A76ED"/>
    <w:rsid w:val="001B022F"/>
    <w:rsid w:val="001B060F"/>
    <w:rsid w:val="001B0A94"/>
    <w:rsid w:val="001B1417"/>
    <w:rsid w:val="001B16BD"/>
    <w:rsid w:val="001B19AC"/>
    <w:rsid w:val="001B21D4"/>
    <w:rsid w:val="001B2308"/>
    <w:rsid w:val="001B2E23"/>
    <w:rsid w:val="001B3445"/>
    <w:rsid w:val="001B36FA"/>
    <w:rsid w:val="001B38A8"/>
    <w:rsid w:val="001B39D8"/>
    <w:rsid w:val="001B447B"/>
    <w:rsid w:val="001B4993"/>
    <w:rsid w:val="001B558C"/>
    <w:rsid w:val="001B5A2C"/>
    <w:rsid w:val="001B60F1"/>
    <w:rsid w:val="001B6603"/>
    <w:rsid w:val="001B729E"/>
    <w:rsid w:val="001B7756"/>
    <w:rsid w:val="001C1534"/>
    <w:rsid w:val="001C174D"/>
    <w:rsid w:val="001C1E32"/>
    <w:rsid w:val="001C361B"/>
    <w:rsid w:val="001C4480"/>
    <w:rsid w:val="001C61D4"/>
    <w:rsid w:val="001C6F51"/>
    <w:rsid w:val="001D16D9"/>
    <w:rsid w:val="001D1A7B"/>
    <w:rsid w:val="001D2BF5"/>
    <w:rsid w:val="001D2D3D"/>
    <w:rsid w:val="001D3145"/>
    <w:rsid w:val="001D3D20"/>
    <w:rsid w:val="001D48A6"/>
    <w:rsid w:val="001D6985"/>
    <w:rsid w:val="001E023B"/>
    <w:rsid w:val="001E072D"/>
    <w:rsid w:val="001E08CE"/>
    <w:rsid w:val="001E0A2E"/>
    <w:rsid w:val="001E0EF7"/>
    <w:rsid w:val="001E11F2"/>
    <w:rsid w:val="001E26C6"/>
    <w:rsid w:val="001E2F10"/>
    <w:rsid w:val="001E2FDD"/>
    <w:rsid w:val="001E4593"/>
    <w:rsid w:val="001E4D23"/>
    <w:rsid w:val="001E65A5"/>
    <w:rsid w:val="001E7735"/>
    <w:rsid w:val="001F0738"/>
    <w:rsid w:val="001F2041"/>
    <w:rsid w:val="001F3DED"/>
    <w:rsid w:val="001F3F80"/>
    <w:rsid w:val="001F5B0B"/>
    <w:rsid w:val="001F61EB"/>
    <w:rsid w:val="002008FA"/>
    <w:rsid w:val="00200C7B"/>
    <w:rsid w:val="002010A2"/>
    <w:rsid w:val="00201699"/>
    <w:rsid w:val="00201FBE"/>
    <w:rsid w:val="0020241C"/>
    <w:rsid w:val="00202430"/>
    <w:rsid w:val="00202EAA"/>
    <w:rsid w:val="0020363C"/>
    <w:rsid w:val="00204835"/>
    <w:rsid w:val="00204E8E"/>
    <w:rsid w:val="00205B1F"/>
    <w:rsid w:val="00207F5F"/>
    <w:rsid w:val="00210977"/>
    <w:rsid w:val="002122AB"/>
    <w:rsid w:val="0021287A"/>
    <w:rsid w:val="00212B36"/>
    <w:rsid w:val="002145C2"/>
    <w:rsid w:val="00214DBD"/>
    <w:rsid w:val="002150DB"/>
    <w:rsid w:val="002160A6"/>
    <w:rsid w:val="002205BF"/>
    <w:rsid w:val="0022283E"/>
    <w:rsid w:val="00222910"/>
    <w:rsid w:val="002231DB"/>
    <w:rsid w:val="0022344D"/>
    <w:rsid w:val="00224C64"/>
    <w:rsid w:val="00224D6D"/>
    <w:rsid w:val="00224DF6"/>
    <w:rsid w:val="00225A76"/>
    <w:rsid w:val="002264FA"/>
    <w:rsid w:val="00231E9D"/>
    <w:rsid w:val="00232FDD"/>
    <w:rsid w:val="0023340A"/>
    <w:rsid w:val="002346C6"/>
    <w:rsid w:val="00235749"/>
    <w:rsid w:val="00237C90"/>
    <w:rsid w:val="00240086"/>
    <w:rsid w:val="002402BF"/>
    <w:rsid w:val="0024096D"/>
    <w:rsid w:val="002416A8"/>
    <w:rsid w:val="00244275"/>
    <w:rsid w:val="00245991"/>
    <w:rsid w:val="00246871"/>
    <w:rsid w:val="00247ACE"/>
    <w:rsid w:val="0025138D"/>
    <w:rsid w:val="00252A35"/>
    <w:rsid w:val="00253B5F"/>
    <w:rsid w:val="00254A2F"/>
    <w:rsid w:val="002552E5"/>
    <w:rsid w:val="0025540A"/>
    <w:rsid w:val="002615CC"/>
    <w:rsid w:val="002626DA"/>
    <w:rsid w:val="00263CA4"/>
    <w:rsid w:val="00264FB6"/>
    <w:rsid w:val="00265CC2"/>
    <w:rsid w:val="00267043"/>
    <w:rsid w:val="00271237"/>
    <w:rsid w:val="00271CEF"/>
    <w:rsid w:val="00273D58"/>
    <w:rsid w:val="00274BE0"/>
    <w:rsid w:val="00275BAF"/>
    <w:rsid w:val="002766B2"/>
    <w:rsid w:val="002768B2"/>
    <w:rsid w:val="0027794D"/>
    <w:rsid w:val="002806A1"/>
    <w:rsid w:val="002816EC"/>
    <w:rsid w:val="0028325C"/>
    <w:rsid w:val="0028372B"/>
    <w:rsid w:val="00284866"/>
    <w:rsid w:val="002860B6"/>
    <w:rsid w:val="00291587"/>
    <w:rsid w:val="0029210A"/>
    <w:rsid w:val="0029314E"/>
    <w:rsid w:val="002933A5"/>
    <w:rsid w:val="002936CD"/>
    <w:rsid w:val="002963A6"/>
    <w:rsid w:val="00296425"/>
    <w:rsid w:val="0029695C"/>
    <w:rsid w:val="0029758C"/>
    <w:rsid w:val="002A187E"/>
    <w:rsid w:val="002A2809"/>
    <w:rsid w:val="002A2A03"/>
    <w:rsid w:val="002A2F2B"/>
    <w:rsid w:val="002A5B2D"/>
    <w:rsid w:val="002A6637"/>
    <w:rsid w:val="002B087F"/>
    <w:rsid w:val="002B0EE6"/>
    <w:rsid w:val="002B2470"/>
    <w:rsid w:val="002B37EA"/>
    <w:rsid w:val="002B55A3"/>
    <w:rsid w:val="002B6226"/>
    <w:rsid w:val="002B6516"/>
    <w:rsid w:val="002B671F"/>
    <w:rsid w:val="002B69B6"/>
    <w:rsid w:val="002C0160"/>
    <w:rsid w:val="002C19B3"/>
    <w:rsid w:val="002C1B2C"/>
    <w:rsid w:val="002C2034"/>
    <w:rsid w:val="002C230F"/>
    <w:rsid w:val="002C276C"/>
    <w:rsid w:val="002C2DE6"/>
    <w:rsid w:val="002C398A"/>
    <w:rsid w:val="002C3AB1"/>
    <w:rsid w:val="002C42D7"/>
    <w:rsid w:val="002C5988"/>
    <w:rsid w:val="002C683A"/>
    <w:rsid w:val="002C6B64"/>
    <w:rsid w:val="002C6E88"/>
    <w:rsid w:val="002D02C8"/>
    <w:rsid w:val="002D14B2"/>
    <w:rsid w:val="002D31C6"/>
    <w:rsid w:val="002D45E3"/>
    <w:rsid w:val="002D4AEB"/>
    <w:rsid w:val="002D63C2"/>
    <w:rsid w:val="002E0F5F"/>
    <w:rsid w:val="002E300E"/>
    <w:rsid w:val="002E35D6"/>
    <w:rsid w:val="002E4D54"/>
    <w:rsid w:val="002E6A9F"/>
    <w:rsid w:val="002E7592"/>
    <w:rsid w:val="002E7D00"/>
    <w:rsid w:val="002F3A78"/>
    <w:rsid w:val="002F4341"/>
    <w:rsid w:val="002F452F"/>
    <w:rsid w:val="002F4E4C"/>
    <w:rsid w:val="002F6A8A"/>
    <w:rsid w:val="003001A9"/>
    <w:rsid w:val="00300A08"/>
    <w:rsid w:val="00300ACA"/>
    <w:rsid w:val="003013A7"/>
    <w:rsid w:val="0030199D"/>
    <w:rsid w:val="00301E91"/>
    <w:rsid w:val="00302E3A"/>
    <w:rsid w:val="00304786"/>
    <w:rsid w:val="00304EB3"/>
    <w:rsid w:val="003052C4"/>
    <w:rsid w:val="003060E1"/>
    <w:rsid w:val="0030682E"/>
    <w:rsid w:val="0030746F"/>
    <w:rsid w:val="00307DE7"/>
    <w:rsid w:val="00311666"/>
    <w:rsid w:val="00312CD4"/>
    <w:rsid w:val="003145A8"/>
    <w:rsid w:val="00315B62"/>
    <w:rsid w:val="00321284"/>
    <w:rsid w:val="0032130F"/>
    <w:rsid w:val="003222FD"/>
    <w:rsid w:val="00322C61"/>
    <w:rsid w:val="003240D3"/>
    <w:rsid w:val="00324C51"/>
    <w:rsid w:val="00324EFB"/>
    <w:rsid w:val="00325349"/>
    <w:rsid w:val="003266BB"/>
    <w:rsid w:val="00326D9B"/>
    <w:rsid w:val="003303D3"/>
    <w:rsid w:val="0033060C"/>
    <w:rsid w:val="003312D3"/>
    <w:rsid w:val="0033159F"/>
    <w:rsid w:val="00335FA6"/>
    <w:rsid w:val="003370B6"/>
    <w:rsid w:val="0033762A"/>
    <w:rsid w:val="00337959"/>
    <w:rsid w:val="00337D96"/>
    <w:rsid w:val="00337E8D"/>
    <w:rsid w:val="0034166C"/>
    <w:rsid w:val="00343415"/>
    <w:rsid w:val="003441E6"/>
    <w:rsid w:val="00344F9A"/>
    <w:rsid w:val="00345BCE"/>
    <w:rsid w:val="00346766"/>
    <w:rsid w:val="00347D96"/>
    <w:rsid w:val="00347DCE"/>
    <w:rsid w:val="0035032C"/>
    <w:rsid w:val="00350A30"/>
    <w:rsid w:val="00350BE9"/>
    <w:rsid w:val="00350FB9"/>
    <w:rsid w:val="00353B87"/>
    <w:rsid w:val="00354D4F"/>
    <w:rsid w:val="00356A91"/>
    <w:rsid w:val="00356CB4"/>
    <w:rsid w:val="00357621"/>
    <w:rsid w:val="0035783F"/>
    <w:rsid w:val="00361FCF"/>
    <w:rsid w:val="00362098"/>
    <w:rsid w:val="00362DDB"/>
    <w:rsid w:val="00364B09"/>
    <w:rsid w:val="00364C6F"/>
    <w:rsid w:val="003654E8"/>
    <w:rsid w:val="003671E9"/>
    <w:rsid w:val="003676B9"/>
    <w:rsid w:val="003679D2"/>
    <w:rsid w:val="00370321"/>
    <w:rsid w:val="003716A3"/>
    <w:rsid w:val="00371B0A"/>
    <w:rsid w:val="00372207"/>
    <w:rsid w:val="003728AF"/>
    <w:rsid w:val="003729E2"/>
    <w:rsid w:val="00372A67"/>
    <w:rsid w:val="003730A4"/>
    <w:rsid w:val="00373B2E"/>
    <w:rsid w:val="003757C0"/>
    <w:rsid w:val="003762A3"/>
    <w:rsid w:val="0037699D"/>
    <w:rsid w:val="003778CD"/>
    <w:rsid w:val="0038025E"/>
    <w:rsid w:val="00380C2A"/>
    <w:rsid w:val="003813EA"/>
    <w:rsid w:val="00381471"/>
    <w:rsid w:val="003818BA"/>
    <w:rsid w:val="00381B76"/>
    <w:rsid w:val="00382CF0"/>
    <w:rsid w:val="003846D8"/>
    <w:rsid w:val="00385DC5"/>
    <w:rsid w:val="003862D1"/>
    <w:rsid w:val="00386635"/>
    <w:rsid w:val="0039058E"/>
    <w:rsid w:val="00393C36"/>
    <w:rsid w:val="0039498A"/>
    <w:rsid w:val="00397EA9"/>
    <w:rsid w:val="003A064E"/>
    <w:rsid w:val="003A0A0F"/>
    <w:rsid w:val="003A0A6E"/>
    <w:rsid w:val="003A1FDB"/>
    <w:rsid w:val="003A3862"/>
    <w:rsid w:val="003A5780"/>
    <w:rsid w:val="003A582C"/>
    <w:rsid w:val="003A5BD5"/>
    <w:rsid w:val="003A6226"/>
    <w:rsid w:val="003A6335"/>
    <w:rsid w:val="003A6917"/>
    <w:rsid w:val="003A6C03"/>
    <w:rsid w:val="003A6C34"/>
    <w:rsid w:val="003B1547"/>
    <w:rsid w:val="003B274D"/>
    <w:rsid w:val="003B2AB4"/>
    <w:rsid w:val="003B2D3E"/>
    <w:rsid w:val="003B3605"/>
    <w:rsid w:val="003B4FA3"/>
    <w:rsid w:val="003B50EE"/>
    <w:rsid w:val="003B6541"/>
    <w:rsid w:val="003B6BF4"/>
    <w:rsid w:val="003B78EE"/>
    <w:rsid w:val="003C07EE"/>
    <w:rsid w:val="003C22B8"/>
    <w:rsid w:val="003C48FF"/>
    <w:rsid w:val="003C4EFA"/>
    <w:rsid w:val="003C55A6"/>
    <w:rsid w:val="003C67F9"/>
    <w:rsid w:val="003C6C1C"/>
    <w:rsid w:val="003C7069"/>
    <w:rsid w:val="003C7753"/>
    <w:rsid w:val="003C79F8"/>
    <w:rsid w:val="003D2F09"/>
    <w:rsid w:val="003D3160"/>
    <w:rsid w:val="003D3D55"/>
    <w:rsid w:val="003D3F9B"/>
    <w:rsid w:val="003D6BF2"/>
    <w:rsid w:val="003E1871"/>
    <w:rsid w:val="003E1C8E"/>
    <w:rsid w:val="003E2C6B"/>
    <w:rsid w:val="003E357B"/>
    <w:rsid w:val="003E4125"/>
    <w:rsid w:val="003E56BC"/>
    <w:rsid w:val="003E5AFF"/>
    <w:rsid w:val="003E63A1"/>
    <w:rsid w:val="003E7524"/>
    <w:rsid w:val="003E7AA5"/>
    <w:rsid w:val="003F0310"/>
    <w:rsid w:val="003F1213"/>
    <w:rsid w:val="003F5469"/>
    <w:rsid w:val="003F74F1"/>
    <w:rsid w:val="003F7647"/>
    <w:rsid w:val="004020CF"/>
    <w:rsid w:val="00402176"/>
    <w:rsid w:val="004022ED"/>
    <w:rsid w:val="00404B61"/>
    <w:rsid w:val="0040520C"/>
    <w:rsid w:val="00406001"/>
    <w:rsid w:val="004069CC"/>
    <w:rsid w:val="00411753"/>
    <w:rsid w:val="00411A30"/>
    <w:rsid w:val="00412ECC"/>
    <w:rsid w:val="0041451C"/>
    <w:rsid w:val="00415EB3"/>
    <w:rsid w:val="0041657E"/>
    <w:rsid w:val="0041665C"/>
    <w:rsid w:val="00420409"/>
    <w:rsid w:val="004204E5"/>
    <w:rsid w:val="004208EC"/>
    <w:rsid w:val="00421CE8"/>
    <w:rsid w:val="00421EF9"/>
    <w:rsid w:val="0042423E"/>
    <w:rsid w:val="004245B6"/>
    <w:rsid w:val="0042517B"/>
    <w:rsid w:val="0042600B"/>
    <w:rsid w:val="004266FB"/>
    <w:rsid w:val="004307F0"/>
    <w:rsid w:val="00430F53"/>
    <w:rsid w:val="004319A0"/>
    <w:rsid w:val="00431DE8"/>
    <w:rsid w:val="004326B1"/>
    <w:rsid w:val="004328F5"/>
    <w:rsid w:val="00433F5F"/>
    <w:rsid w:val="00433FE0"/>
    <w:rsid w:val="0044253D"/>
    <w:rsid w:val="00444D12"/>
    <w:rsid w:val="00444DD7"/>
    <w:rsid w:val="00444E4E"/>
    <w:rsid w:val="004450E0"/>
    <w:rsid w:val="00445F94"/>
    <w:rsid w:val="00446202"/>
    <w:rsid w:val="004474C0"/>
    <w:rsid w:val="00450F71"/>
    <w:rsid w:val="00451517"/>
    <w:rsid w:val="00452A7C"/>
    <w:rsid w:val="0045378C"/>
    <w:rsid w:val="00456135"/>
    <w:rsid w:val="00460219"/>
    <w:rsid w:val="00460981"/>
    <w:rsid w:val="00460EA4"/>
    <w:rsid w:val="00462126"/>
    <w:rsid w:val="004631F9"/>
    <w:rsid w:val="00464CD3"/>
    <w:rsid w:val="0046518F"/>
    <w:rsid w:val="00465465"/>
    <w:rsid w:val="004673A3"/>
    <w:rsid w:val="0047041C"/>
    <w:rsid w:val="004707B8"/>
    <w:rsid w:val="00473B68"/>
    <w:rsid w:val="00474973"/>
    <w:rsid w:val="00474A5B"/>
    <w:rsid w:val="00475762"/>
    <w:rsid w:val="004773D1"/>
    <w:rsid w:val="004775A3"/>
    <w:rsid w:val="004801DB"/>
    <w:rsid w:val="00480492"/>
    <w:rsid w:val="004810D1"/>
    <w:rsid w:val="00483A0C"/>
    <w:rsid w:val="00485BF1"/>
    <w:rsid w:val="004869FC"/>
    <w:rsid w:val="00486F0E"/>
    <w:rsid w:val="0048753F"/>
    <w:rsid w:val="00487A3C"/>
    <w:rsid w:val="00491961"/>
    <w:rsid w:val="00491C8C"/>
    <w:rsid w:val="00494C8B"/>
    <w:rsid w:val="004A0CB7"/>
    <w:rsid w:val="004A0FBD"/>
    <w:rsid w:val="004A35DC"/>
    <w:rsid w:val="004A3D20"/>
    <w:rsid w:val="004A4285"/>
    <w:rsid w:val="004A4709"/>
    <w:rsid w:val="004A4AA4"/>
    <w:rsid w:val="004A4C6C"/>
    <w:rsid w:val="004A56A2"/>
    <w:rsid w:val="004A5C33"/>
    <w:rsid w:val="004A6119"/>
    <w:rsid w:val="004A6801"/>
    <w:rsid w:val="004B0804"/>
    <w:rsid w:val="004B10D7"/>
    <w:rsid w:val="004B200A"/>
    <w:rsid w:val="004B2508"/>
    <w:rsid w:val="004B35D0"/>
    <w:rsid w:val="004B36E1"/>
    <w:rsid w:val="004B4942"/>
    <w:rsid w:val="004B693C"/>
    <w:rsid w:val="004C041C"/>
    <w:rsid w:val="004C1F34"/>
    <w:rsid w:val="004C2A3F"/>
    <w:rsid w:val="004C3C3B"/>
    <w:rsid w:val="004C3E26"/>
    <w:rsid w:val="004C3F61"/>
    <w:rsid w:val="004C406D"/>
    <w:rsid w:val="004C4B6C"/>
    <w:rsid w:val="004C6886"/>
    <w:rsid w:val="004C7B4B"/>
    <w:rsid w:val="004D1349"/>
    <w:rsid w:val="004D1A6E"/>
    <w:rsid w:val="004D1BF1"/>
    <w:rsid w:val="004D2396"/>
    <w:rsid w:val="004D2C0A"/>
    <w:rsid w:val="004D3A98"/>
    <w:rsid w:val="004D48AD"/>
    <w:rsid w:val="004D534E"/>
    <w:rsid w:val="004D5772"/>
    <w:rsid w:val="004E04FF"/>
    <w:rsid w:val="004E0BDB"/>
    <w:rsid w:val="004E1126"/>
    <w:rsid w:val="004E2817"/>
    <w:rsid w:val="004E39AF"/>
    <w:rsid w:val="004E3F91"/>
    <w:rsid w:val="004E4248"/>
    <w:rsid w:val="004E5ED9"/>
    <w:rsid w:val="004E6A77"/>
    <w:rsid w:val="004E750B"/>
    <w:rsid w:val="004E76F5"/>
    <w:rsid w:val="004F0B03"/>
    <w:rsid w:val="004F0E7E"/>
    <w:rsid w:val="004F11CB"/>
    <w:rsid w:val="004F195C"/>
    <w:rsid w:val="004F2E16"/>
    <w:rsid w:val="004F37CC"/>
    <w:rsid w:val="004F63F0"/>
    <w:rsid w:val="004F7922"/>
    <w:rsid w:val="005021C5"/>
    <w:rsid w:val="00502200"/>
    <w:rsid w:val="00502491"/>
    <w:rsid w:val="00503C7C"/>
    <w:rsid w:val="00503CC4"/>
    <w:rsid w:val="005053BA"/>
    <w:rsid w:val="00505BD7"/>
    <w:rsid w:val="0050707E"/>
    <w:rsid w:val="005109E7"/>
    <w:rsid w:val="00512466"/>
    <w:rsid w:val="00512B6F"/>
    <w:rsid w:val="00512C1C"/>
    <w:rsid w:val="005146F4"/>
    <w:rsid w:val="00514885"/>
    <w:rsid w:val="00514B05"/>
    <w:rsid w:val="0051658F"/>
    <w:rsid w:val="00516D7D"/>
    <w:rsid w:val="00517451"/>
    <w:rsid w:val="005176CD"/>
    <w:rsid w:val="00522795"/>
    <w:rsid w:val="0052390E"/>
    <w:rsid w:val="00525326"/>
    <w:rsid w:val="005254F6"/>
    <w:rsid w:val="005258C8"/>
    <w:rsid w:val="00526562"/>
    <w:rsid w:val="00526B22"/>
    <w:rsid w:val="005323D1"/>
    <w:rsid w:val="005324A3"/>
    <w:rsid w:val="005327FF"/>
    <w:rsid w:val="00532D66"/>
    <w:rsid w:val="00534807"/>
    <w:rsid w:val="00536EBC"/>
    <w:rsid w:val="00537C1E"/>
    <w:rsid w:val="00537F97"/>
    <w:rsid w:val="005411EB"/>
    <w:rsid w:val="00541F5F"/>
    <w:rsid w:val="005422DA"/>
    <w:rsid w:val="00542B2E"/>
    <w:rsid w:val="00542D8A"/>
    <w:rsid w:val="0054333F"/>
    <w:rsid w:val="00543523"/>
    <w:rsid w:val="005435D2"/>
    <w:rsid w:val="00544956"/>
    <w:rsid w:val="00544B48"/>
    <w:rsid w:val="00545152"/>
    <w:rsid w:val="005459C7"/>
    <w:rsid w:val="00546275"/>
    <w:rsid w:val="00547508"/>
    <w:rsid w:val="00550868"/>
    <w:rsid w:val="005514C6"/>
    <w:rsid w:val="00551F82"/>
    <w:rsid w:val="005540DA"/>
    <w:rsid w:val="00554246"/>
    <w:rsid w:val="00555BCD"/>
    <w:rsid w:val="00557664"/>
    <w:rsid w:val="00557BC5"/>
    <w:rsid w:val="00562606"/>
    <w:rsid w:val="00563798"/>
    <w:rsid w:val="0056677C"/>
    <w:rsid w:val="0056694E"/>
    <w:rsid w:val="00566956"/>
    <w:rsid w:val="00567EBD"/>
    <w:rsid w:val="005703B5"/>
    <w:rsid w:val="00571313"/>
    <w:rsid w:val="00573446"/>
    <w:rsid w:val="00573E2E"/>
    <w:rsid w:val="00577A54"/>
    <w:rsid w:val="00581CFC"/>
    <w:rsid w:val="00582AE6"/>
    <w:rsid w:val="0058386F"/>
    <w:rsid w:val="00583AC4"/>
    <w:rsid w:val="00583CC6"/>
    <w:rsid w:val="00584A63"/>
    <w:rsid w:val="005855FA"/>
    <w:rsid w:val="00586908"/>
    <w:rsid w:val="00586F2B"/>
    <w:rsid w:val="005875C7"/>
    <w:rsid w:val="0058778D"/>
    <w:rsid w:val="00591BBE"/>
    <w:rsid w:val="00592014"/>
    <w:rsid w:val="0059337A"/>
    <w:rsid w:val="00593D62"/>
    <w:rsid w:val="00594CC1"/>
    <w:rsid w:val="005966DA"/>
    <w:rsid w:val="005A15B6"/>
    <w:rsid w:val="005A1C1F"/>
    <w:rsid w:val="005A2172"/>
    <w:rsid w:val="005A2C43"/>
    <w:rsid w:val="005A3A7C"/>
    <w:rsid w:val="005A3ED7"/>
    <w:rsid w:val="005B12D5"/>
    <w:rsid w:val="005B2B77"/>
    <w:rsid w:val="005B4EB8"/>
    <w:rsid w:val="005B51EE"/>
    <w:rsid w:val="005B5FC6"/>
    <w:rsid w:val="005B6894"/>
    <w:rsid w:val="005B6941"/>
    <w:rsid w:val="005B6A51"/>
    <w:rsid w:val="005B7DFB"/>
    <w:rsid w:val="005C21D0"/>
    <w:rsid w:val="005C2406"/>
    <w:rsid w:val="005C27C2"/>
    <w:rsid w:val="005C36D3"/>
    <w:rsid w:val="005C3945"/>
    <w:rsid w:val="005C3D91"/>
    <w:rsid w:val="005C4026"/>
    <w:rsid w:val="005C4606"/>
    <w:rsid w:val="005C4B85"/>
    <w:rsid w:val="005C693B"/>
    <w:rsid w:val="005D33CA"/>
    <w:rsid w:val="005D4277"/>
    <w:rsid w:val="005D62DD"/>
    <w:rsid w:val="005D64B9"/>
    <w:rsid w:val="005D6BFD"/>
    <w:rsid w:val="005D7494"/>
    <w:rsid w:val="005E00E4"/>
    <w:rsid w:val="005E168C"/>
    <w:rsid w:val="005E1759"/>
    <w:rsid w:val="005E24B3"/>
    <w:rsid w:val="005E24F1"/>
    <w:rsid w:val="005E37A5"/>
    <w:rsid w:val="005E4C77"/>
    <w:rsid w:val="005E5CDA"/>
    <w:rsid w:val="005E6E1C"/>
    <w:rsid w:val="005E6F8C"/>
    <w:rsid w:val="005F13A1"/>
    <w:rsid w:val="005F2055"/>
    <w:rsid w:val="005F2AB2"/>
    <w:rsid w:val="005F3B96"/>
    <w:rsid w:val="005F4B82"/>
    <w:rsid w:val="005F5D68"/>
    <w:rsid w:val="005F62CD"/>
    <w:rsid w:val="005F6A55"/>
    <w:rsid w:val="005F7071"/>
    <w:rsid w:val="005F724D"/>
    <w:rsid w:val="00600FB1"/>
    <w:rsid w:val="00602A69"/>
    <w:rsid w:val="0060307A"/>
    <w:rsid w:val="0060653E"/>
    <w:rsid w:val="00610093"/>
    <w:rsid w:val="00610201"/>
    <w:rsid w:val="0061259E"/>
    <w:rsid w:val="00612D74"/>
    <w:rsid w:val="006130AD"/>
    <w:rsid w:val="00613722"/>
    <w:rsid w:val="00613DBA"/>
    <w:rsid w:val="00614CA3"/>
    <w:rsid w:val="00617FD4"/>
    <w:rsid w:val="006216DD"/>
    <w:rsid w:val="0062253E"/>
    <w:rsid w:val="00623995"/>
    <w:rsid w:val="00624D9B"/>
    <w:rsid w:val="00625466"/>
    <w:rsid w:val="00625775"/>
    <w:rsid w:val="006261D3"/>
    <w:rsid w:val="00626238"/>
    <w:rsid w:val="006302E5"/>
    <w:rsid w:val="006309B5"/>
    <w:rsid w:val="00630C5C"/>
    <w:rsid w:val="0063344C"/>
    <w:rsid w:val="006341CE"/>
    <w:rsid w:val="00635154"/>
    <w:rsid w:val="00635CA8"/>
    <w:rsid w:val="0064177F"/>
    <w:rsid w:val="00641DB3"/>
    <w:rsid w:val="00641EC2"/>
    <w:rsid w:val="006422D9"/>
    <w:rsid w:val="006442A5"/>
    <w:rsid w:val="00644AA8"/>
    <w:rsid w:val="00644B7E"/>
    <w:rsid w:val="00645402"/>
    <w:rsid w:val="00646149"/>
    <w:rsid w:val="00646C5D"/>
    <w:rsid w:val="00646D1B"/>
    <w:rsid w:val="00647E32"/>
    <w:rsid w:val="00650D01"/>
    <w:rsid w:val="0065416C"/>
    <w:rsid w:val="00654983"/>
    <w:rsid w:val="00654D5F"/>
    <w:rsid w:val="00655577"/>
    <w:rsid w:val="00657377"/>
    <w:rsid w:val="00657674"/>
    <w:rsid w:val="00660755"/>
    <w:rsid w:val="00661102"/>
    <w:rsid w:val="00665041"/>
    <w:rsid w:val="0066547A"/>
    <w:rsid w:val="00665714"/>
    <w:rsid w:val="006660D9"/>
    <w:rsid w:val="00667786"/>
    <w:rsid w:val="0067551E"/>
    <w:rsid w:val="00676576"/>
    <w:rsid w:val="0067676E"/>
    <w:rsid w:val="006801E4"/>
    <w:rsid w:val="00680E73"/>
    <w:rsid w:val="00681283"/>
    <w:rsid w:val="006825A9"/>
    <w:rsid w:val="00682E4E"/>
    <w:rsid w:val="006843B1"/>
    <w:rsid w:val="00685204"/>
    <w:rsid w:val="00685CA6"/>
    <w:rsid w:val="00690E95"/>
    <w:rsid w:val="00690EAE"/>
    <w:rsid w:val="00691624"/>
    <w:rsid w:val="00691B01"/>
    <w:rsid w:val="00691C34"/>
    <w:rsid w:val="00693658"/>
    <w:rsid w:val="00696459"/>
    <w:rsid w:val="00696C49"/>
    <w:rsid w:val="00697341"/>
    <w:rsid w:val="00697AB4"/>
    <w:rsid w:val="006A0282"/>
    <w:rsid w:val="006A2144"/>
    <w:rsid w:val="006A23D1"/>
    <w:rsid w:val="006A26A7"/>
    <w:rsid w:val="006A3ECE"/>
    <w:rsid w:val="006A4389"/>
    <w:rsid w:val="006A4B99"/>
    <w:rsid w:val="006A636F"/>
    <w:rsid w:val="006A789F"/>
    <w:rsid w:val="006B1B81"/>
    <w:rsid w:val="006B227A"/>
    <w:rsid w:val="006B31D6"/>
    <w:rsid w:val="006B48C5"/>
    <w:rsid w:val="006B6C00"/>
    <w:rsid w:val="006C2E68"/>
    <w:rsid w:val="006C5839"/>
    <w:rsid w:val="006C59D3"/>
    <w:rsid w:val="006C5E13"/>
    <w:rsid w:val="006C63BD"/>
    <w:rsid w:val="006C6B06"/>
    <w:rsid w:val="006C6DE7"/>
    <w:rsid w:val="006D0FA0"/>
    <w:rsid w:val="006D137E"/>
    <w:rsid w:val="006D1B3F"/>
    <w:rsid w:val="006D289F"/>
    <w:rsid w:val="006D29DD"/>
    <w:rsid w:val="006D2A63"/>
    <w:rsid w:val="006D414E"/>
    <w:rsid w:val="006D5786"/>
    <w:rsid w:val="006D6336"/>
    <w:rsid w:val="006D6AEE"/>
    <w:rsid w:val="006D7414"/>
    <w:rsid w:val="006E150C"/>
    <w:rsid w:val="006E1F29"/>
    <w:rsid w:val="006E27BA"/>
    <w:rsid w:val="006E297D"/>
    <w:rsid w:val="006E2FAE"/>
    <w:rsid w:val="006E336E"/>
    <w:rsid w:val="006E3B4C"/>
    <w:rsid w:val="006E4AC7"/>
    <w:rsid w:val="006E72B7"/>
    <w:rsid w:val="006E7D2E"/>
    <w:rsid w:val="006E7D97"/>
    <w:rsid w:val="006E7E75"/>
    <w:rsid w:val="006F05B8"/>
    <w:rsid w:val="006F0ACB"/>
    <w:rsid w:val="006F1129"/>
    <w:rsid w:val="006F220E"/>
    <w:rsid w:val="006F29E9"/>
    <w:rsid w:val="006F2B8F"/>
    <w:rsid w:val="006F3ADA"/>
    <w:rsid w:val="006F552F"/>
    <w:rsid w:val="006F57FE"/>
    <w:rsid w:val="006F5A08"/>
    <w:rsid w:val="006F6652"/>
    <w:rsid w:val="0070134F"/>
    <w:rsid w:val="00701EBD"/>
    <w:rsid w:val="007046D6"/>
    <w:rsid w:val="00704B16"/>
    <w:rsid w:val="00710956"/>
    <w:rsid w:val="00711027"/>
    <w:rsid w:val="007115EC"/>
    <w:rsid w:val="007126D9"/>
    <w:rsid w:val="007130FA"/>
    <w:rsid w:val="007157E7"/>
    <w:rsid w:val="00716E85"/>
    <w:rsid w:val="0072004C"/>
    <w:rsid w:val="00720E2D"/>
    <w:rsid w:val="00721B84"/>
    <w:rsid w:val="007220F0"/>
    <w:rsid w:val="00723874"/>
    <w:rsid w:val="00723AF1"/>
    <w:rsid w:val="00724436"/>
    <w:rsid w:val="0072576B"/>
    <w:rsid w:val="007266CB"/>
    <w:rsid w:val="0072675D"/>
    <w:rsid w:val="00726ACA"/>
    <w:rsid w:val="007278DE"/>
    <w:rsid w:val="007315F8"/>
    <w:rsid w:val="00731A52"/>
    <w:rsid w:val="00732346"/>
    <w:rsid w:val="007328A8"/>
    <w:rsid w:val="00732B92"/>
    <w:rsid w:val="00734EF4"/>
    <w:rsid w:val="007351A8"/>
    <w:rsid w:val="00736A24"/>
    <w:rsid w:val="0073732D"/>
    <w:rsid w:val="007377DF"/>
    <w:rsid w:val="007409F8"/>
    <w:rsid w:val="0074119F"/>
    <w:rsid w:val="007428E7"/>
    <w:rsid w:val="007438E9"/>
    <w:rsid w:val="007457C6"/>
    <w:rsid w:val="007465B3"/>
    <w:rsid w:val="00747531"/>
    <w:rsid w:val="0075006D"/>
    <w:rsid w:val="0075022B"/>
    <w:rsid w:val="0075092F"/>
    <w:rsid w:val="00753311"/>
    <w:rsid w:val="00754C7D"/>
    <w:rsid w:val="00756A11"/>
    <w:rsid w:val="007574F6"/>
    <w:rsid w:val="0075758B"/>
    <w:rsid w:val="00761803"/>
    <w:rsid w:val="00764274"/>
    <w:rsid w:val="007658F3"/>
    <w:rsid w:val="00765952"/>
    <w:rsid w:val="00765BF6"/>
    <w:rsid w:val="00765C0F"/>
    <w:rsid w:val="00765FD2"/>
    <w:rsid w:val="007665A9"/>
    <w:rsid w:val="007667D3"/>
    <w:rsid w:val="00766D35"/>
    <w:rsid w:val="00771269"/>
    <w:rsid w:val="00772DFA"/>
    <w:rsid w:val="00773BB3"/>
    <w:rsid w:val="00774CD7"/>
    <w:rsid w:val="00775823"/>
    <w:rsid w:val="0077586A"/>
    <w:rsid w:val="00775D1B"/>
    <w:rsid w:val="00775DAE"/>
    <w:rsid w:val="007773E3"/>
    <w:rsid w:val="00780A52"/>
    <w:rsid w:val="0078429D"/>
    <w:rsid w:val="00784911"/>
    <w:rsid w:val="00785058"/>
    <w:rsid w:val="007854F3"/>
    <w:rsid w:val="0078577C"/>
    <w:rsid w:val="00786A20"/>
    <w:rsid w:val="00787C25"/>
    <w:rsid w:val="00787CF4"/>
    <w:rsid w:val="00790031"/>
    <w:rsid w:val="00790962"/>
    <w:rsid w:val="0079107C"/>
    <w:rsid w:val="0079114B"/>
    <w:rsid w:val="0079153B"/>
    <w:rsid w:val="00792330"/>
    <w:rsid w:val="007930E0"/>
    <w:rsid w:val="0079327A"/>
    <w:rsid w:val="0079379F"/>
    <w:rsid w:val="00795013"/>
    <w:rsid w:val="00797A78"/>
    <w:rsid w:val="007A004E"/>
    <w:rsid w:val="007A16A7"/>
    <w:rsid w:val="007A1B20"/>
    <w:rsid w:val="007A298D"/>
    <w:rsid w:val="007A2C4F"/>
    <w:rsid w:val="007A2D4A"/>
    <w:rsid w:val="007A3D7D"/>
    <w:rsid w:val="007A3F45"/>
    <w:rsid w:val="007A4555"/>
    <w:rsid w:val="007A4B32"/>
    <w:rsid w:val="007A4CEF"/>
    <w:rsid w:val="007A5C1E"/>
    <w:rsid w:val="007A61A0"/>
    <w:rsid w:val="007A70E0"/>
    <w:rsid w:val="007B053A"/>
    <w:rsid w:val="007B1D47"/>
    <w:rsid w:val="007B1E83"/>
    <w:rsid w:val="007B1F7D"/>
    <w:rsid w:val="007B2110"/>
    <w:rsid w:val="007B285D"/>
    <w:rsid w:val="007B33A1"/>
    <w:rsid w:val="007B39B6"/>
    <w:rsid w:val="007B3CC1"/>
    <w:rsid w:val="007B4880"/>
    <w:rsid w:val="007B5ACA"/>
    <w:rsid w:val="007B63B2"/>
    <w:rsid w:val="007B6DC5"/>
    <w:rsid w:val="007B71A8"/>
    <w:rsid w:val="007B746D"/>
    <w:rsid w:val="007C06F8"/>
    <w:rsid w:val="007C14C9"/>
    <w:rsid w:val="007C19F3"/>
    <w:rsid w:val="007C29C0"/>
    <w:rsid w:val="007C33B6"/>
    <w:rsid w:val="007C4AFE"/>
    <w:rsid w:val="007C4D6F"/>
    <w:rsid w:val="007C507B"/>
    <w:rsid w:val="007C59C7"/>
    <w:rsid w:val="007C5F91"/>
    <w:rsid w:val="007D0490"/>
    <w:rsid w:val="007D326C"/>
    <w:rsid w:val="007D3F56"/>
    <w:rsid w:val="007D4239"/>
    <w:rsid w:val="007D4CDA"/>
    <w:rsid w:val="007D5106"/>
    <w:rsid w:val="007D59B4"/>
    <w:rsid w:val="007D5DA0"/>
    <w:rsid w:val="007D6052"/>
    <w:rsid w:val="007D6B05"/>
    <w:rsid w:val="007D750A"/>
    <w:rsid w:val="007E1793"/>
    <w:rsid w:val="007E287F"/>
    <w:rsid w:val="007E3D01"/>
    <w:rsid w:val="007E5BF3"/>
    <w:rsid w:val="007E6196"/>
    <w:rsid w:val="007F1790"/>
    <w:rsid w:val="007F1BC2"/>
    <w:rsid w:val="007F1E93"/>
    <w:rsid w:val="007F2137"/>
    <w:rsid w:val="007F2651"/>
    <w:rsid w:val="007F3D17"/>
    <w:rsid w:val="007F5468"/>
    <w:rsid w:val="007F6C93"/>
    <w:rsid w:val="007F72E0"/>
    <w:rsid w:val="008004E4"/>
    <w:rsid w:val="00802612"/>
    <w:rsid w:val="008038DE"/>
    <w:rsid w:val="00804966"/>
    <w:rsid w:val="00804E62"/>
    <w:rsid w:val="00807180"/>
    <w:rsid w:val="00810D31"/>
    <w:rsid w:val="008110F4"/>
    <w:rsid w:val="008112B8"/>
    <w:rsid w:val="008121EB"/>
    <w:rsid w:val="008124A2"/>
    <w:rsid w:val="0081258E"/>
    <w:rsid w:val="00812BD2"/>
    <w:rsid w:val="00814271"/>
    <w:rsid w:val="0081437D"/>
    <w:rsid w:val="008145C9"/>
    <w:rsid w:val="00814B42"/>
    <w:rsid w:val="008150E5"/>
    <w:rsid w:val="00815593"/>
    <w:rsid w:val="0081642C"/>
    <w:rsid w:val="00816AFD"/>
    <w:rsid w:val="00822157"/>
    <w:rsid w:val="0082309B"/>
    <w:rsid w:val="008248C0"/>
    <w:rsid w:val="00825D0C"/>
    <w:rsid w:val="00826053"/>
    <w:rsid w:val="00826F3B"/>
    <w:rsid w:val="00827CCE"/>
    <w:rsid w:val="00827F61"/>
    <w:rsid w:val="008316A2"/>
    <w:rsid w:val="00832C40"/>
    <w:rsid w:val="008334F1"/>
    <w:rsid w:val="0083483F"/>
    <w:rsid w:val="00835850"/>
    <w:rsid w:val="00837038"/>
    <w:rsid w:val="008422E5"/>
    <w:rsid w:val="008425B5"/>
    <w:rsid w:val="00842D87"/>
    <w:rsid w:val="0084337A"/>
    <w:rsid w:val="0084343A"/>
    <w:rsid w:val="00844E65"/>
    <w:rsid w:val="0084503C"/>
    <w:rsid w:val="008464F3"/>
    <w:rsid w:val="008474BB"/>
    <w:rsid w:val="00847501"/>
    <w:rsid w:val="0085047E"/>
    <w:rsid w:val="00851180"/>
    <w:rsid w:val="00851AFE"/>
    <w:rsid w:val="00851C8B"/>
    <w:rsid w:val="00853D28"/>
    <w:rsid w:val="008544A3"/>
    <w:rsid w:val="00855230"/>
    <w:rsid w:val="008554FA"/>
    <w:rsid w:val="008561A5"/>
    <w:rsid w:val="008606C4"/>
    <w:rsid w:val="00860F8E"/>
    <w:rsid w:val="00863FE3"/>
    <w:rsid w:val="00864FB9"/>
    <w:rsid w:val="00867289"/>
    <w:rsid w:val="00867EDE"/>
    <w:rsid w:val="00870D8D"/>
    <w:rsid w:val="00870EAC"/>
    <w:rsid w:val="00871FA1"/>
    <w:rsid w:val="008725BB"/>
    <w:rsid w:val="00872790"/>
    <w:rsid w:val="008733C7"/>
    <w:rsid w:val="00875543"/>
    <w:rsid w:val="008802B3"/>
    <w:rsid w:val="0088215E"/>
    <w:rsid w:val="00882E7C"/>
    <w:rsid w:val="008833D1"/>
    <w:rsid w:val="00883DB2"/>
    <w:rsid w:val="00884FD0"/>
    <w:rsid w:val="00885597"/>
    <w:rsid w:val="00885A2F"/>
    <w:rsid w:val="0088653E"/>
    <w:rsid w:val="008867E1"/>
    <w:rsid w:val="008931FE"/>
    <w:rsid w:val="00893D2C"/>
    <w:rsid w:val="008943ED"/>
    <w:rsid w:val="008953B0"/>
    <w:rsid w:val="00895B53"/>
    <w:rsid w:val="00895FAE"/>
    <w:rsid w:val="00896EDB"/>
    <w:rsid w:val="00897BB8"/>
    <w:rsid w:val="008A0C3D"/>
    <w:rsid w:val="008A1803"/>
    <w:rsid w:val="008A2512"/>
    <w:rsid w:val="008A2B36"/>
    <w:rsid w:val="008A2FBD"/>
    <w:rsid w:val="008A32A2"/>
    <w:rsid w:val="008A3F89"/>
    <w:rsid w:val="008A4230"/>
    <w:rsid w:val="008A6402"/>
    <w:rsid w:val="008A77A5"/>
    <w:rsid w:val="008A77E2"/>
    <w:rsid w:val="008B0A20"/>
    <w:rsid w:val="008B0A66"/>
    <w:rsid w:val="008B1429"/>
    <w:rsid w:val="008B17DF"/>
    <w:rsid w:val="008B1C5A"/>
    <w:rsid w:val="008B2EC3"/>
    <w:rsid w:val="008B4576"/>
    <w:rsid w:val="008B5172"/>
    <w:rsid w:val="008B5F8A"/>
    <w:rsid w:val="008B5FB9"/>
    <w:rsid w:val="008B5FC4"/>
    <w:rsid w:val="008B6898"/>
    <w:rsid w:val="008C099B"/>
    <w:rsid w:val="008C0B51"/>
    <w:rsid w:val="008C17F1"/>
    <w:rsid w:val="008C2944"/>
    <w:rsid w:val="008C4141"/>
    <w:rsid w:val="008C5B70"/>
    <w:rsid w:val="008C5F72"/>
    <w:rsid w:val="008C6DA6"/>
    <w:rsid w:val="008C759B"/>
    <w:rsid w:val="008D175D"/>
    <w:rsid w:val="008D26D7"/>
    <w:rsid w:val="008D28F3"/>
    <w:rsid w:val="008D39AB"/>
    <w:rsid w:val="008D4744"/>
    <w:rsid w:val="008E259A"/>
    <w:rsid w:val="008E28B8"/>
    <w:rsid w:val="008E3078"/>
    <w:rsid w:val="008E3252"/>
    <w:rsid w:val="008E38BD"/>
    <w:rsid w:val="008E3FD6"/>
    <w:rsid w:val="008E4A6D"/>
    <w:rsid w:val="008E4B9C"/>
    <w:rsid w:val="008E5245"/>
    <w:rsid w:val="008E696B"/>
    <w:rsid w:val="008F106E"/>
    <w:rsid w:val="008F1E9B"/>
    <w:rsid w:val="008F27A2"/>
    <w:rsid w:val="008F39EF"/>
    <w:rsid w:val="008F6473"/>
    <w:rsid w:val="008F6DC6"/>
    <w:rsid w:val="008F788D"/>
    <w:rsid w:val="008F7ADF"/>
    <w:rsid w:val="009001FC"/>
    <w:rsid w:val="009010EC"/>
    <w:rsid w:val="0090147D"/>
    <w:rsid w:val="0090365A"/>
    <w:rsid w:val="00903B0C"/>
    <w:rsid w:val="009045B6"/>
    <w:rsid w:val="00904C29"/>
    <w:rsid w:val="00905D87"/>
    <w:rsid w:val="00906B9D"/>
    <w:rsid w:val="00907750"/>
    <w:rsid w:val="00910410"/>
    <w:rsid w:val="00910644"/>
    <w:rsid w:val="00911620"/>
    <w:rsid w:val="00911B6B"/>
    <w:rsid w:val="00912148"/>
    <w:rsid w:val="00912B35"/>
    <w:rsid w:val="00912BE8"/>
    <w:rsid w:val="0091334E"/>
    <w:rsid w:val="009139C2"/>
    <w:rsid w:val="009139FC"/>
    <w:rsid w:val="00913ADC"/>
    <w:rsid w:val="00914675"/>
    <w:rsid w:val="00914B7D"/>
    <w:rsid w:val="00915E55"/>
    <w:rsid w:val="009175E7"/>
    <w:rsid w:val="0092064D"/>
    <w:rsid w:val="00921AF2"/>
    <w:rsid w:val="00922D54"/>
    <w:rsid w:val="00922DFF"/>
    <w:rsid w:val="00923956"/>
    <w:rsid w:val="00923FA0"/>
    <w:rsid w:val="0092522A"/>
    <w:rsid w:val="009270B2"/>
    <w:rsid w:val="009303AB"/>
    <w:rsid w:val="00931F87"/>
    <w:rsid w:val="00932082"/>
    <w:rsid w:val="009329DE"/>
    <w:rsid w:val="0093377F"/>
    <w:rsid w:val="00934B8F"/>
    <w:rsid w:val="00934D7B"/>
    <w:rsid w:val="0093500C"/>
    <w:rsid w:val="0093650A"/>
    <w:rsid w:val="0094041F"/>
    <w:rsid w:val="00940526"/>
    <w:rsid w:val="00940F1B"/>
    <w:rsid w:val="00941FB0"/>
    <w:rsid w:val="0094236A"/>
    <w:rsid w:val="00942572"/>
    <w:rsid w:val="00943414"/>
    <w:rsid w:val="00944394"/>
    <w:rsid w:val="00944EF1"/>
    <w:rsid w:val="0094773F"/>
    <w:rsid w:val="00947F29"/>
    <w:rsid w:val="009503A8"/>
    <w:rsid w:val="009523FB"/>
    <w:rsid w:val="00954A8B"/>
    <w:rsid w:val="00954F06"/>
    <w:rsid w:val="00955797"/>
    <w:rsid w:val="00955A8D"/>
    <w:rsid w:val="00955EE6"/>
    <w:rsid w:val="009562F9"/>
    <w:rsid w:val="00956DED"/>
    <w:rsid w:val="00957D1B"/>
    <w:rsid w:val="00961057"/>
    <w:rsid w:val="00962847"/>
    <w:rsid w:val="0096358E"/>
    <w:rsid w:val="00964340"/>
    <w:rsid w:val="00964A48"/>
    <w:rsid w:val="00964ECA"/>
    <w:rsid w:val="00966646"/>
    <w:rsid w:val="00970884"/>
    <w:rsid w:val="00971922"/>
    <w:rsid w:val="00974D91"/>
    <w:rsid w:val="00975BF3"/>
    <w:rsid w:val="0097669C"/>
    <w:rsid w:val="00976806"/>
    <w:rsid w:val="00976C6E"/>
    <w:rsid w:val="009778E3"/>
    <w:rsid w:val="00980D3E"/>
    <w:rsid w:val="00981E1E"/>
    <w:rsid w:val="00983BE8"/>
    <w:rsid w:val="00983C88"/>
    <w:rsid w:val="009843DB"/>
    <w:rsid w:val="00985958"/>
    <w:rsid w:val="00986649"/>
    <w:rsid w:val="00986869"/>
    <w:rsid w:val="00986E57"/>
    <w:rsid w:val="009877E7"/>
    <w:rsid w:val="00987C1C"/>
    <w:rsid w:val="00987CDF"/>
    <w:rsid w:val="0099055A"/>
    <w:rsid w:val="009909C0"/>
    <w:rsid w:val="009923CC"/>
    <w:rsid w:val="00993286"/>
    <w:rsid w:val="009940C5"/>
    <w:rsid w:val="00994C1F"/>
    <w:rsid w:val="00994DDB"/>
    <w:rsid w:val="009956A1"/>
    <w:rsid w:val="00996267"/>
    <w:rsid w:val="009A0E78"/>
    <w:rsid w:val="009A1F47"/>
    <w:rsid w:val="009A27E2"/>
    <w:rsid w:val="009A3E03"/>
    <w:rsid w:val="009A3FF4"/>
    <w:rsid w:val="009A60D3"/>
    <w:rsid w:val="009A64C8"/>
    <w:rsid w:val="009A7452"/>
    <w:rsid w:val="009B22C6"/>
    <w:rsid w:val="009B2D23"/>
    <w:rsid w:val="009B42B3"/>
    <w:rsid w:val="009B491F"/>
    <w:rsid w:val="009B60FA"/>
    <w:rsid w:val="009B6871"/>
    <w:rsid w:val="009B6F6E"/>
    <w:rsid w:val="009B7095"/>
    <w:rsid w:val="009B7292"/>
    <w:rsid w:val="009B7BA8"/>
    <w:rsid w:val="009B7F3F"/>
    <w:rsid w:val="009C1001"/>
    <w:rsid w:val="009C168A"/>
    <w:rsid w:val="009C1F72"/>
    <w:rsid w:val="009C238E"/>
    <w:rsid w:val="009C4FA9"/>
    <w:rsid w:val="009C61E2"/>
    <w:rsid w:val="009C78E2"/>
    <w:rsid w:val="009D001D"/>
    <w:rsid w:val="009D1E3A"/>
    <w:rsid w:val="009D2A26"/>
    <w:rsid w:val="009D32B6"/>
    <w:rsid w:val="009D38A9"/>
    <w:rsid w:val="009D4C20"/>
    <w:rsid w:val="009D5F6A"/>
    <w:rsid w:val="009D74A9"/>
    <w:rsid w:val="009E04AD"/>
    <w:rsid w:val="009E08A0"/>
    <w:rsid w:val="009E289A"/>
    <w:rsid w:val="009E39BB"/>
    <w:rsid w:val="009E421F"/>
    <w:rsid w:val="009E42D6"/>
    <w:rsid w:val="009E4443"/>
    <w:rsid w:val="009E6F88"/>
    <w:rsid w:val="009E763E"/>
    <w:rsid w:val="009E7C8C"/>
    <w:rsid w:val="009F128C"/>
    <w:rsid w:val="009F269F"/>
    <w:rsid w:val="009F282B"/>
    <w:rsid w:val="009F2B18"/>
    <w:rsid w:val="009F32AF"/>
    <w:rsid w:val="009F4604"/>
    <w:rsid w:val="009F5166"/>
    <w:rsid w:val="009F5A9E"/>
    <w:rsid w:val="009F6372"/>
    <w:rsid w:val="009F70DC"/>
    <w:rsid w:val="009F7776"/>
    <w:rsid w:val="009F7B2E"/>
    <w:rsid w:val="00A00899"/>
    <w:rsid w:val="00A00DFD"/>
    <w:rsid w:val="00A03105"/>
    <w:rsid w:val="00A04873"/>
    <w:rsid w:val="00A0496C"/>
    <w:rsid w:val="00A05D2C"/>
    <w:rsid w:val="00A05FA5"/>
    <w:rsid w:val="00A06268"/>
    <w:rsid w:val="00A0723F"/>
    <w:rsid w:val="00A07764"/>
    <w:rsid w:val="00A07C94"/>
    <w:rsid w:val="00A11D88"/>
    <w:rsid w:val="00A125C8"/>
    <w:rsid w:val="00A14169"/>
    <w:rsid w:val="00A1524C"/>
    <w:rsid w:val="00A1714F"/>
    <w:rsid w:val="00A203B8"/>
    <w:rsid w:val="00A2071D"/>
    <w:rsid w:val="00A21B52"/>
    <w:rsid w:val="00A21CE1"/>
    <w:rsid w:val="00A25102"/>
    <w:rsid w:val="00A25201"/>
    <w:rsid w:val="00A25DA9"/>
    <w:rsid w:val="00A2670C"/>
    <w:rsid w:val="00A2693C"/>
    <w:rsid w:val="00A311E5"/>
    <w:rsid w:val="00A3195D"/>
    <w:rsid w:val="00A32EF8"/>
    <w:rsid w:val="00A33723"/>
    <w:rsid w:val="00A34B84"/>
    <w:rsid w:val="00A34BF4"/>
    <w:rsid w:val="00A34FB2"/>
    <w:rsid w:val="00A36FC1"/>
    <w:rsid w:val="00A40930"/>
    <w:rsid w:val="00A40A5A"/>
    <w:rsid w:val="00A40C19"/>
    <w:rsid w:val="00A41946"/>
    <w:rsid w:val="00A43C92"/>
    <w:rsid w:val="00A440F3"/>
    <w:rsid w:val="00A452A7"/>
    <w:rsid w:val="00A5011D"/>
    <w:rsid w:val="00A53BE2"/>
    <w:rsid w:val="00A54A5A"/>
    <w:rsid w:val="00A54F8E"/>
    <w:rsid w:val="00A556AB"/>
    <w:rsid w:val="00A55F1C"/>
    <w:rsid w:val="00A561E1"/>
    <w:rsid w:val="00A568BE"/>
    <w:rsid w:val="00A56FC7"/>
    <w:rsid w:val="00A5794C"/>
    <w:rsid w:val="00A60A65"/>
    <w:rsid w:val="00A617DD"/>
    <w:rsid w:val="00A61E24"/>
    <w:rsid w:val="00A62016"/>
    <w:rsid w:val="00A6231E"/>
    <w:rsid w:val="00A62338"/>
    <w:rsid w:val="00A63BAD"/>
    <w:rsid w:val="00A63E55"/>
    <w:rsid w:val="00A648DD"/>
    <w:rsid w:val="00A6496C"/>
    <w:rsid w:val="00A65B4A"/>
    <w:rsid w:val="00A6629A"/>
    <w:rsid w:val="00A70773"/>
    <w:rsid w:val="00A70955"/>
    <w:rsid w:val="00A73ED6"/>
    <w:rsid w:val="00A75DCB"/>
    <w:rsid w:val="00A7624A"/>
    <w:rsid w:val="00A7662C"/>
    <w:rsid w:val="00A77210"/>
    <w:rsid w:val="00A77255"/>
    <w:rsid w:val="00A81D20"/>
    <w:rsid w:val="00A8411E"/>
    <w:rsid w:val="00A8450F"/>
    <w:rsid w:val="00A855ED"/>
    <w:rsid w:val="00A859B9"/>
    <w:rsid w:val="00A86A30"/>
    <w:rsid w:val="00A914AA"/>
    <w:rsid w:val="00A91F07"/>
    <w:rsid w:val="00A91FCC"/>
    <w:rsid w:val="00A92455"/>
    <w:rsid w:val="00A92841"/>
    <w:rsid w:val="00A954F5"/>
    <w:rsid w:val="00A95C1F"/>
    <w:rsid w:val="00A95F0A"/>
    <w:rsid w:val="00A9646D"/>
    <w:rsid w:val="00A96754"/>
    <w:rsid w:val="00A97096"/>
    <w:rsid w:val="00A97595"/>
    <w:rsid w:val="00AA009E"/>
    <w:rsid w:val="00AA06E2"/>
    <w:rsid w:val="00AA09E9"/>
    <w:rsid w:val="00AA1472"/>
    <w:rsid w:val="00AA3A34"/>
    <w:rsid w:val="00AA3A75"/>
    <w:rsid w:val="00AA4BD9"/>
    <w:rsid w:val="00AA5DDF"/>
    <w:rsid w:val="00AA65BA"/>
    <w:rsid w:val="00AB0181"/>
    <w:rsid w:val="00AB1F3A"/>
    <w:rsid w:val="00AB6B3D"/>
    <w:rsid w:val="00AC00EE"/>
    <w:rsid w:val="00AC02D3"/>
    <w:rsid w:val="00AC0F59"/>
    <w:rsid w:val="00AC4E38"/>
    <w:rsid w:val="00AC5C10"/>
    <w:rsid w:val="00AC7BBD"/>
    <w:rsid w:val="00AD073A"/>
    <w:rsid w:val="00AD237D"/>
    <w:rsid w:val="00AD256D"/>
    <w:rsid w:val="00AD3815"/>
    <w:rsid w:val="00AD527E"/>
    <w:rsid w:val="00AD5C44"/>
    <w:rsid w:val="00AD5D07"/>
    <w:rsid w:val="00AD6434"/>
    <w:rsid w:val="00AD67A2"/>
    <w:rsid w:val="00AE0825"/>
    <w:rsid w:val="00AE0BD5"/>
    <w:rsid w:val="00AE0ED0"/>
    <w:rsid w:val="00AE118F"/>
    <w:rsid w:val="00AE277E"/>
    <w:rsid w:val="00AE2B6D"/>
    <w:rsid w:val="00AE3966"/>
    <w:rsid w:val="00AE5606"/>
    <w:rsid w:val="00AE6115"/>
    <w:rsid w:val="00AE613C"/>
    <w:rsid w:val="00AE69B1"/>
    <w:rsid w:val="00AE7B90"/>
    <w:rsid w:val="00AF0A85"/>
    <w:rsid w:val="00AF0C16"/>
    <w:rsid w:val="00AF1AB3"/>
    <w:rsid w:val="00AF1DD6"/>
    <w:rsid w:val="00AF21AB"/>
    <w:rsid w:val="00AF2FF6"/>
    <w:rsid w:val="00AF48DF"/>
    <w:rsid w:val="00AF54DF"/>
    <w:rsid w:val="00AF6993"/>
    <w:rsid w:val="00B004A6"/>
    <w:rsid w:val="00B00ECE"/>
    <w:rsid w:val="00B020FC"/>
    <w:rsid w:val="00B04D67"/>
    <w:rsid w:val="00B0505D"/>
    <w:rsid w:val="00B050D2"/>
    <w:rsid w:val="00B05926"/>
    <w:rsid w:val="00B05A26"/>
    <w:rsid w:val="00B06B1B"/>
    <w:rsid w:val="00B12EC3"/>
    <w:rsid w:val="00B13240"/>
    <w:rsid w:val="00B14A0B"/>
    <w:rsid w:val="00B16631"/>
    <w:rsid w:val="00B16B75"/>
    <w:rsid w:val="00B17213"/>
    <w:rsid w:val="00B17D9D"/>
    <w:rsid w:val="00B20112"/>
    <w:rsid w:val="00B20C8D"/>
    <w:rsid w:val="00B2205B"/>
    <w:rsid w:val="00B22143"/>
    <w:rsid w:val="00B2264D"/>
    <w:rsid w:val="00B238D8"/>
    <w:rsid w:val="00B23EF8"/>
    <w:rsid w:val="00B24202"/>
    <w:rsid w:val="00B24805"/>
    <w:rsid w:val="00B25BD0"/>
    <w:rsid w:val="00B25E67"/>
    <w:rsid w:val="00B27981"/>
    <w:rsid w:val="00B3240B"/>
    <w:rsid w:val="00B32AA7"/>
    <w:rsid w:val="00B34730"/>
    <w:rsid w:val="00B34BBF"/>
    <w:rsid w:val="00B34CDA"/>
    <w:rsid w:val="00B35167"/>
    <w:rsid w:val="00B379DF"/>
    <w:rsid w:val="00B4083E"/>
    <w:rsid w:val="00B41487"/>
    <w:rsid w:val="00B4184D"/>
    <w:rsid w:val="00B4367C"/>
    <w:rsid w:val="00B44B0A"/>
    <w:rsid w:val="00B45145"/>
    <w:rsid w:val="00B4554C"/>
    <w:rsid w:val="00B4674F"/>
    <w:rsid w:val="00B4726D"/>
    <w:rsid w:val="00B506FF"/>
    <w:rsid w:val="00B52E82"/>
    <w:rsid w:val="00B53C64"/>
    <w:rsid w:val="00B579F2"/>
    <w:rsid w:val="00B57C87"/>
    <w:rsid w:val="00B60C3E"/>
    <w:rsid w:val="00B61D6E"/>
    <w:rsid w:val="00B63D9C"/>
    <w:rsid w:val="00B640DD"/>
    <w:rsid w:val="00B647D6"/>
    <w:rsid w:val="00B6787C"/>
    <w:rsid w:val="00B71A63"/>
    <w:rsid w:val="00B721F1"/>
    <w:rsid w:val="00B721FB"/>
    <w:rsid w:val="00B72F08"/>
    <w:rsid w:val="00B72FEF"/>
    <w:rsid w:val="00B73713"/>
    <w:rsid w:val="00B73B3A"/>
    <w:rsid w:val="00B73C63"/>
    <w:rsid w:val="00B73D14"/>
    <w:rsid w:val="00B73D29"/>
    <w:rsid w:val="00B749F4"/>
    <w:rsid w:val="00B76B59"/>
    <w:rsid w:val="00B77654"/>
    <w:rsid w:val="00B812F5"/>
    <w:rsid w:val="00B815D8"/>
    <w:rsid w:val="00B82F5E"/>
    <w:rsid w:val="00B8667B"/>
    <w:rsid w:val="00B86685"/>
    <w:rsid w:val="00B8726E"/>
    <w:rsid w:val="00B8758E"/>
    <w:rsid w:val="00B87894"/>
    <w:rsid w:val="00B9000D"/>
    <w:rsid w:val="00B902FE"/>
    <w:rsid w:val="00B9219C"/>
    <w:rsid w:val="00B939B9"/>
    <w:rsid w:val="00B95967"/>
    <w:rsid w:val="00B97ADC"/>
    <w:rsid w:val="00BA0741"/>
    <w:rsid w:val="00BA0C26"/>
    <w:rsid w:val="00BA0D1A"/>
    <w:rsid w:val="00BA14E9"/>
    <w:rsid w:val="00BA3426"/>
    <w:rsid w:val="00BA4F50"/>
    <w:rsid w:val="00BA5496"/>
    <w:rsid w:val="00BA70A1"/>
    <w:rsid w:val="00BA7A79"/>
    <w:rsid w:val="00BB0C1E"/>
    <w:rsid w:val="00BB0F59"/>
    <w:rsid w:val="00BB1A52"/>
    <w:rsid w:val="00BB25D9"/>
    <w:rsid w:val="00BB3883"/>
    <w:rsid w:val="00BB57A3"/>
    <w:rsid w:val="00BC0952"/>
    <w:rsid w:val="00BC0FE7"/>
    <w:rsid w:val="00BC12C4"/>
    <w:rsid w:val="00BC3806"/>
    <w:rsid w:val="00BC4D92"/>
    <w:rsid w:val="00BC5196"/>
    <w:rsid w:val="00BC55D8"/>
    <w:rsid w:val="00BC6ABD"/>
    <w:rsid w:val="00BD04B2"/>
    <w:rsid w:val="00BD05D4"/>
    <w:rsid w:val="00BD097D"/>
    <w:rsid w:val="00BD1D8C"/>
    <w:rsid w:val="00BD2265"/>
    <w:rsid w:val="00BD2BA7"/>
    <w:rsid w:val="00BD3FF5"/>
    <w:rsid w:val="00BD49A2"/>
    <w:rsid w:val="00BD507C"/>
    <w:rsid w:val="00BD7DB1"/>
    <w:rsid w:val="00BE0E1F"/>
    <w:rsid w:val="00BE1908"/>
    <w:rsid w:val="00BE1AC8"/>
    <w:rsid w:val="00BE2ED4"/>
    <w:rsid w:val="00BE4610"/>
    <w:rsid w:val="00BE5E64"/>
    <w:rsid w:val="00BE7176"/>
    <w:rsid w:val="00BE7AB6"/>
    <w:rsid w:val="00BF1D0E"/>
    <w:rsid w:val="00BF23E6"/>
    <w:rsid w:val="00BF3541"/>
    <w:rsid w:val="00BF3C50"/>
    <w:rsid w:val="00BF6CAB"/>
    <w:rsid w:val="00BF75CB"/>
    <w:rsid w:val="00C051DF"/>
    <w:rsid w:val="00C052B1"/>
    <w:rsid w:val="00C052F8"/>
    <w:rsid w:val="00C05A84"/>
    <w:rsid w:val="00C0645F"/>
    <w:rsid w:val="00C071E2"/>
    <w:rsid w:val="00C07B22"/>
    <w:rsid w:val="00C106AF"/>
    <w:rsid w:val="00C10909"/>
    <w:rsid w:val="00C10DBC"/>
    <w:rsid w:val="00C10E1C"/>
    <w:rsid w:val="00C13B22"/>
    <w:rsid w:val="00C1571B"/>
    <w:rsid w:val="00C15FAD"/>
    <w:rsid w:val="00C161A7"/>
    <w:rsid w:val="00C166B9"/>
    <w:rsid w:val="00C17541"/>
    <w:rsid w:val="00C17971"/>
    <w:rsid w:val="00C203C8"/>
    <w:rsid w:val="00C21C7F"/>
    <w:rsid w:val="00C2269A"/>
    <w:rsid w:val="00C23C52"/>
    <w:rsid w:val="00C23CFE"/>
    <w:rsid w:val="00C24207"/>
    <w:rsid w:val="00C24C1A"/>
    <w:rsid w:val="00C266FF"/>
    <w:rsid w:val="00C27093"/>
    <w:rsid w:val="00C30A11"/>
    <w:rsid w:val="00C33145"/>
    <w:rsid w:val="00C33250"/>
    <w:rsid w:val="00C347B7"/>
    <w:rsid w:val="00C35A3A"/>
    <w:rsid w:val="00C364F1"/>
    <w:rsid w:val="00C36DB8"/>
    <w:rsid w:val="00C371F4"/>
    <w:rsid w:val="00C409D5"/>
    <w:rsid w:val="00C40B11"/>
    <w:rsid w:val="00C42C95"/>
    <w:rsid w:val="00C42F44"/>
    <w:rsid w:val="00C4358F"/>
    <w:rsid w:val="00C445EA"/>
    <w:rsid w:val="00C45B72"/>
    <w:rsid w:val="00C467D2"/>
    <w:rsid w:val="00C50578"/>
    <w:rsid w:val="00C50A8E"/>
    <w:rsid w:val="00C50BD6"/>
    <w:rsid w:val="00C51218"/>
    <w:rsid w:val="00C51221"/>
    <w:rsid w:val="00C52E5D"/>
    <w:rsid w:val="00C5543E"/>
    <w:rsid w:val="00C55778"/>
    <w:rsid w:val="00C55A68"/>
    <w:rsid w:val="00C56136"/>
    <w:rsid w:val="00C56BDE"/>
    <w:rsid w:val="00C56E72"/>
    <w:rsid w:val="00C5784B"/>
    <w:rsid w:val="00C5790A"/>
    <w:rsid w:val="00C60160"/>
    <w:rsid w:val="00C6083A"/>
    <w:rsid w:val="00C63895"/>
    <w:rsid w:val="00C64087"/>
    <w:rsid w:val="00C640AE"/>
    <w:rsid w:val="00C643FC"/>
    <w:rsid w:val="00C673E6"/>
    <w:rsid w:val="00C705D6"/>
    <w:rsid w:val="00C70E89"/>
    <w:rsid w:val="00C71915"/>
    <w:rsid w:val="00C71F15"/>
    <w:rsid w:val="00C72198"/>
    <w:rsid w:val="00C73670"/>
    <w:rsid w:val="00C738BF"/>
    <w:rsid w:val="00C7444C"/>
    <w:rsid w:val="00C77750"/>
    <w:rsid w:val="00C8043A"/>
    <w:rsid w:val="00C81841"/>
    <w:rsid w:val="00C84501"/>
    <w:rsid w:val="00C84712"/>
    <w:rsid w:val="00C84FF3"/>
    <w:rsid w:val="00C86511"/>
    <w:rsid w:val="00C86579"/>
    <w:rsid w:val="00C86A32"/>
    <w:rsid w:val="00C86B87"/>
    <w:rsid w:val="00C87498"/>
    <w:rsid w:val="00C87984"/>
    <w:rsid w:val="00C87D0F"/>
    <w:rsid w:val="00C900BB"/>
    <w:rsid w:val="00C906C6"/>
    <w:rsid w:val="00C91922"/>
    <w:rsid w:val="00C91AC6"/>
    <w:rsid w:val="00C92944"/>
    <w:rsid w:val="00C92B46"/>
    <w:rsid w:val="00C937D0"/>
    <w:rsid w:val="00C94CCF"/>
    <w:rsid w:val="00C951FC"/>
    <w:rsid w:val="00C966A1"/>
    <w:rsid w:val="00C96B9B"/>
    <w:rsid w:val="00C970D3"/>
    <w:rsid w:val="00C979B5"/>
    <w:rsid w:val="00C97AF1"/>
    <w:rsid w:val="00C97C1F"/>
    <w:rsid w:val="00CA1D3A"/>
    <w:rsid w:val="00CA4789"/>
    <w:rsid w:val="00CA49E3"/>
    <w:rsid w:val="00CA4F44"/>
    <w:rsid w:val="00CA7E4D"/>
    <w:rsid w:val="00CB07F3"/>
    <w:rsid w:val="00CB1DDD"/>
    <w:rsid w:val="00CB1E21"/>
    <w:rsid w:val="00CB1EC5"/>
    <w:rsid w:val="00CB2AC8"/>
    <w:rsid w:val="00CB3960"/>
    <w:rsid w:val="00CB4738"/>
    <w:rsid w:val="00CB4F60"/>
    <w:rsid w:val="00CB6C71"/>
    <w:rsid w:val="00CB6E2B"/>
    <w:rsid w:val="00CB7130"/>
    <w:rsid w:val="00CB78F3"/>
    <w:rsid w:val="00CB7E15"/>
    <w:rsid w:val="00CC05B8"/>
    <w:rsid w:val="00CC2621"/>
    <w:rsid w:val="00CC2A48"/>
    <w:rsid w:val="00CC2B69"/>
    <w:rsid w:val="00CC5F1B"/>
    <w:rsid w:val="00CC789D"/>
    <w:rsid w:val="00CC78C2"/>
    <w:rsid w:val="00CD5992"/>
    <w:rsid w:val="00CD6311"/>
    <w:rsid w:val="00CD6753"/>
    <w:rsid w:val="00CD6ADC"/>
    <w:rsid w:val="00CD79ED"/>
    <w:rsid w:val="00CE0324"/>
    <w:rsid w:val="00CE0DDE"/>
    <w:rsid w:val="00CE15FA"/>
    <w:rsid w:val="00CE3DDD"/>
    <w:rsid w:val="00CE400D"/>
    <w:rsid w:val="00CE47B7"/>
    <w:rsid w:val="00CE4C38"/>
    <w:rsid w:val="00CE5D11"/>
    <w:rsid w:val="00CE6EC7"/>
    <w:rsid w:val="00CE7704"/>
    <w:rsid w:val="00CF1CB8"/>
    <w:rsid w:val="00CF2514"/>
    <w:rsid w:val="00CF288F"/>
    <w:rsid w:val="00CF2BC5"/>
    <w:rsid w:val="00CF35CE"/>
    <w:rsid w:val="00CF4336"/>
    <w:rsid w:val="00CF444E"/>
    <w:rsid w:val="00CF4898"/>
    <w:rsid w:val="00CF4FB0"/>
    <w:rsid w:val="00CF5E1B"/>
    <w:rsid w:val="00CF65DF"/>
    <w:rsid w:val="00CF780F"/>
    <w:rsid w:val="00CF7F64"/>
    <w:rsid w:val="00D01D78"/>
    <w:rsid w:val="00D0414C"/>
    <w:rsid w:val="00D0436E"/>
    <w:rsid w:val="00D04E18"/>
    <w:rsid w:val="00D055E9"/>
    <w:rsid w:val="00D06B68"/>
    <w:rsid w:val="00D06FAE"/>
    <w:rsid w:val="00D10405"/>
    <w:rsid w:val="00D11628"/>
    <w:rsid w:val="00D11770"/>
    <w:rsid w:val="00D123C7"/>
    <w:rsid w:val="00D1484C"/>
    <w:rsid w:val="00D14B86"/>
    <w:rsid w:val="00D15690"/>
    <w:rsid w:val="00D174D3"/>
    <w:rsid w:val="00D175F9"/>
    <w:rsid w:val="00D179F4"/>
    <w:rsid w:val="00D201EA"/>
    <w:rsid w:val="00D20B29"/>
    <w:rsid w:val="00D20D8C"/>
    <w:rsid w:val="00D21668"/>
    <w:rsid w:val="00D21A76"/>
    <w:rsid w:val="00D22E79"/>
    <w:rsid w:val="00D23A05"/>
    <w:rsid w:val="00D23D79"/>
    <w:rsid w:val="00D244BC"/>
    <w:rsid w:val="00D25609"/>
    <w:rsid w:val="00D25EE5"/>
    <w:rsid w:val="00D26528"/>
    <w:rsid w:val="00D279F2"/>
    <w:rsid w:val="00D33AAB"/>
    <w:rsid w:val="00D33D6B"/>
    <w:rsid w:val="00D34672"/>
    <w:rsid w:val="00D3565A"/>
    <w:rsid w:val="00D35863"/>
    <w:rsid w:val="00D372C3"/>
    <w:rsid w:val="00D374C9"/>
    <w:rsid w:val="00D401B1"/>
    <w:rsid w:val="00D40748"/>
    <w:rsid w:val="00D408E7"/>
    <w:rsid w:val="00D40B36"/>
    <w:rsid w:val="00D40C20"/>
    <w:rsid w:val="00D40CA9"/>
    <w:rsid w:val="00D43811"/>
    <w:rsid w:val="00D43C68"/>
    <w:rsid w:val="00D43CC5"/>
    <w:rsid w:val="00D4499D"/>
    <w:rsid w:val="00D455E1"/>
    <w:rsid w:val="00D467F2"/>
    <w:rsid w:val="00D47F67"/>
    <w:rsid w:val="00D50ACB"/>
    <w:rsid w:val="00D50B80"/>
    <w:rsid w:val="00D50BDF"/>
    <w:rsid w:val="00D51BC6"/>
    <w:rsid w:val="00D51BD3"/>
    <w:rsid w:val="00D524E0"/>
    <w:rsid w:val="00D53582"/>
    <w:rsid w:val="00D5363D"/>
    <w:rsid w:val="00D53DF2"/>
    <w:rsid w:val="00D560A5"/>
    <w:rsid w:val="00D56851"/>
    <w:rsid w:val="00D60AC2"/>
    <w:rsid w:val="00D61940"/>
    <w:rsid w:val="00D620A6"/>
    <w:rsid w:val="00D62B9D"/>
    <w:rsid w:val="00D6318E"/>
    <w:rsid w:val="00D63559"/>
    <w:rsid w:val="00D63DAB"/>
    <w:rsid w:val="00D67C00"/>
    <w:rsid w:val="00D67E14"/>
    <w:rsid w:val="00D7011B"/>
    <w:rsid w:val="00D70A28"/>
    <w:rsid w:val="00D70DA0"/>
    <w:rsid w:val="00D70FFD"/>
    <w:rsid w:val="00D716DF"/>
    <w:rsid w:val="00D72C10"/>
    <w:rsid w:val="00D74178"/>
    <w:rsid w:val="00D747C7"/>
    <w:rsid w:val="00D75E32"/>
    <w:rsid w:val="00D81370"/>
    <w:rsid w:val="00D81577"/>
    <w:rsid w:val="00D845E0"/>
    <w:rsid w:val="00D85700"/>
    <w:rsid w:val="00D85B1F"/>
    <w:rsid w:val="00D85E43"/>
    <w:rsid w:val="00D86C37"/>
    <w:rsid w:val="00D87026"/>
    <w:rsid w:val="00D9133A"/>
    <w:rsid w:val="00D91A52"/>
    <w:rsid w:val="00D91CE3"/>
    <w:rsid w:val="00D93136"/>
    <w:rsid w:val="00D93F49"/>
    <w:rsid w:val="00D95868"/>
    <w:rsid w:val="00D96346"/>
    <w:rsid w:val="00D973A2"/>
    <w:rsid w:val="00DA0682"/>
    <w:rsid w:val="00DA079F"/>
    <w:rsid w:val="00DA0EE9"/>
    <w:rsid w:val="00DA1278"/>
    <w:rsid w:val="00DA1D91"/>
    <w:rsid w:val="00DA4BC8"/>
    <w:rsid w:val="00DA66A1"/>
    <w:rsid w:val="00DB19AF"/>
    <w:rsid w:val="00DB3510"/>
    <w:rsid w:val="00DB38E2"/>
    <w:rsid w:val="00DB3A2E"/>
    <w:rsid w:val="00DB5E4C"/>
    <w:rsid w:val="00DB66DB"/>
    <w:rsid w:val="00DB7046"/>
    <w:rsid w:val="00DB771C"/>
    <w:rsid w:val="00DB7B5A"/>
    <w:rsid w:val="00DC0DC0"/>
    <w:rsid w:val="00DC3009"/>
    <w:rsid w:val="00DC303D"/>
    <w:rsid w:val="00DC3A8F"/>
    <w:rsid w:val="00DC3B7D"/>
    <w:rsid w:val="00DC444A"/>
    <w:rsid w:val="00DC4D55"/>
    <w:rsid w:val="00DC55AB"/>
    <w:rsid w:val="00DC57F1"/>
    <w:rsid w:val="00DC6005"/>
    <w:rsid w:val="00DC6061"/>
    <w:rsid w:val="00DC634C"/>
    <w:rsid w:val="00DC671E"/>
    <w:rsid w:val="00DC681E"/>
    <w:rsid w:val="00DC7A8D"/>
    <w:rsid w:val="00DD090B"/>
    <w:rsid w:val="00DD1943"/>
    <w:rsid w:val="00DD3D39"/>
    <w:rsid w:val="00DD4BA5"/>
    <w:rsid w:val="00DD6215"/>
    <w:rsid w:val="00DD7705"/>
    <w:rsid w:val="00DE081E"/>
    <w:rsid w:val="00DE0E4D"/>
    <w:rsid w:val="00DE198A"/>
    <w:rsid w:val="00DE1A5B"/>
    <w:rsid w:val="00DE2042"/>
    <w:rsid w:val="00DE2890"/>
    <w:rsid w:val="00DE29EE"/>
    <w:rsid w:val="00DE508F"/>
    <w:rsid w:val="00DE60AF"/>
    <w:rsid w:val="00DF09A4"/>
    <w:rsid w:val="00DF0EFF"/>
    <w:rsid w:val="00DF13F1"/>
    <w:rsid w:val="00DF29A5"/>
    <w:rsid w:val="00DF339C"/>
    <w:rsid w:val="00DF364D"/>
    <w:rsid w:val="00DF398A"/>
    <w:rsid w:val="00DF5133"/>
    <w:rsid w:val="00DF5278"/>
    <w:rsid w:val="00DF5552"/>
    <w:rsid w:val="00DF5BB4"/>
    <w:rsid w:val="00DF6181"/>
    <w:rsid w:val="00DF79FF"/>
    <w:rsid w:val="00E010EE"/>
    <w:rsid w:val="00E0297A"/>
    <w:rsid w:val="00E03E7B"/>
    <w:rsid w:val="00E03F73"/>
    <w:rsid w:val="00E04D95"/>
    <w:rsid w:val="00E04F98"/>
    <w:rsid w:val="00E06F8A"/>
    <w:rsid w:val="00E10D7E"/>
    <w:rsid w:val="00E11E05"/>
    <w:rsid w:val="00E12072"/>
    <w:rsid w:val="00E121C1"/>
    <w:rsid w:val="00E13513"/>
    <w:rsid w:val="00E17454"/>
    <w:rsid w:val="00E17B99"/>
    <w:rsid w:val="00E17C58"/>
    <w:rsid w:val="00E200C9"/>
    <w:rsid w:val="00E22039"/>
    <w:rsid w:val="00E2414E"/>
    <w:rsid w:val="00E2532E"/>
    <w:rsid w:val="00E26EB3"/>
    <w:rsid w:val="00E273EF"/>
    <w:rsid w:val="00E3106C"/>
    <w:rsid w:val="00E3108F"/>
    <w:rsid w:val="00E328C6"/>
    <w:rsid w:val="00E33283"/>
    <w:rsid w:val="00E332B5"/>
    <w:rsid w:val="00E33F20"/>
    <w:rsid w:val="00E34898"/>
    <w:rsid w:val="00E36291"/>
    <w:rsid w:val="00E36A0D"/>
    <w:rsid w:val="00E36FC7"/>
    <w:rsid w:val="00E408FB"/>
    <w:rsid w:val="00E40970"/>
    <w:rsid w:val="00E40D52"/>
    <w:rsid w:val="00E4141B"/>
    <w:rsid w:val="00E4196A"/>
    <w:rsid w:val="00E44211"/>
    <w:rsid w:val="00E4452B"/>
    <w:rsid w:val="00E4497A"/>
    <w:rsid w:val="00E45561"/>
    <w:rsid w:val="00E45E75"/>
    <w:rsid w:val="00E463FE"/>
    <w:rsid w:val="00E465E7"/>
    <w:rsid w:val="00E47276"/>
    <w:rsid w:val="00E47F77"/>
    <w:rsid w:val="00E5026B"/>
    <w:rsid w:val="00E5095F"/>
    <w:rsid w:val="00E516CA"/>
    <w:rsid w:val="00E5261A"/>
    <w:rsid w:val="00E53540"/>
    <w:rsid w:val="00E53622"/>
    <w:rsid w:val="00E53678"/>
    <w:rsid w:val="00E557B2"/>
    <w:rsid w:val="00E5602C"/>
    <w:rsid w:val="00E564CA"/>
    <w:rsid w:val="00E56596"/>
    <w:rsid w:val="00E5674B"/>
    <w:rsid w:val="00E573F3"/>
    <w:rsid w:val="00E578C4"/>
    <w:rsid w:val="00E57E63"/>
    <w:rsid w:val="00E602A4"/>
    <w:rsid w:val="00E61221"/>
    <w:rsid w:val="00E61573"/>
    <w:rsid w:val="00E6393B"/>
    <w:rsid w:val="00E63968"/>
    <w:rsid w:val="00E66BF3"/>
    <w:rsid w:val="00E7006E"/>
    <w:rsid w:val="00E701DA"/>
    <w:rsid w:val="00E71EF3"/>
    <w:rsid w:val="00E72813"/>
    <w:rsid w:val="00E72A12"/>
    <w:rsid w:val="00E72B68"/>
    <w:rsid w:val="00E73004"/>
    <w:rsid w:val="00E73C66"/>
    <w:rsid w:val="00E75735"/>
    <w:rsid w:val="00E75FC1"/>
    <w:rsid w:val="00E760FB"/>
    <w:rsid w:val="00E76BB2"/>
    <w:rsid w:val="00E77C11"/>
    <w:rsid w:val="00E77CD6"/>
    <w:rsid w:val="00E80EBE"/>
    <w:rsid w:val="00E823CC"/>
    <w:rsid w:val="00E84390"/>
    <w:rsid w:val="00E848E0"/>
    <w:rsid w:val="00E84F9C"/>
    <w:rsid w:val="00E85B07"/>
    <w:rsid w:val="00E863CF"/>
    <w:rsid w:val="00E875B3"/>
    <w:rsid w:val="00E87D51"/>
    <w:rsid w:val="00E91DD8"/>
    <w:rsid w:val="00E92857"/>
    <w:rsid w:val="00E9443D"/>
    <w:rsid w:val="00E95A12"/>
    <w:rsid w:val="00E960BA"/>
    <w:rsid w:val="00E96557"/>
    <w:rsid w:val="00E97B58"/>
    <w:rsid w:val="00EA0888"/>
    <w:rsid w:val="00EA2715"/>
    <w:rsid w:val="00EA3113"/>
    <w:rsid w:val="00EA358C"/>
    <w:rsid w:val="00EA3E74"/>
    <w:rsid w:val="00EA4F2E"/>
    <w:rsid w:val="00EA63ED"/>
    <w:rsid w:val="00EA6437"/>
    <w:rsid w:val="00EA709E"/>
    <w:rsid w:val="00EA7C5C"/>
    <w:rsid w:val="00EA7EE4"/>
    <w:rsid w:val="00EB1D3C"/>
    <w:rsid w:val="00EB1D4D"/>
    <w:rsid w:val="00EB3A49"/>
    <w:rsid w:val="00EB4135"/>
    <w:rsid w:val="00EB4532"/>
    <w:rsid w:val="00EB460C"/>
    <w:rsid w:val="00EB4A63"/>
    <w:rsid w:val="00EB5655"/>
    <w:rsid w:val="00EB76F6"/>
    <w:rsid w:val="00EC027D"/>
    <w:rsid w:val="00EC0BDC"/>
    <w:rsid w:val="00EC1634"/>
    <w:rsid w:val="00EC29D1"/>
    <w:rsid w:val="00EC3D82"/>
    <w:rsid w:val="00EC5D53"/>
    <w:rsid w:val="00EC5DF7"/>
    <w:rsid w:val="00EC66BB"/>
    <w:rsid w:val="00EC67AA"/>
    <w:rsid w:val="00EC6942"/>
    <w:rsid w:val="00EC7232"/>
    <w:rsid w:val="00ED0DCA"/>
    <w:rsid w:val="00ED1E0D"/>
    <w:rsid w:val="00ED3915"/>
    <w:rsid w:val="00ED5B4C"/>
    <w:rsid w:val="00ED6E7E"/>
    <w:rsid w:val="00ED7A27"/>
    <w:rsid w:val="00EE0689"/>
    <w:rsid w:val="00EE0BB2"/>
    <w:rsid w:val="00EE2A0B"/>
    <w:rsid w:val="00EE2D5A"/>
    <w:rsid w:val="00EE2E2E"/>
    <w:rsid w:val="00EE385A"/>
    <w:rsid w:val="00EE41C6"/>
    <w:rsid w:val="00EE57D6"/>
    <w:rsid w:val="00EE5A5D"/>
    <w:rsid w:val="00EE5F37"/>
    <w:rsid w:val="00EE6778"/>
    <w:rsid w:val="00EF0C3C"/>
    <w:rsid w:val="00EF0F99"/>
    <w:rsid w:val="00EF1DE6"/>
    <w:rsid w:val="00EF1E72"/>
    <w:rsid w:val="00EF349D"/>
    <w:rsid w:val="00EF35DC"/>
    <w:rsid w:val="00EF4FC8"/>
    <w:rsid w:val="00EF4FCD"/>
    <w:rsid w:val="00EF5113"/>
    <w:rsid w:val="00EF5681"/>
    <w:rsid w:val="00EF64A9"/>
    <w:rsid w:val="00EF6869"/>
    <w:rsid w:val="00EF7171"/>
    <w:rsid w:val="00F00F8D"/>
    <w:rsid w:val="00F01B1D"/>
    <w:rsid w:val="00F031FB"/>
    <w:rsid w:val="00F07123"/>
    <w:rsid w:val="00F1065A"/>
    <w:rsid w:val="00F107A5"/>
    <w:rsid w:val="00F1218A"/>
    <w:rsid w:val="00F154D0"/>
    <w:rsid w:val="00F15AC9"/>
    <w:rsid w:val="00F16294"/>
    <w:rsid w:val="00F16BD5"/>
    <w:rsid w:val="00F16BEC"/>
    <w:rsid w:val="00F173A1"/>
    <w:rsid w:val="00F17D85"/>
    <w:rsid w:val="00F202B3"/>
    <w:rsid w:val="00F2102E"/>
    <w:rsid w:val="00F2176D"/>
    <w:rsid w:val="00F22A1B"/>
    <w:rsid w:val="00F22DBA"/>
    <w:rsid w:val="00F23A75"/>
    <w:rsid w:val="00F248E5"/>
    <w:rsid w:val="00F249DA"/>
    <w:rsid w:val="00F26B4C"/>
    <w:rsid w:val="00F318EB"/>
    <w:rsid w:val="00F31BDF"/>
    <w:rsid w:val="00F3226D"/>
    <w:rsid w:val="00F326EF"/>
    <w:rsid w:val="00F329BC"/>
    <w:rsid w:val="00F336F3"/>
    <w:rsid w:val="00F341B0"/>
    <w:rsid w:val="00F3445D"/>
    <w:rsid w:val="00F356A0"/>
    <w:rsid w:val="00F364CD"/>
    <w:rsid w:val="00F37E67"/>
    <w:rsid w:val="00F40048"/>
    <w:rsid w:val="00F40961"/>
    <w:rsid w:val="00F40E38"/>
    <w:rsid w:val="00F42326"/>
    <w:rsid w:val="00F42A22"/>
    <w:rsid w:val="00F42D3A"/>
    <w:rsid w:val="00F43247"/>
    <w:rsid w:val="00F43986"/>
    <w:rsid w:val="00F440BC"/>
    <w:rsid w:val="00F443FC"/>
    <w:rsid w:val="00F44EB4"/>
    <w:rsid w:val="00F44F15"/>
    <w:rsid w:val="00F450A6"/>
    <w:rsid w:val="00F46544"/>
    <w:rsid w:val="00F4665C"/>
    <w:rsid w:val="00F47B87"/>
    <w:rsid w:val="00F47F46"/>
    <w:rsid w:val="00F52D19"/>
    <w:rsid w:val="00F52D1A"/>
    <w:rsid w:val="00F538AE"/>
    <w:rsid w:val="00F53B06"/>
    <w:rsid w:val="00F54021"/>
    <w:rsid w:val="00F54337"/>
    <w:rsid w:val="00F5467C"/>
    <w:rsid w:val="00F56442"/>
    <w:rsid w:val="00F579A1"/>
    <w:rsid w:val="00F61412"/>
    <w:rsid w:val="00F616BC"/>
    <w:rsid w:val="00F61BA8"/>
    <w:rsid w:val="00F635A9"/>
    <w:rsid w:val="00F65D30"/>
    <w:rsid w:val="00F67CAF"/>
    <w:rsid w:val="00F707B2"/>
    <w:rsid w:val="00F7111B"/>
    <w:rsid w:val="00F712AD"/>
    <w:rsid w:val="00F72E09"/>
    <w:rsid w:val="00F7338D"/>
    <w:rsid w:val="00F73BD1"/>
    <w:rsid w:val="00F80756"/>
    <w:rsid w:val="00F807E3"/>
    <w:rsid w:val="00F81305"/>
    <w:rsid w:val="00F8251F"/>
    <w:rsid w:val="00F826BE"/>
    <w:rsid w:val="00F84855"/>
    <w:rsid w:val="00F84F81"/>
    <w:rsid w:val="00F863B1"/>
    <w:rsid w:val="00F869BC"/>
    <w:rsid w:val="00F86AB8"/>
    <w:rsid w:val="00F87663"/>
    <w:rsid w:val="00F906BB"/>
    <w:rsid w:val="00F90AEB"/>
    <w:rsid w:val="00F91388"/>
    <w:rsid w:val="00F91643"/>
    <w:rsid w:val="00F92457"/>
    <w:rsid w:val="00F93103"/>
    <w:rsid w:val="00F945CF"/>
    <w:rsid w:val="00F958CB"/>
    <w:rsid w:val="00FA10B1"/>
    <w:rsid w:val="00FA2AF6"/>
    <w:rsid w:val="00FA3577"/>
    <w:rsid w:val="00FA4AC9"/>
    <w:rsid w:val="00FA4C74"/>
    <w:rsid w:val="00FA56BF"/>
    <w:rsid w:val="00FA5965"/>
    <w:rsid w:val="00FA5C52"/>
    <w:rsid w:val="00FA5EC7"/>
    <w:rsid w:val="00FA67A8"/>
    <w:rsid w:val="00FA7678"/>
    <w:rsid w:val="00FB01BF"/>
    <w:rsid w:val="00FB0854"/>
    <w:rsid w:val="00FB13EB"/>
    <w:rsid w:val="00FB1CE7"/>
    <w:rsid w:val="00FB2D57"/>
    <w:rsid w:val="00FB39EE"/>
    <w:rsid w:val="00FB3C9A"/>
    <w:rsid w:val="00FB5055"/>
    <w:rsid w:val="00FB5AEB"/>
    <w:rsid w:val="00FB7056"/>
    <w:rsid w:val="00FC0589"/>
    <w:rsid w:val="00FC15EC"/>
    <w:rsid w:val="00FC239D"/>
    <w:rsid w:val="00FC4D92"/>
    <w:rsid w:val="00FC5BAD"/>
    <w:rsid w:val="00FC5D1F"/>
    <w:rsid w:val="00FC5EB1"/>
    <w:rsid w:val="00FC644D"/>
    <w:rsid w:val="00FC6F7B"/>
    <w:rsid w:val="00FC7A9F"/>
    <w:rsid w:val="00FD3E50"/>
    <w:rsid w:val="00FD603F"/>
    <w:rsid w:val="00FE0436"/>
    <w:rsid w:val="00FE13E1"/>
    <w:rsid w:val="00FE1577"/>
    <w:rsid w:val="00FE161D"/>
    <w:rsid w:val="00FE2C09"/>
    <w:rsid w:val="00FE3698"/>
    <w:rsid w:val="00FE3851"/>
    <w:rsid w:val="00FE4545"/>
    <w:rsid w:val="00FE5B15"/>
    <w:rsid w:val="00FE5C2C"/>
    <w:rsid w:val="00FE5CF7"/>
    <w:rsid w:val="00FE5D33"/>
    <w:rsid w:val="00FE60AA"/>
    <w:rsid w:val="00FE69F0"/>
    <w:rsid w:val="00FE70FA"/>
    <w:rsid w:val="00FE7458"/>
    <w:rsid w:val="00FF2D89"/>
    <w:rsid w:val="00FF3681"/>
    <w:rsid w:val="00FF3950"/>
    <w:rsid w:val="00FF3B7D"/>
    <w:rsid w:val="00FF4479"/>
    <w:rsid w:val="00FF5634"/>
    <w:rsid w:val="00FF6734"/>
    <w:rsid w:val="00FF6805"/>
    <w:rsid w:val="00FF6C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F29"/>
    <w:pPr>
      <w:tabs>
        <w:tab w:val="center" w:pos="4513"/>
        <w:tab w:val="right" w:pos="9026"/>
      </w:tabs>
    </w:pPr>
    <w:rPr>
      <w:szCs w:val="22"/>
      <w:lang w:eastAsia="en-US"/>
    </w:rPr>
  </w:style>
  <w:style w:type="character" w:customStyle="1" w:styleId="HeaderChar">
    <w:name w:val="Header Char"/>
    <w:basedOn w:val="DefaultParagraphFont"/>
    <w:link w:val="Header"/>
    <w:uiPriority w:val="99"/>
    <w:rsid w:val="006E1F29"/>
    <w:rPr>
      <w:sz w:val="24"/>
      <w:szCs w:val="22"/>
      <w:lang w:eastAsia="en-US"/>
    </w:rPr>
  </w:style>
  <w:style w:type="paragraph" w:styleId="Footer">
    <w:name w:val="footer"/>
    <w:basedOn w:val="Normal"/>
    <w:link w:val="FooterChar"/>
    <w:uiPriority w:val="99"/>
    <w:unhideWhenUsed/>
    <w:rsid w:val="006E1F29"/>
    <w:pPr>
      <w:tabs>
        <w:tab w:val="center" w:pos="4513"/>
        <w:tab w:val="right" w:pos="9026"/>
      </w:tabs>
    </w:pPr>
    <w:rPr>
      <w:szCs w:val="22"/>
      <w:lang w:eastAsia="en-US"/>
    </w:rPr>
  </w:style>
  <w:style w:type="character" w:customStyle="1" w:styleId="FooterChar">
    <w:name w:val="Footer Char"/>
    <w:basedOn w:val="DefaultParagraphFont"/>
    <w:link w:val="Footer"/>
    <w:uiPriority w:val="99"/>
    <w:rsid w:val="006E1F29"/>
    <w:rPr>
      <w:sz w:val="24"/>
      <w:szCs w:val="22"/>
      <w:lang w:eastAsia="en-US"/>
    </w:rPr>
  </w:style>
  <w:style w:type="table" w:customStyle="1" w:styleId="TableGrid1">
    <w:name w:val="Table Grid1"/>
    <w:basedOn w:val="TableNormal"/>
    <w:next w:val="TableGrid"/>
    <w:uiPriority w:val="59"/>
    <w:rsid w:val="006E1F29"/>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E1F29"/>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E1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E1F29"/>
    <w:rPr>
      <w:rFonts w:ascii="Tahoma" w:hAnsi="Tahoma" w:cs="Tahoma"/>
      <w:sz w:val="16"/>
      <w:szCs w:val="16"/>
    </w:rPr>
  </w:style>
  <w:style w:type="character" w:customStyle="1" w:styleId="BalloonTextChar">
    <w:name w:val="Balloon Text Char"/>
    <w:basedOn w:val="DefaultParagraphFont"/>
    <w:link w:val="BalloonText"/>
    <w:rsid w:val="006E1F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F29"/>
    <w:pPr>
      <w:tabs>
        <w:tab w:val="center" w:pos="4513"/>
        <w:tab w:val="right" w:pos="9026"/>
      </w:tabs>
    </w:pPr>
    <w:rPr>
      <w:szCs w:val="22"/>
      <w:lang w:eastAsia="en-US"/>
    </w:rPr>
  </w:style>
  <w:style w:type="character" w:customStyle="1" w:styleId="HeaderChar">
    <w:name w:val="Header Char"/>
    <w:basedOn w:val="DefaultParagraphFont"/>
    <w:link w:val="Header"/>
    <w:uiPriority w:val="99"/>
    <w:rsid w:val="006E1F29"/>
    <w:rPr>
      <w:sz w:val="24"/>
      <w:szCs w:val="22"/>
      <w:lang w:eastAsia="en-US"/>
    </w:rPr>
  </w:style>
  <w:style w:type="paragraph" w:styleId="Footer">
    <w:name w:val="footer"/>
    <w:basedOn w:val="Normal"/>
    <w:link w:val="FooterChar"/>
    <w:uiPriority w:val="99"/>
    <w:unhideWhenUsed/>
    <w:rsid w:val="006E1F29"/>
    <w:pPr>
      <w:tabs>
        <w:tab w:val="center" w:pos="4513"/>
        <w:tab w:val="right" w:pos="9026"/>
      </w:tabs>
    </w:pPr>
    <w:rPr>
      <w:szCs w:val="22"/>
      <w:lang w:eastAsia="en-US"/>
    </w:rPr>
  </w:style>
  <w:style w:type="character" w:customStyle="1" w:styleId="FooterChar">
    <w:name w:val="Footer Char"/>
    <w:basedOn w:val="DefaultParagraphFont"/>
    <w:link w:val="Footer"/>
    <w:uiPriority w:val="99"/>
    <w:rsid w:val="006E1F29"/>
    <w:rPr>
      <w:sz w:val="24"/>
      <w:szCs w:val="22"/>
      <w:lang w:eastAsia="en-US"/>
    </w:rPr>
  </w:style>
  <w:style w:type="table" w:customStyle="1" w:styleId="TableGrid1">
    <w:name w:val="Table Grid1"/>
    <w:basedOn w:val="TableNormal"/>
    <w:next w:val="TableGrid"/>
    <w:uiPriority w:val="59"/>
    <w:rsid w:val="006E1F29"/>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E1F29"/>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E1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E1F29"/>
    <w:rPr>
      <w:rFonts w:ascii="Tahoma" w:hAnsi="Tahoma" w:cs="Tahoma"/>
      <w:sz w:val="16"/>
      <w:szCs w:val="16"/>
    </w:rPr>
  </w:style>
  <w:style w:type="character" w:customStyle="1" w:styleId="BalloonTextChar">
    <w:name w:val="Balloon Text Char"/>
    <w:basedOn w:val="DefaultParagraphFont"/>
    <w:link w:val="BalloonText"/>
    <w:rsid w:val="006E1F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89E03814.dotm</Template>
  <TotalTime>2</TotalTime>
  <Pages>6</Pages>
  <Words>1852</Words>
  <Characters>10880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Mason</dc:creator>
  <cp:lastModifiedBy>Rob Mason</cp:lastModifiedBy>
  <cp:revision>3</cp:revision>
  <dcterms:created xsi:type="dcterms:W3CDTF">2017-01-04T22:36:00Z</dcterms:created>
  <dcterms:modified xsi:type="dcterms:W3CDTF">2017-01-04T22:41:00Z</dcterms:modified>
</cp:coreProperties>
</file>