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3" w:rsidRPr="00682E4C" w:rsidRDefault="00C4229E" w:rsidP="00D50927">
      <w:pPr>
        <w:jc w:val="center"/>
        <w:rPr>
          <w:sz w:val="26"/>
        </w:rPr>
      </w:pPr>
      <w:bookmarkStart w:id="0" w:name="_GoBack"/>
      <w:bookmarkEnd w:id="0"/>
      <w:r>
        <w:rPr>
          <w:noProof/>
          <w:sz w:val="26"/>
          <w:lang w:eastAsia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D3" w:rsidRPr="00C17689" w:rsidRDefault="007D75A4" w:rsidP="00D50927">
      <w:pPr>
        <w:pStyle w:val="Title"/>
        <w:jc w:val="center"/>
        <w:rPr>
          <w:sz w:val="38"/>
          <w:szCs w:val="38"/>
        </w:rPr>
      </w:pPr>
      <w:r w:rsidRPr="00C17689">
        <w:rPr>
          <w:sz w:val="38"/>
          <w:szCs w:val="38"/>
        </w:rPr>
        <w:t>Safety Zone</w:t>
      </w:r>
      <w:r w:rsidR="007A10D3" w:rsidRPr="00C17689">
        <w:rPr>
          <w:sz w:val="38"/>
          <w:szCs w:val="38"/>
        </w:rPr>
        <w:t xml:space="preserve"> </w:t>
      </w:r>
      <w:r w:rsidR="00937485" w:rsidRPr="00C17689">
        <w:rPr>
          <w:sz w:val="38"/>
          <w:szCs w:val="38"/>
        </w:rPr>
        <w:t>Notice</w:t>
      </w:r>
      <w:r w:rsidRPr="00C17689">
        <w:rPr>
          <w:sz w:val="38"/>
          <w:szCs w:val="38"/>
        </w:rPr>
        <w:t xml:space="preserve"> (Sea Installation – </w:t>
      </w:r>
      <w:r w:rsidR="007F12AE" w:rsidRPr="00C17689">
        <w:rPr>
          <w:sz w:val="38"/>
          <w:szCs w:val="38"/>
        </w:rPr>
        <w:t>CETO 6</w:t>
      </w:r>
      <w:r w:rsidRPr="00C17689">
        <w:rPr>
          <w:sz w:val="38"/>
          <w:szCs w:val="38"/>
        </w:rPr>
        <w:t>)</w:t>
      </w:r>
      <w:r w:rsidR="009D5DEE" w:rsidRPr="00C17689">
        <w:rPr>
          <w:sz w:val="38"/>
          <w:szCs w:val="38"/>
        </w:rPr>
        <w:t xml:space="preserve"> </w:t>
      </w:r>
      <w:r w:rsidR="007A10D3" w:rsidRPr="00C17689">
        <w:rPr>
          <w:sz w:val="38"/>
          <w:szCs w:val="38"/>
        </w:rPr>
        <w:t>20</w:t>
      </w:r>
      <w:r w:rsidR="00120A36" w:rsidRPr="00C17689">
        <w:rPr>
          <w:sz w:val="38"/>
          <w:szCs w:val="38"/>
        </w:rPr>
        <w:t>16</w:t>
      </w:r>
    </w:p>
    <w:p w:rsidR="007A10D3" w:rsidRPr="00D50927" w:rsidRDefault="007D75A4" w:rsidP="007A10D3">
      <w:pPr>
        <w:pBdr>
          <w:bottom w:val="single" w:sz="4" w:space="1" w:color="auto"/>
        </w:pBdr>
        <w:spacing w:before="480"/>
        <w:rPr>
          <w:i/>
        </w:rPr>
      </w:pPr>
      <w:r>
        <w:rPr>
          <w:i/>
        </w:rPr>
        <w:t>Sea Installations Act 1987</w:t>
      </w:r>
    </w:p>
    <w:p w:rsidR="007A10D3" w:rsidRPr="00682E4C" w:rsidRDefault="007A10D3" w:rsidP="007A10D3">
      <w:pPr>
        <w:spacing w:before="360"/>
        <w:jc w:val="both"/>
      </w:pPr>
      <w:r w:rsidRPr="00A011D7">
        <w:t xml:space="preserve">I, </w:t>
      </w:r>
      <w:r w:rsidR="007D75A4" w:rsidRPr="00A011D7">
        <w:t>GREG HUNT</w:t>
      </w:r>
      <w:r w:rsidR="00120A36" w:rsidRPr="00A011D7">
        <w:t xml:space="preserve">, </w:t>
      </w:r>
      <w:r w:rsidRPr="00A011D7">
        <w:t>Minister for</w:t>
      </w:r>
      <w:r w:rsidR="007D75A4" w:rsidRPr="00A011D7">
        <w:t xml:space="preserve"> the Environment</w:t>
      </w:r>
      <w:r w:rsidRPr="00A011D7">
        <w:t>, make</w:t>
      </w:r>
      <w:r w:rsidRPr="00682E4C">
        <w:t xml:space="preserve"> this </w:t>
      </w:r>
      <w:r w:rsidR="00161909">
        <w:t>notice</w:t>
      </w:r>
      <w:r w:rsidR="009D5DEE" w:rsidRPr="00682E4C">
        <w:t xml:space="preserve"> </w:t>
      </w:r>
      <w:r w:rsidRPr="00682E4C">
        <w:t>under sub</w:t>
      </w:r>
      <w:r w:rsidR="00D1091D" w:rsidRPr="00682E4C">
        <w:t>section</w:t>
      </w:r>
      <w:r w:rsidRPr="00682E4C">
        <w:t xml:space="preserve"> </w:t>
      </w:r>
      <w:r w:rsidR="007D75A4">
        <w:t>57</w:t>
      </w:r>
      <w:r w:rsidR="0088344B">
        <w:t>(1)</w:t>
      </w:r>
      <w:r w:rsidRPr="00682E4C">
        <w:t xml:space="preserve"> of the </w:t>
      </w:r>
      <w:r w:rsidR="007D75A4">
        <w:rPr>
          <w:i/>
        </w:rPr>
        <w:t>Sea Installations</w:t>
      </w:r>
      <w:r w:rsidRPr="00682E4C">
        <w:rPr>
          <w:i/>
        </w:rPr>
        <w:t xml:space="preserve"> Act 198</w:t>
      </w:r>
      <w:r w:rsidR="007D75A4">
        <w:rPr>
          <w:i/>
        </w:rPr>
        <w:t>7</w:t>
      </w:r>
      <w:r w:rsidRPr="00682E4C">
        <w:t>.</w:t>
      </w:r>
    </w:p>
    <w:p w:rsidR="007A10D3" w:rsidRPr="00682E4C" w:rsidRDefault="007A10D3" w:rsidP="007A10D3">
      <w:pPr>
        <w:tabs>
          <w:tab w:val="left" w:pos="3119"/>
        </w:tabs>
        <w:spacing w:before="300" w:after="600" w:line="300" w:lineRule="atLeast"/>
      </w:pPr>
      <w:r w:rsidRPr="00682E4C">
        <w:t>Dated</w:t>
      </w:r>
      <w:r w:rsidR="005143E4">
        <w:t xml:space="preserve">  </w:t>
      </w:r>
      <w:r w:rsidR="00CE0070">
        <w:t>04 May 2016</w:t>
      </w:r>
      <w:r w:rsidR="005143E4">
        <w:t xml:space="preserve">              </w:t>
      </w:r>
    </w:p>
    <w:p w:rsidR="00CE2A8C" w:rsidRPr="00682E4C" w:rsidRDefault="00E35421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Greg Hunt</w:t>
      </w:r>
    </w:p>
    <w:p w:rsidR="007A10D3" w:rsidRPr="00682E4C" w:rsidRDefault="007A10D3" w:rsidP="00CE2A8C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682E4C">
        <w:t xml:space="preserve">Minister for </w:t>
      </w:r>
      <w:r w:rsidR="007D75A4">
        <w:t>the Environment</w:t>
      </w:r>
      <w:r w:rsidRPr="00682E4C">
        <w:rPr>
          <w:rStyle w:val="CharDivText"/>
        </w:rPr>
        <w:t xml:space="preserve"> </w:t>
      </w:r>
    </w:p>
    <w:p w:rsidR="007A10D3" w:rsidRPr="00682E4C" w:rsidRDefault="007A10D3" w:rsidP="007A10D3">
      <w:pPr>
        <w:pStyle w:val="HR"/>
        <w:spacing w:before="0"/>
      </w:pPr>
      <w:r w:rsidRPr="00682E4C">
        <w:rPr>
          <w:rStyle w:val="CharSectno"/>
        </w:rPr>
        <w:t>1</w:t>
      </w:r>
      <w:r w:rsidRPr="00682E4C">
        <w:tab/>
        <w:t xml:space="preserve">Name of </w:t>
      </w:r>
      <w:r w:rsidR="00DA3F21">
        <w:t>Notice</w:t>
      </w:r>
    </w:p>
    <w:p w:rsidR="007A10D3" w:rsidRPr="00682E4C" w:rsidRDefault="007A10D3" w:rsidP="007A10D3">
      <w:pPr>
        <w:pStyle w:val="R1"/>
      </w:pPr>
      <w:r w:rsidRPr="00682E4C">
        <w:tab/>
      </w:r>
      <w:r w:rsidRPr="00682E4C">
        <w:tab/>
        <w:t xml:space="preserve">This is the </w:t>
      </w:r>
      <w:r w:rsidR="00120A36" w:rsidRPr="00A011D7">
        <w:rPr>
          <w:i/>
        </w:rPr>
        <w:t>Safety</w:t>
      </w:r>
      <w:r w:rsidR="007D75A4" w:rsidRPr="00A011D7">
        <w:rPr>
          <w:i/>
        </w:rPr>
        <w:t xml:space="preserve"> Zone</w:t>
      </w:r>
      <w:r w:rsidR="00120A36" w:rsidRPr="00A011D7">
        <w:rPr>
          <w:i/>
        </w:rPr>
        <w:t xml:space="preserve"> </w:t>
      </w:r>
      <w:r w:rsidR="00937485" w:rsidRPr="00A011D7">
        <w:rPr>
          <w:i/>
        </w:rPr>
        <w:t>Notice</w:t>
      </w:r>
      <w:r w:rsidR="007D75A4" w:rsidRPr="00A011D7">
        <w:rPr>
          <w:i/>
        </w:rPr>
        <w:t xml:space="preserve"> (Sea Installation –</w:t>
      </w:r>
      <w:r w:rsidR="00DA3F21" w:rsidRPr="00A011D7">
        <w:rPr>
          <w:i/>
        </w:rPr>
        <w:t xml:space="preserve"> CETO 6</w:t>
      </w:r>
      <w:r w:rsidR="007D75A4" w:rsidRPr="00A011D7">
        <w:rPr>
          <w:i/>
        </w:rPr>
        <w:t>)</w:t>
      </w:r>
      <w:r w:rsidR="00120A36" w:rsidRPr="00A011D7">
        <w:rPr>
          <w:i/>
        </w:rPr>
        <w:t xml:space="preserve"> 2016</w:t>
      </w:r>
      <w:r w:rsidR="00290D86">
        <w:t>.</w:t>
      </w:r>
    </w:p>
    <w:p w:rsidR="0092250E" w:rsidRDefault="0092250E" w:rsidP="007A10D3">
      <w:pPr>
        <w:pStyle w:val="HR"/>
        <w:rPr>
          <w:rStyle w:val="CharSectno"/>
        </w:rPr>
      </w:pPr>
      <w:r>
        <w:rPr>
          <w:rStyle w:val="CharSectno"/>
        </w:rPr>
        <w:t>2</w:t>
      </w:r>
      <w:r>
        <w:rPr>
          <w:rStyle w:val="CharSectno"/>
        </w:rPr>
        <w:tab/>
        <w:t>Authority</w:t>
      </w:r>
    </w:p>
    <w:p w:rsidR="0092250E" w:rsidRPr="00D50927" w:rsidRDefault="0092250E" w:rsidP="00D50927">
      <w:pPr>
        <w:pStyle w:val="R1"/>
        <w:tabs>
          <w:tab w:val="clear" w:pos="794"/>
          <w:tab w:val="right" w:pos="993"/>
        </w:tabs>
        <w:jc w:val="left"/>
      </w:pPr>
      <w:r>
        <w:tab/>
        <w:t xml:space="preserve">This </w:t>
      </w:r>
      <w:r w:rsidR="00937485">
        <w:t>notice</w:t>
      </w:r>
      <w:r>
        <w:t xml:space="preserve"> is made under </w:t>
      </w:r>
      <w:r w:rsidR="00D50927">
        <w:t xml:space="preserve">subsection </w:t>
      </w:r>
      <w:r w:rsidR="007D75A4">
        <w:t>57</w:t>
      </w:r>
      <w:r w:rsidR="00A011D7">
        <w:t>(1)</w:t>
      </w:r>
      <w:r w:rsidR="007D75A4">
        <w:t xml:space="preserve"> of </w:t>
      </w:r>
      <w:r w:rsidR="0088344B">
        <w:t xml:space="preserve">the </w:t>
      </w:r>
      <w:r w:rsidR="007D75A4">
        <w:rPr>
          <w:i/>
        </w:rPr>
        <w:t>Sea Installations Act 1987</w:t>
      </w:r>
      <w:r>
        <w:t>.</w:t>
      </w:r>
    </w:p>
    <w:p w:rsidR="007A10D3" w:rsidRPr="00682E4C" w:rsidRDefault="0092250E" w:rsidP="007A10D3">
      <w:pPr>
        <w:pStyle w:val="HR"/>
      </w:pPr>
      <w:r>
        <w:rPr>
          <w:rStyle w:val="CharSectno"/>
        </w:rPr>
        <w:t>3</w:t>
      </w:r>
      <w:r w:rsidR="007A10D3" w:rsidRPr="00682E4C">
        <w:tab/>
        <w:t>Commencement</w:t>
      </w:r>
      <w:r w:rsidR="00FD4AE3">
        <w:t xml:space="preserve"> </w:t>
      </w:r>
    </w:p>
    <w:p w:rsidR="009B4905" w:rsidRDefault="009B4905" w:rsidP="00F07C20">
      <w:pPr>
        <w:pStyle w:val="R1"/>
        <w:ind w:left="1440" w:hanging="447"/>
      </w:pPr>
      <w:r>
        <w:t>(1</w:t>
      </w:r>
      <w:r w:rsidR="00A011D7">
        <w:t>)</w:t>
      </w:r>
      <w:r w:rsidR="00A011D7">
        <w:tab/>
      </w:r>
      <w:r>
        <w:t xml:space="preserve">Sections 1 to 4 and Schedule 1 commence </w:t>
      </w:r>
      <w:r w:rsidR="008012A9">
        <w:t xml:space="preserve">at </w:t>
      </w:r>
      <w:r w:rsidRPr="009B4905">
        <w:t>the start of the day after the day the instrument is registered</w:t>
      </w:r>
      <w:r>
        <w:t>.</w:t>
      </w:r>
    </w:p>
    <w:p w:rsidR="009B4905" w:rsidRPr="009B4905" w:rsidRDefault="009B4905" w:rsidP="009B4905"/>
    <w:p w:rsidR="00E92C6C" w:rsidRDefault="009B4905" w:rsidP="00F07C20">
      <w:pPr>
        <w:pStyle w:val="R1"/>
        <w:ind w:left="1440" w:hanging="447"/>
      </w:pPr>
      <w:r>
        <w:t>(2)</w:t>
      </w:r>
      <w:r>
        <w:tab/>
      </w:r>
      <w:r w:rsidR="00F07C20">
        <w:t>Subs</w:t>
      </w:r>
      <w:r w:rsidR="00161909">
        <w:t>ection 5</w:t>
      </w:r>
      <w:r w:rsidR="00F07C20">
        <w:t>(1)</w:t>
      </w:r>
      <w:r w:rsidR="005F367C">
        <w:t xml:space="preserve"> </w:t>
      </w:r>
      <w:r w:rsidR="00A211D0">
        <w:t>commences</w:t>
      </w:r>
      <w:r w:rsidR="00533678">
        <w:t xml:space="preserve"> on a day fixed </w:t>
      </w:r>
      <w:r w:rsidR="001C7748">
        <w:t>by the Minister</w:t>
      </w:r>
      <w:r w:rsidR="001C7748" w:rsidRPr="008315E3">
        <w:rPr>
          <w:shd w:val="clear" w:color="auto" w:fill="FFFFFF" w:themeFill="background1"/>
        </w:rPr>
        <w:t>, or</w:t>
      </w:r>
      <w:r w:rsidR="008315E3" w:rsidRPr="008315E3">
        <w:rPr>
          <w:shd w:val="clear" w:color="auto" w:fill="FFFFFF" w:themeFill="background1"/>
        </w:rPr>
        <w:t xml:space="preserve"> an SES employee in the Department of the Environment</w:t>
      </w:r>
      <w:r w:rsidR="001C7748" w:rsidRPr="008315E3">
        <w:rPr>
          <w:shd w:val="clear" w:color="auto" w:fill="FFFFFF" w:themeFill="background1"/>
        </w:rPr>
        <w:t>,</w:t>
      </w:r>
      <w:r w:rsidR="001C7748">
        <w:t xml:space="preserve"> </w:t>
      </w:r>
      <w:r w:rsidR="00533678" w:rsidRPr="00A011D7">
        <w:t>by</w:t>
      </w:r>
      <w:r w:rsidR="00533678">
        <w:t xml:space="preserve"> </w:t>
      </w:r>
      <w:r w:rsidR="0036700D">
        <w:t>notifiable instrument</w:t>
      </w:r>
      <w:r w:rsidR="00533678">
        <w:t>.</w:t>
      </w:r>
    </w:p>
    <w:p w:rsidR="00D76107" w:rsidRPr="00D76107" w:rsidRDefault="00D76107" w:rsidP="00D76107"/>
    <w:p w:rsidR="00F07C20" w:rsidRDefault="009B4905" w:rsidP="00F07C20">
      <w:pPr>
        <w:ind w:left="1440" w:hanging="447"/>
      </w:pPr>
      <w:r>
        <w:t>(3</w:t>
      </w:r>
      <w:r w:rsidR="005F367C">
        <w:t>)</w:t>
      </w:r>
      <w:r w:rsidR="005F367C">
        <w:tab/>
        <w:t xml:space="preserve">Subsection 5(2) </w:t>
      </w:r>
      <w:r w:rsidR="00A211D0">
        <w:t>commences</w:t>
      </w:r>
      <w:r w:rsidR="00F07C20">
        <w:t xml:space="preserve"> on a day fixed </w:t>
      </w:r>
      <w:r w:rsidR="00F07C20" w:rsidRPr="00A011D7">
        <w:t>by the Minister</w:t>
      </w:r>
      <w:r w:rsidR="003B435F">
        <w:t xml:space="preserve">, </w:t>
      </w:r>
      <w:r w:rsidR="008315E3" w:rsidRPr="008315E3">
        <w:t>or an SES employee in the Department of the Environment</w:t>
      </w:r>
      <w:r w:rsidR="003B435F" w:rsidRPr="008315E3">
        <w:t>,</w:t>
      </w:r>
      <w:r w:rsidR="00F07C20" w:rsidRPr="00A011D7">
        <w:t xml:space="preserve"> by</w:t>
      </w:r>
      <w:r w:rsidR="00F07C20">
        <w:t xml:space="preserve"> </w:t>
      </w:r>
      <w:r w:rsidR="0036700D">
        <w:t>notifiable instrument</w:t>
      </w:r>
      <w:r w:rsidR="00F07C20">
        <w:t xml:space="preserve"> and remains in effect for a period of 5 weeks </w:t>
      </w:r>
      <w:r w:rsidR="0088344B">
        <w:t>beginning on</w:t>
      </w:r>
      <w:r w:rsidR="00902B47">
        <w:t xml:space="preserve"> that day</w:t>
      </w:r>
      <w:r w:rsidR="00F07C20">
        <w:t>.</w:t>
      </w:r>
    </w:p>
    <w:p w:rsidR="00D50927" w:rsidRDefault="00D50927" w:rsidP="00D50927"/>
    <w:p w:rsidR="00D50927" w:rsidRDefault="00D50927" w:rsidP="00D50927">
      <w:pPr>
        <w:tabs>
          <w:tab w:val="left" w:pos="993"/>
        </w:tabs>
        <w:rPr>
          <w:rFonts w:ascii="Arial" w:hAnsi="Arial" w:cs="Arial"/>
          <w:b/>
        </w:rPr>
      </w:pPr>
      <w:r w:rsidRPr="00D509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Definitions</w:t>
      </w:r>
    </w:p>
    <w:p w:rsidR="00202BDF" w:rsidRPr="003E17BB" w:rsidRDefault="00724AEC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>CETO 6 Site</w:t>
      </w:r>
      <w:r w:rsidR="003E17BB">
        <w:rPr>
          <w:b/>
          <w:i/>
        </w:rPr>
        <w:t xml:space="preserve"> </w:t>
      </w:r>
      <w:r w:rsidR="002A457B">
        <w:t>means the site represented by the area within points L to O</w:t>
      </w:r>
      <w:r w:rsidR="003E17BB">
        <w:t xml:space="preserve"> </w:t>
      </w:r>
      <w:r w:rsidR="002044FE">
        <w:t xml:space="preserve">on the plan in Schedule </w:t>
      </w:r>
      <w:r w:rsidR="007D2E62">
        <w:t xml:space="preserve">1 </w:t>
      </w:r>
      <w:r w:rsidR="002A457B">
        <w:t>together with the area extending</w:t>
      </w:r>
      <w:r w:rsidR="003D7771">
        <w:t xml:space="preserve"> to a distance of 25 met</w:t>
      </w:r>
      <w:r w:rsidR="002A457B">
        <w:t>r</w:t>
      </w:r>
      <w:r w:rsidR="003D7771">
        <w:t>e</w:t>
      </w:r>
      <w:r w:rsidR="002A457B">
        <w:t>s either side of the line joining points P to K (the export cable)</w:t>
      </w:r>
      <w:r w:rsidR="003E17BB" w:rsidRPr="003E17BB">
        <w:t>.</w:t>
      </w:r>
    </w:p>
    <w:p w:rsidR="00D76107" w:rsidRDefault="002A457B" w:rsidP="003D7771">
      <w:pPr>
        <w:keepNext/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lastRenderedPageBreak/>
        <w:t>exempt v</w:t>
      </w:r>
      <w:r w:rsidR="00D76107">
        <w:rPr>
          <w:b/>
          <w:i/>
        </w:rPr>
        <w:t>essels</w:t>
      </w:r>
      <w:r w:rsidR="008E3506">
        <w:rPr>
          <w:b/>
          <w:i/>
        </w:rPr>
        <w:t xml:space="preserve"> </w:t>
      </w:r>
      <w:r w:rsidR="008E3506">
        <w:t>means:</w:t>
      </w:r>
    </w:p>
    <w:p w:rsidR="008E3506" w:rsidRDefault="008E3506" w:rsidP="008E3506">
      <w:pPr>
        <w:pStyle w:val="R1"/>
        <w:tabs>
          <w:tab w:val="left" w:pos="993"/>
        </w:tabs>
        <w:ind w:left="1440"/>
      </w:pPr>
      <w:r>
        <w:tab/>
      </w:r>
      <w:r>
        <w:tab/>
        <w:t>(a)</w:t>
      </w:r>
      <w:r>
        <w:tab/>
        <w:t>vessels owned or operated by the licensee or its nominees or agents</w:t>
      </w:r>
      <w:r w:rsidRPr="0003160A">
        <w:t xml:space="preserve">, </w:t>
      </w:r>
      <w:r>
        <w:t>or</w:t>
      </w:r>
    </w:p>
    <w:p w:rsidR="008E3506" w:rsidRDefault="008E3506" w:rsidP="008E3506">
      <w:pPr>
        <w:pStyle w:val="R1"/>
        <w:tabs>
          <w:tab w:val="left" w:pos="993"/>
        </w:tabs>
        <w:ind w:left="1436" w:hanging="960"/>
      </w:pPr>
      <w:r>
        <w:tab/>
      </w:r>
      <w:r>
        <w:tab/>
        <w:t>(b)</w:t>
      </w:r>
      <w:r>
        <w:tab/>
        <w:t>vessels owned or operated by the Commonwealth or its nominees or agents.</w:t>
      </w:r>
    </w:p>
    <w:p w:rsidR="0036700D" w:rsidRDefault="0036700D" w:rsidP="0036700D"/>
    <w:p w:rsidR="0036700D" w:rsidRPr="002A457B" w:rsidRDefault="0036700D" w:rsidP="0036700D">
      <w:pPr>
        <w:ind w:left="2160" w:hanging="1167"/>
        <w:rPr>
          <w:i/>
          <w:sz w:val="20"/>
        </w:rPr>
      </w:pPr>
      <w:r w:rsidRPr="002A457B">
        <w:rPr>
          <w:i/>
          <w:sz w:val="20"/>
        </w:rPr>
        <w:t>Note:</w:t>
      </w:r>
      <w:r w:rsidRPr="002A457B">
        <w:rPr>
          <w:i/>
          <w:sz w:val="20"/>
        </w:rPr>
        <w:tab/>
      </w:r>
      <w:r w:rsidRPr="002A457B">
        <w:rPr>
          <w:sz w:val="20"/>
        </w:rPr>
        <w:t>The licence limits the circumstances in which the Commonwealth or its nominees or agents may access the safety zones prescribed in this notice.</w:t>
      </w:r>
    </w:p>
    <w:p w:rsidR="00391C5D" w:rsidRPr="00391C5D" w:rsidRDefault="00391C5D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 xml:space="preserve">export cable </w:t>
      </w:r>
      <w:r>
        <w:t xml:space="preserve">means the export cable to be attached to the </w:t>
      </w:r>
      <w:r w:rsidR="00594156">
        <w:t xml:space="preserve">CETO 6 wave energy devices </w:t>
      </w:r>
      <w:r>
        <w:t xml:space="preserve">and extending to </w:t>
      </w:r>
      <w:r w:rsidR="00096F0B">
        <w:t xml:space="preserve">the </w:t>
      </w:r>
      <w:r w:rsidR="002A457B">
        <w:t>State coastal water boundary</w:t>
      </w:r>
      <w:r w:rsidR="00804E6B">
        <w:t>.</w:t>
      </w:r>
    </w:p>
    <w:p w:rsidR="00724AEC" w:rsidRDefault="002044FE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>l</w:t>
      </w:r>
      <w:r w:rsidR="00724AEC">
        <w:rPr>
          <w:b/>
          <w:i/>
        </w:rPr>
        <w:t>icence</w:t>
      </w:r>
      <w:r>
        <w:rPr>
          <w:b/>
          <w:i/>
        </w:rPr>
        <w:t xml:space="preserve"> </w:t>
      </w:r>
      <w:r>
        <w:t>means the licence granted by the Commonwealth for the construction and operation of a wave energy plant at the CETO 6 (Garden Island) Site</w:t>
      </w:r>
      <w:r w:rsidR="00B72404">
        <w:t>.</w:t>
      </w:r>
    </w:p>
    <w:p w:rsidR="008E3506" w:rsidRPr="008E3506" w:rsidRDefault="008E3506" w:rsidP="007E20C7">
      <w:pPr>
        <w:tabs>
          <w:tab w:val="left" w:pos="993"/>
        </w:tabs>
        <w:spacing w:before="120" w:line="260" w:lineRule="exact"/>
        <w:ind w:left="964"/>
        <w:rPr>
          <w:b/>
        </w:rPr>
      </w:pPr>
      <w:r>
        <w:rPr>
          <w:b/>
          <w:i/>
        </w:rPr>
        <w:t xml:space="preserve">licensee </w:t>
      </w:r>
      <w:r w:rsidRPr="008E3506">
        <w:t xml:space="preserve">means the </w:t>
      </w:r>
      <w:r>
        <w:t>holder of the licence.</w:t>
      </w:r>
      <w:r>
        <w:rPr>
          <w:b/>
        </w:rPr>
        <w:t xml:space="preserve"> </w:t>
      </w:r>
    </w:p>
    <w:p w:rsidR="00D50927" w:rsidRPr="003E17BB" w:rsidRDefault="009A65E5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>Sea Installation</w:t>
      </w:r>
      <w:r w:rsidR="003E17BB">
        <w:rPr>
          <w:b/>
          <w:i/>
        </w:rPr>
        <w:t xml:space="preserve"> </w:t>
      </w:r>
      <w:r w:rsidR="003E17BB">
        <w:t xml:space="preserve">means </w:t>
      </w:r>
      <w:r w:rsidR="00952AE1">
        <w:t xml:space="preserve">the </w:t>
      </w:r>
      <w:r w:rsidR="004920B0">
        <w:t xml:space="preserve">array of </w:t>
      </w:r>
      <w:r w:rsidR="00952AE1">
        <w:t xml:space="preserve">CETO 6 </w:t>
      </w:r>
      <w:r w:rsidR="004920B0">
        <w:t>wave energy devices,</w:t>
      </w:r>
      <w:r w:rsidR="00A011D7">
        <w:t xml:space="preserve"> </w:t>
      </w:r>
      <w:r w:rsidR="004920B0">
        <w:t xml:space="preserve">including </w:t>
      </w:r>
      <w:r w:rsidR="004920B0" w:rsidRPr="00952AE1">
        <w:t>the buoyant actuator</w:t>
      </w:r>
      <w:r w:rsidR="004920B0">
        <w:t>s</w:t>
      </w:r>
      <w:r w:rsidR="004920B0" w:rsidRPr="00952AE1">
        <w:t>, tether</w:t>
      </w:r>
      <w:r w:rsidR="004920B0">
        <w:t>s</w:t>
      </w:r>
      <w:r w:rsidR="004920B0" w:rsidRPr="00952AE1">
        <w:t>, foundation</w:t>
      </w:r>
      <w:r w:rsidR="004920B0">
        <w:t>s</w:t>
      </w:r>
      <w:r w:rsidR="004920B0" w:rsidRPr="00952AE1">
        <w:t>, junction box</w:t>
      </w:r>
      <w:r w:rsidR="004920B0">
        <w:t>es</w:t>
      </w:r>
      <w:r w:rsidR="004920B0" w:rsidRPr="00952AE1">
        <w:t xml:space="preserve"> and umbilical cable</w:t>
      </w:r>
      <w:r w:rsidR="004920B0">
        <w:t xml:space="preserve">s, </w:t>
      </w:r>
      <w:r w:rsidR="00A011D7">
        <w:t xml:space="preserve">and </w:t>
      </w:r>
      <w:r w:rsidR="004920B0">
        <w:t xml:space="preserve">the </w:t>
      </w:r>
      <w:r w:rsidR="00A011D7">
        <w:t>export cable</w:t>
      </w:r>
      <w:r w:rsidR="00B72404">
        <w:t>.</w:t>
      </w:r>
    </w:p>
    <w:p w:rsidR="00587CD8" w:rsidRPr="00587CD8" w:rsidRDefault="00587CD8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 xml:space="preserve">Safety Zone (Export Cable) </w:t>
      </w:r>
      <w:r>
        <w:t xml:space="preserve">means the zone </w:t>
      </w:r>
      <w:r w:rsidR="00FD4AE3">
        <w:t xml:space="preserve">extending </w:t>
      </w:r>
      <w:r w:rsidR="00952AE1">
        <w:t xml:space="preserve">to a distance of </w:t>
      </w:r>
      <w:r w:rsidR="00E442A1">
        <w:t>250</w:t>
      </w:r>
      <w:r w:rsidR="00952AE1">
        <w:t xml:space="preserve"> </w:t>
      </w:r>
      <w:r w:rsidR="003D7771">
        <w:t>met</w:t>
      </w:r>
      <w:r w:rsidR="00391C5D">
        <w:t>r</w:t>
      </w:r>
      <w:r w:rsidR="003D7771">
        <w:t>e</w:t>
      </w:r>
      <w:r w:rsidR="00391C5D">
        <w:t xml:space="preserve">s </w:t>
      </w:r>
      <w:r w:rsidR="00EE014F">
        <w:t>either side of</w:t>
      </w:r>
      <w:r w:rsidR="00952AE1">
        <w:t xml:space="preserve"> the </w:t>
      </w:r>
      <w:r w:rsidR="00511C39" w:rsidRPr="00400EF6">
        <w:t xml:space="preserve">line joining </w:t>
      </w:r>
      <w:r w:rsidR="00AA1A8D" w:rsidRPr="00400EF6">
        <w:t>points E to K</w:t>
      </w:r>
      <w:r w:rsidR="00AA1A8D">
        <w:t xml:space="preserve"> </w:t>
      </w:r>
      <w:r w:rsidR="002A457B">
        <w:t xml:space="preserve">(the export cable) </w:t>
      </w:r>
      <w:r w:rsidR="00391C5D">
        <w:t xml:space="preserve">represented in the plan in Schedule </w:t>
      </w:r>
      <w:r w:rsidR="007D2E62">
        <w:t xml:space="preserve">1 </w:t>
      </w:r>
      <w:r w:rsidR="00391C5D">
        <w:t>and associated table</w:t>
      </w:r>
      <w:r w:rsidR="00804E6B">
        <w:t>.</w:t>
      </w:r>
    </w:p>
    <w:p w:rsidR="009A65E5" w:rsidRPr="002044FE" w:rsidRDefault="00161909" w:rsidP="007E20C7">
      <w:pPr>
        <w:tabs>
          <w:tab w:val="left" w:pos="993"/>
        </w:tabs>
        <w:spacing w:before="120" w:line="260" w:lineRule="exact"/>
        <w:ind w:left="964"/>
      </w:pPr>
      <w:r>
        <w:rPr>
          <w:b/>
          <w:i/>
        </w:rPr>
        <w:t>Safety Zone (Wave Energy Plant)</w:t>
      </w:r>
      <w:r w:rsidR="002044FE">
        <w:rPr>
          <w:b/>
          <w:i/>
        </w:rPr>
        <w:t xml:space="preserve"> </w:t>
      </w:r>
      <w:r w:rsidR="002044FE">
        <w:t xml:space="preserve">means the </w:t>
      </w:r>
      <w:r w:rsidR="00A71905">
        <w:t xml:space="preserve">zone represented </w:t>
      </w:r>
      <w:r w:rsidR="008D561A">
        <w:t xml:space="preserve">by the area within points A to D </w:t>
      </w:r>
      <w:r w:rsidR="00A71905">
        <w:t xml:space="preserve">in the plan in Schedule </w:t>
      </w:r>
      <w:r w:rsidR="007D2E62">
        <w:t xml:space="preserve">1 </w:t>
      </w:r>
      <w:r w:rsidR="00A71905">
        <w:t>and associated table.</w:t>
      </w:r>
    </w:p>
    <w:p w:rsidR="007A10D3" w:rsidRPr="00682E4C" w:rsidRDefault="00D50927" w:rsidP="007A10D3">
      <w:pPr>
        <w:pStyle w:val="HR"/>
      </w:pPr>
      <w:r>
        <w:rPr>
          <w:rStyle w:val="CharSectno"/>
        </w:rPr>
        <w:t>5</w:t>
      </w:r>
      <w:r w:rsidR="007A10D3" w:rsidRPr="00682E4C">
        <w:tab/>
      </w:r>
      <w:r w:rsidR="00D76107">
        <w:t>Safety Zones</w:t>
      </w:r>
    </w:p>
    <w:p w:rsidR="00E92C6C" w:rsidRDefault="007A10D3" w:rsidP="008E3506">
      <w:pPr>
        <w:pStyle w:val="R1"/>
        <w:tabs>
          <w:tab w:val="left" w:pos="993"/>
        </w:tabs>
        <w:ind w:left="1436" w:hanging="960"/>
      </w:pPr>
      <w:r w:rsidRPr="00682E4C">
        <w:tab/>
      </w:r>
      <w:r w:rsidR="00340319">
        <w:tab/>
      </w:r>
      <w:r w:rsidR="00D76107">
        <w:t>(1)</w:t>
      </w:r>
      <w:r w:rsidR="00D76107">
        <w:tab/>
      </w:r>
      <w:r w:rsidR="008E3506">
        <w:t>F</w:t>
      </w:r>
      <w:r w:rsidR="0003160A" w:rsidRPr="0003160A">
        <w:t xml:space="preserve">or </w:t>
      </w:r>
      <w:r w:rsidR="009A65E5">
        <w:t>the purposes of protecting the Sea I</w:t>
      </w:r>
      <w:r w:rsidR="0003160A" w:rsidRPr="0003160A">
        <w:t>nstallation, all vessels, other than</w:t>
      </w:r>
      <w:r w:rsidR="00EE4313">
        <w:t xml:space="preserve"> exempt v</w:t>
      </w:r>
      <w:r w:rsidR="008E3506">
        <w:t xml:space="preserve">essels, </w:t>
      </w:r>
      <w:r w:rsidR="0003160A" w:rsidRPr="0003160A">
        <w:t xml:space="preserve">are prohibited from entering or remaining in the </w:t>
      </w:r>
      <w:r w:rsidR="00724AEC" w:rsidRPr="00724AEC">
        <w:t>Safety Zone (Wave Energy Plant)</w:t>
      </w:r>
      <w:r w:rsidR="0003160A" w:rsidRPr="00587CD8">
        <w:t>.</w:t>
      </w:r>
    </w:p>
    <w:p w:rsidR="008E3506" w:rsidRPr="008E3506" w:rsidRDefault="008E3506" w:rsidP="008E3506"/>
    <w:p w:rsidR="007E1633" w:rsidRDefault="008E3506" w:rsidP="008E3506">
      <w:pPr>
        <w:ind w:left="1436" w:hanging="443"/>
      </w:pPr>
      <w:r w:rsidRPr="008E3506">
        <w:rPr>
          <w:szCs w:val="24"/>
        </w:rPr>
        <w:t>(2)</w:t>
      </w:r>
      <w:r w:rsidRPr="008E3506">
        <w:rPr>
          <w:szCs w:val="24"/>
        </w:rPr>
        <w:tab/>
        <w:t>For the purposes of protecting the Sea Install</w:t>
      </w:r>
      <w:r w:rsidR="00EE4313">
        <w:rPr>
          <w:szCs w:val="24"/>
        </w:rPr>
        <w:t>ation, all vessels, other than exempt v</w:t>
      </w:r>
      <w:r w:rsidRPr="008E3506">
        <w:rPr>
          <w:szCs w:val="24"/>
        </w:rPr>
        <w:t>essels, are prohibited from entering or remaining in the Safety Zone (</w:t>
      </w:r>
      <w:r w:rsidR="00FD4AE3">
        <w:rPr>
          <w:szCs w:val="24"/>
        </w:rPr>
        <w:t>Export Cable</w:t>
      </w:r>
      <w:r w:rsidRPr="008E3506">
        <w:rPr>
          <w:szCs w:val="24"/>
        </w:rPr>
        <w:t>)</w:t>
      </w:r>
      <w:r w:rsidRPr="00587CD8">
        <w:t>.</w:t>
      </w:r>
    </w:p>
    <w:p w:rsidR="00DD53E6" w:rsidRDefault="00DD53E6" w:rsidP="008E3506">
      <w:pPr>
        <w:ind w:left="1436" w:hanging="443"/>
        <w:rPr>
          <w:i/>
        </w:rPr>
      </w:pPr>
    </w:p>
    <w:p w:rsidR="00DD53E6" w:rsidRPr="00EE4313" w:rsidRDefault="00DD53E6" w:rsidP="00DD53E6">
      <w:pPr>
        <w:ind w:left="2160" w:hanging="1167"/>
        <w:rPr>
          <w:i/>
          <w:sz w:val="20"/>
        </w:rPr>
      </w:pPr>
      <w:r w:rsidRPr="00EE4313">
        <w:rPr>
          <w:i/>
          <w:sz w:val="20"/>
        </w:rPr>
        <w:t>Note:</w:t>
      </w:r>
      <w:r w:rsidRPr="00EE4313">
        <w:rPr>
          <w:i/>
          <w:sz w:val="20"/>
        </w:rPr>
        <w:tab/>
      </w:r>
      <w:r w:rsidRPr="00EE4313">
        <w:rPr>
          <w:sz w:val="20"/>
        </w:rPr>
        <w:t>Vessels may enter or remain in a specified safety zone with the consent in writing of the Minister: see s</w:t>
      </w:r>
      <w:r w:rsidR="005E69A2" w:rsidRPr="00EE4313">
        <w:rPr>
          <w:sz w:val="20"/>
        </w:rPr>
        <w:t>ection</w:t>
      </w:r>
      <w:r w:rsidRPr="00EE4313">
        <w:rPr>
          <w:sz w:val="20"/>
        </w:rPr>
        <w:t xml:space="preserve"> 57(1) of the </w:t>
      </w:r>
      <w:r w:rsidR="003708EE" w:rsidRPr="00EE4313">
        <w:rPr>
          <w:i/>
          <w:sz w:val="20"/>
        </w:rPr>
        <w:t>Sea Installations Act 1987</w:t>
      </w:r>
      <w:r w:rsidRPr="00EE4313">
        <w:rPr>
          <w:sz w:val="20"/>
        </w:rPr>
        <w:t>.</w:t>
      </w:r>
    </w:p>
    <w:p w:rsidR="00E92C6C" w:rsidRDefault="00E92C6C">
      <w:pPr>
        <w:tabs>
          <w:tab w:val="left" w:pos="1843"/>
          <w:tab w:val="left" w:pos="3261"/>
        </w:tabs>
        <w:ind w:left="964" w:hanging="708"/>
      </w:pPr>
    </w:p>
    <w:p w:rsidR="00535294" w:rsidRDefault="00535294">
      <w:pPr>
        <w:rPr>
          <w:rFonts w:ascii="Arial" w:hAnsi="Arial"/>
          <w:b/>
          <w:szCs w:val="24"/>
        </w:rPr>
        <w:sectPr w:rsidR="00535294" w:rsidSect="00EA5D27">
          <w:pgSz w:w="11906" w:h="16838" w:code="9"/>
          <w:pgMar w:top="1418" w:right="1134" w:bottom="1418" w:left="1418" w:header="567" w:footer="567" w:gutter="0"/>
          <w:cols w:space="708"/>
          <w:titlePg/>
          <w:docGrid w:linePitch="360"/>
        </w:sectPr>
      </w:pPr>
    </w:p>
    <w:p w:rsidR="00533678" w:rsidRDefault="00533678">
      <w:pPr>
        <w:rPr>
          <w:rFonts w:ascii="Arial" w:hAnsi="Arial"/>
          <w:b/>
          <w:szCs w:val="24"/>
        </w:rPr>
      </w:pPr>
    </w:p>
    <w:p w:rsidR="00D50927" w:rsidRDefault="00533678" w:rsidP="00533678">
      <w:pPr>
        <w:tabs>
          <w:tab w:val="left" w:pos="993"/>
          <w:tab w:val="left" w:pos="1985"/>
          <w:tab w:val="left" w:pos="2127"/>
        </w:tabs>
        <w:rPr>
          <w:rFonts w:ascii="Arial" w:hAnsi="Arial"/>
          <w:b/>
          <w:szCs w:val="24"/>
        </w:rPr>
      </w:pPr>
      <w:r w:rsidRPr="00533678">
        <w:rPr>
          <w:rFonts w:ascii="Arial" w:hAnsi="Arial"/>
          <w:b/>
          <w:szCs w:val="24"/>
        </w:rPr>
        <w:t>Schedule</w:t>
      </w:r>
      <w:r w:rsidR="007D2E62">
        <w:rPr>
          <w:rFonts w:ascii="Arial" w:hAnsi="Arial"/>
          <w:b/>
          <w:szCs w:val="24"/>
        </w:rPr>
        <w:t xml:space="preserve"> 1</w:t>
      </w:r>
    </w:p>
    <w:p w:rsidR="00A71905" w:rsidRPr="00533678" w:rsidRDefault="00400EF6" w:rsidP="00533678">
      <w:pPr>
        <w:tabs>
          <w:tab w:val="left" w:pos="993"/>
          <w:tab w:val="left" w:pos="1985"/>
          <w:tab w:val="left" w:pos="2127"/>
        </w:tabs>
        <w:rPr>
          <w:rStyle w:val="CharSchPTText"/>
          <w:b/>
        </w:rPr>
      </w:pPr>
      <w:r>
        <w:rPr>
          <w:noProof/>
          <w:lang w:eastAsia="en-AU"/>
        </w:rPr>
        <w:drawing>
          <wp:inline distT="0" distB="0" distL="0" distR="0">
            <wp:extent cx="8351520" cy="538582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38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6A4" w:rsidRDefault="009C56A4" w:rsidP="00BE51CC">
      <w:pPr>
        <w:tabs>
          <w:tab w:val="left" w:pos="993"/>
          <w:tab w:val="left" w:pos="2127"/>
        </w:tabs>
        <w:rPr>
          <w:rStyle w:val="CharSchPTText"/>
        </w:rPr>
      </w:pPr>
      <w:r>
        <w:rPr>
          <w:rStyle w:val="CharSchPTText"/>
        </w:rPr>
        <w:br w:type="page"/>
      </w:r>
    </w:p>
    <w:tbl>
      <w:tblPr>
        <w:tblStyle w:val="TableGrid1"/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038"/>
        <w:gridCol w:w="3505"/>
        <w:gridCol w:w="3566"/>
        <w:gridCol w:w="1867"/>
        <w:gridCol w:w="2172"/>
      </w:tblGrid>
      <w:tr w:rsidR="00892C03" w:rsidRPr="009C56A4" w:rsidTr="00721A05">
        <w:trPr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892C03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lastRenderedPageBreak/>
              <w:t>Point</w:t>
            </w:r>
            <w:r w:rsidR="009C56A4" w:rsidRPr="009C56A4">
              <w:rPr>
                <w:b/>
                <w:lang w:eastAsia="en-AU"/>
              </w:rPr>
              <w:t>  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892C03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Description</w:t>
            </w:r>
            <w:r w:rsidR="009C56A4" w:rsidRPr="009C56A4">
              <w:rPr>
                <w:b/>
                <w:lang w:eastAsia="en-AU"/>
              </w:rPr>
              <w:t>         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892C03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Easting </w:t>
            </w:r>
            <w:r w:rsidR="00F072F0">
              <w:rPr>
                <w:b/>
                <w:lang w:eastAsia="en-AU"/>
              </w:rPr>
              <w:br/>
              <w:t>(GDA</w:t>
            </w:r>
            <w:r w:rsidR="00F072F0">
              <w:rPr>
                <w:b/>
                <w:lang w:eastAsia="en-AU"/>
              </w:rPr>
              <w:noBreakHyphen/>
            </w:r>
            <w:r>
              <w:rPr>
                <w:b/>
                <w:lang w:eastAsia="en-AU"/>
              </w:rPr>
              <w:t>MGA94, z50)</w:t>
            </w:r>
            <w:r w:rsidR="009C56A4" w:rsidRPr="009C56A4">
              <w:rPr>
                <w:b/>
                <w:lang w:eastAsia="en-AU"/>
              </w:rPr>
              <w:t>                     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892C03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Northing </w:t>
            </w:r>
            <w:r w:rsidR="00F072F0">
              <w:rPr>
                <w:b/>
                <w:lang w:eastAsia="en-AU"/>
              </w:rPr>
              <w:br/>
              <w:t>(GDA</w:t>
            </w:r>
            <w:r w:rsidR="00F072F0">
              <w:rPr>
                <w:b/>
                <w:lang w:eastAsia="en-AU"/>
              </w:rPr>
              <w:noBreakHyphen/>
            </w:r>
            <w:r>
              <w:rPr>
                <w:b/>
                <w:lang w:eastAsia="en-AU"/>
              </w:rPr>
              <w:t>MGA94, z50)</w:t>
            </w:r>
            <w:r w:rsidR="009C56A4" w:rsidRPr="009C56A4">
              <w:rPr>
                <w:b/>
                <w:lang w:eastAsia="en-AU"/>
              </w:rPr>
              <w:t>                      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892C03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Latitude (WG S84)</w:t>
            </w:r>
            <w:r w:rsidR="009C56A4" w:rsidRPr="009C56A4">
              <w:rPr>
                <w:b/>
                <w:lang w:eastAsia="en-AU"/>
              </w:rPr>
              <w:t>           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9C56A4" w:rsidRPr="009C56A4" w:rsidRDefault="00211D50" w:rsidP="00F07C20">
            <w:pPr>
              <w:spacing w:before="140" w:after="140" w:line="280" w:lineRule="atLeas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Longitude (WG </w:t>
            </w:r>
            <w:r w:rsidR="00892C03">
              <w:rPr>
                <w:b/>
                <w:lang w:eastAsia="en-AU"/>
              </w:rPr>
              <w:t>S84)</w:t>
            </w:r>
            <w:r w:rsidR="009C56A4" w:rsidRPr="009C56A4">
              <w:rPr>
                <w:b/>
                <w:lang w:eastAsia="en-AU"/>
              </w:rPr>
              <w:t>                </w:t>
            </w:r>
          </w:p>
        </w:tc>
      </w:tr>
      <w:tr w:rsidR="009C56A4" w:rsidRPr="009C56A4" w:rsidTr="00721A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6A4" w:rsidRPr="009C56A4" w:rsidRDefault="009C56A4" w:rsidP="00B51294">
            <w:pPr>
              <w:spacing w:before="140" w:after="140" w:line="280" w:lineRule="atLeast"/>
              <w:rPr>
                <w:b/>
                <w:lang w:eastAsia="en-AU"/>
              </w:rPr>
            </w:pPr>
            <w:r w:rsidRPr="009C56A4">
              <w:rPr>
                <w:b/>
                <w:lang w:eastAsia="en-AU"/>
              </w:rPr>
              <w:t xml:space="preserve">I. Corner points of boundary of </w:t>
            </w:r>
            <w:r w:rsidR="00B51294">
              <w:rPr>
                <w:b/>
                <w:lang w:eastAsia="en-AU"/>
              </w:rPr>
              <w:t>Safety Zone (Wave Energy Plant)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A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Cardinal Mark, West corner of Licensed Area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366750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6431210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115.5855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B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Cardinal Mark, North corner of Licensed Area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367035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6431489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-32.2454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115.5886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C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Cardinal Mark, East corner of Licensed Area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367455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6431069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115.593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D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Cardinal Mark, South corner of Licensed Area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367179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6430786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-32.2518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</w:t>
            </w:r>
          </w:p>
        </w:tc>
      </w:tr>
      <w:tr w:rsidR="009C56A4" w:rsidRPr="009C56A4" w:rsidTr="00721A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b/>
                <w:lang w:eastAsia="en-AU"/>
              </w:rPr>
              <w:t>II. Licensed Area (corner points of boundary of location within which CETO 6 Units, umbilical cables, junction box, part of export cable can be installed and deployed)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L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Implementation Zone, North point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367031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6431340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115.5885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M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Implementation Zone, East point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367303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6431071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-32.2492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115.5914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N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Implementation Zone, South point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367175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6430942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-32.2504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115.5900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lastRenderedPageBreak/>
              <w:t>O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Implementation Zone, West point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366906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6431215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115.5872</w:t>
            </w:r>
          </w:p>
        </w:tc>
      </w:tr>
      <w:tr w:rsidR="009C56A4" w:rsidRPr="009C56A4" w:rsidTr="00721A0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6A4" w:rsidRDefault="009C56A4" w:rsidP="00234968">
            <w:pPr>
              <w:keepNext/>
              <w:spacing w:before="140" w:after="140" w:line="280" w:lineRule="atLeast"/>
              <w:rPr>
                <w:b/>
                <w:i/>
              </w:rPr>
            </w:pPr>
            <w:r w:rsidRPr="009C56A4">
              <w:rPr>
                <w:b/>
                <w:lang w:eastAsia="en-AU"/>
              </w:rPr>
              <w:t xml:space="preserve">III. </w:t>
            </w:r>
            <w:r w:rsidR="00400EF6">
              <w:rPr>
                <w:b/>
                <w:lang w:eastAsia="en-AU"/>
              </w:rPr>
              <w:t xml:space="preserve">Reference points to determine </w:t>
            </w:r>
            <w:r w:rsidR="00234968">
              <w:rPr>
                <w:b/>
                <w:lang w:eastAsia="en-AU"/>
              </w:rPr>
              <w:t xml:space="preserve">the </w:t>
            </w:r>
            <w:r w:rsidR="00400EF6" w:rsidRPr="00234968">
              <w:rPr>
                <w:b/>
              </w:rPr>
              <w:t>Safety Zone (Export Cable)</w:t>
            </w:r>
            <w:r w:rsidR="00400EF6">
              <w:rPr>
                <w:b/>
                <w:i/>
              </w:rPr>
              <w:t xml:space="preserve"> </w:t>
            </w:r>
          </w:p>
          <w:p w:rsidR="00234968" w:rsidRPr="009C56A4" w:rsidRDefault="00234968" w:rsidP="00234968">
            <w:pPr>
              <w:keepNext/>
              <w:spacing w:before="140" w:after="140" w:line="280" w:lineRule="atLeast"/>
              <w:rPr>
                <w:b/>
                <w:lang w:eastAsia="en-AU"/>
              </w:rPr>
            </w:pP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E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234968">
            <w:pPr>
              <w:keepNext/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Intersection of export cable and line between Points B</w:t>
            </w:r>
            <w:r w:rsidR="00400EF6">
              <w:rPr>
                <w:lang w:eastAsia="en-AU"/>
              </w:rPr>
              <w:t xml:space="preserve"> </w:t>
            </w:r>
            <w:r w:rsidRPr="009C56A4">
              <w:rPr>
                <w:lang w:eastAsia="en-AU"/>
              </w:rPr>
              <w:t>and C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367308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6431214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115.5914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F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Point along export cable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367389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6431241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115.5923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G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Point along export cable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367630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6431259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115.5949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H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Point along export cable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367946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6431185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-32.2483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115.5982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I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Point along export cable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368188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6431039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-32.2496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115.6008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J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Point along export cable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369012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6431057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115.6095</w:t>
            </w:r>
          </w:p>
        </w:tc>
      </w:tr>
      <w:tr w:rsidR="00892C03" w:rsidRPr="009C56A4" w:rsidTr="00721A05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K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 xml:space="preserve">Intersection of export cable and </w:t>
            </w:r>
            <w:r w:rsidRPr="009C56A4">
              <w:rPr>
                <w:lang w:eastAsia="en-AU"/>
              </w:rPr>
              <w:lastRenderedPageBreak/>
              <w:t>WA Border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lastRenderedPageBreak/>
              <w:t>369834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6431336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-32.2471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A4" w:rsidRPr="009C56A4" w:rsidRDefault="009C56A4" w:rsidP="00F07C20">
            <w:pPr>
              <w:spacing w:before="140" w:after="140" w:line="280" w:lineRule="atLeast"/>
              <w:rPr>
                <w:lang w:eastAsia="en-AU"/>
              </w:rPr>
            </w:pPr>
            <w:r w:rsidRPr="009C56A4">
              <w:rPr>
                <w:lang w:eastAsia="en-AU"/>
              </w:rPr>
              <w:t>115.6183</w:t>
            </w:r>
          </w:p>
        </w:tc>
      </w:tr>
    </w:tbl>
    <w:p w:rsidR="009C56A4" w:rsidRDefault="009C56A4" w:rsidP="00D50927">
      <w:pPr>
        <w:tabs>
          <w:tab w:val="left" w:pos="993"/>
          <w:tab w:val="left" w:pos="2127"/>
        </w:tabs>
        <w:rPr>
          <w:rStyle w:val="CharSchPTText"/>
        </w:rPr>
      </w:pPr>
    </w:p>
    <w:p w:rsidR="00D50927" w:rsidRPr="00D50927" w:rsidRDefault="00D50927" w:rsidP="00D50927">
      <w:pPr>
        <w:tabs>
          <w:tab w:val="left" w:pos="1843"/>
          <w:tab w:val="left" w:pos="3261"/>
        </w:tabs>
        <w:ind w:left="1843" w:hanging="708"/>
        <w:rPr>
          <w:color w:val="FF0000"/>
        </w:rPr>
      </w:pPr>
    </w:p>
    <w:sectPr w:rsidR="00D50927" w:rsidRPr="00D50927" w:rsidSect="00535294">
      <w:pgSz w:w="16838" w:h="11906" w:orient="landscape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03" w:rsidRDefault="00892C03">
      <w:r>
        <w:separator/>
      </w:r>
    </w:p>
  </w:endnote>
  <w:endnote w:type="continuationSeparator" w:id="0">
    <w:p w:rsidR="00892C03" w:rsidRDefault="0089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03" w:rsidRDefault="00892C03">
      <w:r>
        <w:separator/>
      </w:r>
    </w:p>
  </w:footnote>
  <w:footnote w:type="continuationSeparator" w:id="0">
    <w:p w:rsidR="00892C03" w:rsidRDefault="00892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1E7C"/>
    <w:multiLevelType w:val="hybridMultilevel"/>
    <w:tmpl w:val="24E27FAC"/>
    <w:lvl w:ilvl="0" w:tplc="62A236E4">
      <w:start w:val="1"/>
      <w:numFmt w:val="lowerRoman"/>
      <w:lvlText w:val="(%1)"/>
      <w:lvlJc w:val="left"/>
      <w:pPr>
        <w:ind w:left="256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23" w:hanging="360"/>
      </w:p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2D112586"/>
    <w:multiLevelType w:val="hybridMultilevel"/>
    <w:tmpl w:val="9C40B26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CA400A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BF5F27"/>
    <w:multiLevelType w:val="hybridMultilevel"/>
    <w:tmpl w:val="3482BB42"/>
    <w:lvl w:ilvl="0" w:tplc="06AEA03E">
      <w:start w:val="1"/>
      <w:numFmt w:val="lowerLetter"/>
      <w:lvlText w:val="(%1)"/>
      <w:lvlJc w:val="left"/>
      <w:pPr>
        <w:ind w:left="2124" w:hanging="564"/>
      </w:pPr>
      <w:rPr>
        <w:rFonts w:hint="default"/>
      </w:rPr>
    </w:lvl>
    <w:lvl w:ilvl="1" w:tplc="1376DED6">
      <w:start w:val="1"/>
      <w:numFmt w:val="lowerRoman"/>
      <w:lvlText w:val="(%2)"/>
      <w:lvlJc w:val="left"/>
      <w:pPr>
        <w:ind w:left="26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03F"/>
    <w:rsid w:val="000126D5"/>
    <w:rsid w:val="0003160A"/>
    <w:rsid w:val="00032D55"/>
    <w:rsid w:val="00092755"/>
    <w:rsid w:val="00096F0B"/>
    <w:rsid w:val="000C2CEB"/>
    <w:rsid w:val="000E38C2"/>
    <w:rsid w:val="000F0344"/>
    <w:rsid w:val="00120A36"/>
    <w:rsid w:val="00134BD1"/>
    <w:rsid w:val="00142D43"/>
    <w:rsid w:val="00161909"/>
    <w:rsid w:val="00165F94"/>
    <w:rsid w:val="0019597A"/>
    <w:rsid w:val="001A648A"/>
    <w:rsid w:val="001A712D"/>
    <w:rsid w:val="001C2FA8"/>
    <w:rsid w:val="001C7748"/>
    <w:rsid w:val="00202BDF"/>
    <w:rsid w:val="002044FE"/>
    <w:rsid w:val="00211D50"/>
    <w:rsid w:val="00213169"/>
    <w:rsid w:val="00217296"/>
    <w:rsid w:val="00234968"/>
    <w:rsid w:val="0024304D"/>
    <w:rsid w:val="00250B8D"/>
    <w:rsid w:val="00261EFC"/>
    <w:rsid w:val="00263910"/>
    <w:rsid w:val="0027490A"/>
    <w:rsid w:val="00290D86"/>
    <w:rsid w:val="002A1C27"/>
    <w:rsid w:val="002A457B"/>
    <w:rsid w:val="002B2F05"/>
    <w:rsid w:val="002D58B1"/>
    <w:rsid w:val="002E6E74"/>
    <w:rsid w:val="00310FB8"/>
    <w:rsid w:val="0031316F"/>
    <w:rsid w:val="00323300"/>
    <w:rsid w:val="00334606"/>
    <w:rsid w:val="00340319"/>
    <w:rsid w:val="003532CB"/>
    <w:rsid w:val="0036700D"/>
    <w:rsid w:val="003708EE"/>
    <w:rsid w:val="00370EB7"/>
    <w:rsid w:val="003746B3"/>
    <w:rsid w:val="00391C5D"/>
    <w:rsid w:val="003B435F"/>
    <w:rsid w:val="003D7771"/>
    <w:rsid w:val="003E17BB"/>
    <w:rsid w:val="003F5BDA"/>
    <w:rsid w:val="00400EF6"/>
    <w:rsid w:val="00421403"/>
    <w:rsid w:val="0044203F"/>
    <w:rsid w:val="00457BC1"/>
    <w:rsid w:val="00482284"/>
    <w:rsid w:val="004920B0"/>
    <w:rsid w:val="004B3817"/>
    <w:rsid w:val="004C6E54"/>
    <w:rsid w:val="004D7C33"/>
    <w:rsid w:val="00511C39"/>
    <w:rsid w:val="005143E4"/>
    <w:rsid w:val="00525FA5"/>
    <w:rsid w:val="00533678"/>
    <w:rsid w:val="00535294"/>
    <w:rsid w:val="0055366B"/>
    <w:rsid w:val="005811C4"/>
    <w:rsid w:val="00587CD8"/>
    <w:rsid w:val="00594156"/>
    <w:rsid w:val="005C0D8B"/>
    <w:rsid w:val="005C1C28"/>
    <w:rsid w:val="005E69A2"/>
    <w:rsid w:val="005F24FF"/>
    <w:rsid w:val="005F367C"/>
    <w:rsid w:val="0060783C"/>
    <w:rsid w:val="00615D65"/>
    <w:rsid w:val="0061640C"/>
    <w:rsid w:val="00616DD8"/>
    <w:rsid w:val="00682E4C"/>
    <w:rsid w:val="00690C71"/>
    <w:rsid w:val="006B4C74"/>
    <w:rsid w:val="006D1C65"/>
    <w:rsid w:val="006D5736"/>
    <w:rsid w:val="006F3FCF"/>
    <w:rsid w:val="0072011E"/>
    <w:rsid w:val="00721A05"/>
    <w:rsid w:val="00724AEC"/>
    <w:rsid w:val="00734316"/>
    <w:rsid w:val="00743BD4"/>
    <w:rsid w:val="007700E9"/>
    <w:rsid w:val="00771284"/>
    <w:rsid w:val="007977A4"/>
    <w:rsid w:val="007A10D3"/>
    <w:rsid w:val="007D1846"/>
    <w:rsid w:val="007D2E62"/>
    <w:rsid w:val="007D75A4"/>
    <w:rsid w:val="007E1633"/>
    <w:rsid w:val="007E20C7"/>
    <w:rsid w:val="007F12AE"/>
    <w:rsid w:val="008012A9"/>
    <w:rsid w:val="00804E6B"/>
    <w:rsid w:val="008315E3"/>
    <w:rsid w:val="00843436"/>
    <w:rsid w:val="008502D7"/>
    <w:rsid w:val="0087387A"/>
    <w:rsid w:val="00876467"/>
    <w:rsid w:val="0088344B"/>
    <w:rsid w:val="00886576"/>
    <w:rsid w:val="008878E9"/>
    <w:rsid w:val="00892C03"/>
    <w:rsid w:val="008D561A"/>
    <w:rsid w:val="008E1E35"/>
    <w:rsid w:val="008E3506"/>
    <w:rsid w:val="00902B47"/>
    <w:rsid w:val="0092250E"/>
    <w:rsid w:val="00937485"/>
    <w:rsid w:val="00951C04"/>
    <w:rsid w:val="00952AE1"/>
    <w:rsid w:val="00956BDD"/>
    <w:rsid w:val="00977EF6"/>
    <w:rsid w:val="009A1FEA"/>
    <w:rsid w:val="009A65E5"/>
    <w:rsid w:val="009B4905"/>
    <w:rsid w:val="009C5571"/>
    <w:rsid w:val="009C56A4"/>
    <w:rsid w:val="009D5DEE"/>
    <w:rsid w:val="009E55E1"/>
    <w:rsid w:val="009F1874"/>
    <w:rsid w:val="009F6E81"/>
    <w:rsid w:val="00A011D7"/>
    <w:rsid w:val="00A211D0"/>
    <w:rsid w:val="00A334EF"/>
    <w:rsid w:val="00A41EA3"/>
    <w:rsid w:val="00A51CBD"/>
    <w:rsid w:val="00A60425"/>
    <w:rsid w:val="00A6073A"/>
    <w:rsid w:val="00A71905"/>
    <w:rsid w:val="00A84C91"/>
    <w:rsid w:val="00A86636"/>
    <w:rsid w:val="00A86748"/>
    <w:rsid w:val="00A87392"/>
    <w:rsid w:val="00AA1A8D"/>
    <w:rsid w:val="00AB6E38"/>
    <w:rsid w:val="00AF4E62"/>
    <w:rsid w:val="00B004B0"/>
    <w:rsid w:val="00B438F4"/>
    <w:rsid w:val="00B51294"/>
    <w:rsid w:val="00B6225F"/>
    <w:rsid w:val="00B72404"/>
    <w:rsid w:val="00B7776A"/>
    <w:rsid w:val="00B77F93"/>
    <w:rsid w:val="00BD5092"/>
    <w:rsid w:val="00BE2EEB"/>
    <w:rsid w:val="00BE498B"/>
    <w:rsid w:val="00BE51CC"/>
    <w:rsid w:val="00BF1F69"/>
    <w:rsid w:val="00C163C4"/>
    <w:rsid w:val="00C17689"/>
    <w:rsid w:val="00C310BE"/>
    <w:rsid w:val="00C331D1"/>
    <w:rsid w:val="00C4229E"/>
    <w:rsid w:val="00C611B4"/>
    <w:rsid w:val="00C661A4"/>
    <w:rsid w:val="00C749D9"/>
    <w:rsid w:val="00C9179C"/>
    <w:rsid w:val="00CB0D4A"/>
    <w:rsid w:val="00CB3C40"/>
    <w:rsid w:val="00CB4C36"/>
    <w:rsid w:val="00CB7B4C"/>
    <w:rsid w:val="00CC5FB9"/>
    <w:rsid w:val="00CC746B"/>
    <w:rsid w:val="00CD1DDC"/>
    <w:rsid w:val="00CE0070"/>
    <w:rsid w:val="00CE254C"/>
    <w:rsid w:val="00CE2A8C"/>
    <w:rsid w:val="00CF535A"/>
    <w:rsid w:val="00D00679"/>
    <w:rsid w:val="00D1091D"/>
    <w:rsid w:val="00D16FCF"/>
    <w:rsid w:val="00D50927"/>
    <w:rsid w:val="00D71140"/>
    <w:rsid w:val="00D76107"/>
    <w:rsid w:val="00D800FE"/>
    <w:rsid w:val="00D86B4D"/>
    <w:rsid w:val="00D92F29"/>
    <w:rsid w:val="00D97FC4"/>
    <w:rsid w:val="00DA07DD"/>
    <w:rsid w:val="00DA3F21"/>
    <w:rsid w:val="00DD53E6"/>
    <w:rsid w:val="00DF6A61"/>
    <w:rsid w:val="00E35421"/>
    <w:rsid w:val="00E442A1"/>
    <w:rsid w:val="00E53082"/>
    <w:rsid w:val="00E569CA"/>
    <w:rsid w:val="00E61B27"/>
    <w:rsid w:val="00E72549"/>
    <w:rsid w:val="00E92C6C"/>
    <w:rsid w:val="00E93DCD"/>
    <w:rsid w:val="00EA30BD"/>
    <w:rsid w:val="00EA5D27"/>
    <w:rsid w:val="00EC3438"/>
    <w:rsid w:val="00EE014F"/>
    <w:rsid w:val="00EE4313"/>
    <w:rsid w:val="00EE7279"/>
    <w:rsid w:val="00EE76D3"/>
    <w:rsid w:val="00F072F0"/>
    <w:rsid w:val="00F07C20"/>
    <w:rsid w:val="00F14B4C"/>
    <w:rsid w:val="00F374C4"/>
    <w:rsid w:val="00F42EAF"/>
    <w:rsid w:val="00F63AAE"/>
    <w:rsid w:val="00F674CB"/>
    <w:rsid w:val="00F71953"/>
    <w:rsid w:val="00FA0DC0"/>
    <w:rsid w:val="00FA4540"/>
    <w:rsid w:val="00FD4AE3"/>
    <w:rsid w:val="00FD637C"/>
    <w:rsid w:val="00FE2133"/>
    <w:rsid w:val="00FE2B0E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D3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0D3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qFormat/>
    <w:rsid w:val="007A10D3"/>
    <w:pPr>
      <w:spacing w:before="480"/>
    </w:pPr>
    <w:rPr>
      <w:rFonts w:ascii="Arial" w:hAnsi="Arial"/>
      <w:b/>
      <w:bCs/>
      <w:sz w:val="40"/>
      <w:szCs w:val="40"/>
    </w:rPr>
  </w:style>
  <w:style w:type="character" w:customStyle="1" w:styleId="CharDivNo">
    <w:name w:val="CharDivNo"/>
    <w:basedOn w:val="DefaultParagraphFont"/>
    <w:rsid w:val="007A10D3"/>
  </w:style>
  <w:style w:type="character" w:customStyle="1" w:styleId="CharDivText">
    <w:name w:val="CharDivText"/>
    <w:basedOn w:val="DefaultParagraphFont"/>
    <w:rsid w:val="007A10D3"/>
  </w:style>
  <w:style w:type="character" w:customStyle="1" w:styleId="CharSectno">
    <w:name w:val="CharSectno"/>
    <w:basedOn w:val="DefaultParagraphFont"/>
    <w:rsid w:val="007A10D3"/>
  </w:style>
  <w:style w:type="paragraph" w:customStyle="1" w:styleId="HR">
    <w:name w:val="HR"/>
    <w:aliases w:val="Regulation Heading"/>
    <w:basedOn w:val="Normal"/>
    <w:next w:val="R1"/>
    <w:rsid w:val="007A10D3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Note">
    <w:name w:val="Note"/>
    <w:basedOn w:val="Normal"/>
    <w:rsid w:val="007A10D3"/>
    <w:pPr>
      <w:spacing w:before="120" w:line="220" w:lineRule="exact"/>
      <w:ind w:left="964"/>
      <w:jc w:val="both"/>
    </w:pPr>
    <w:rPr>
      <w:sz w:val="20"/>
      <w:szCs w:val="24"/>
    </w:rPr>
  </w:style>
  <w:style w:type="paragraph" w:customStyle="1" w:styleId="R1">
    <w:name w:val="R1"/>
    <w:aliases w:val="1. or 1.(1)"/>
    <w:basedOn w:val="Normal"/>
    <w:next w:val="Normal"/>
    <w:rsid w:val="007A10D3"/>
    <w:pPr>
      <w:tabs>
        <w:tab w:val="right" w:pos="794"/>
      </w:tabs>
      <w:spacing w:before="12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7A10D3"/>
    <w:pPr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CC5FB9"/>
  </w:style>
  <w:style w:type="character" w:customStyle="1" w:styleId="CharAmSchText">
    <w:name w:val="CharAmSchText"/>
    <w:basedOn w:val="DefaultParagraphFont"/>
    <w:rsid w:val="00CC5FB9"/>
  </w:style>
  <w:style w:type="character" w:customStyle="1" w:styleId="CharSchPTNo">
    <w:name w:val="CharSchPTNo"/>
    <w:basedOn w:val="DefaultParagraphFont"/>
    <w:rsid w:val="00CC5FB9"/>
  </w:style>
  <w:style w:type="character" w:customStyle="1" w:styleId="CharSchPTText">
    <w:name w:val="CharSchPTText"/>
    <w:basedOn w:val="DefaultParagraphFont"/>
    <w:rsid w:val="00CC5FB9"/>
  </w:style>
  <w:style w:type="paragraph" w:customStyle="1" w:styleId="MainBodySectionBreak">
    <w:name w:val="MainBody Section Break"/>
    <w:basedOn w:val="Normal"/>
    <w:next w:val="Normal"/>
    <w:rsid w:val="00CC5FB9"/>
    <w:rPr>
      <w:szCs w:val="24"/>
    </w:rPr>
  </w:style>
  <w:style w:type="paragraph" w:customStyle="1" w:styleId="Scheduletitle">
    <w:name w:val="Schedule title"/>
    <w:basedOn w:val="Normal"/>
    <w:next w:val="Normal"/>
    <w:rsid w:val="00CC5FB9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CC5FB9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CC5FB9"/>
    <w:pPr>
      <w:spacing w:before="60" w:after="60" w:line="240" w:lineRule="exact"/>
    </w:pPr>
    <w:rPr>
      <w:sz w:val="22"/>
      <w:szCs w:val="24"/>
    </w:rPr>
  </w:style>
  <w:style w:type="paragraph" w:styleId="Footer">
    <w:name w:val="footer"/>
    <w:basedOn w:val="Normal"/>
    <w:rsid w:val="00EA5D2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EA5D27"/>
  </w:style>
  <w:style w:type="paragraph" w:customStyle="1" w:styleId="HeaderBoldOdd">
    <w:name w:val="HeaderBoldOdd"/>
    <w:basedOn w:val="Normal"/>
    <w:rsid w:val="001A648A"/>
    <w:pPr>
      <w:spacing w:before="120" w:after="60"/>
      <w:jc w:val="right"/>
    </w:pPr>
    <w:rPr>
      <w:rFonts w:ascii="Arial" w:hAnsi="Arial"/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6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D50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927"/>
    <w:rPr>
      <w:sz w:val="20"/>
    </w:rPr>
  </w:style>
  <w:style w:type="character" w:customStyle="1" w:styleId="CommentTextChar">
    <w:name w:val="Comment Text Char"/>
    <w:link w:val="CommentText"/>
    <w:uiPriority w:val="99"/>
    <w:rsid w:val="00D509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9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0927"/>
    <w:rPr>
      <w:b/>
      <w:bCs/>
      <w:lang w:eastAsia="en-US"/>
    </w:rPr>
  </w:style>
  <w:style w:type="character" w:customStyle="1" w:styleId="TitleChar">
    <w:name w:val="Title Char"/>
    <w:link w:val="Title"/>
    <w:rsid w:val="00D50927"/>
    <w:rPr>
      <w:rFonts w:ascii="Arial" w:hAnsi="Arial" w:cs="Arial"/>
      <w:b/>
      <w:bCs/>
      <w:sz w:val="40"/>
      <w:szCs w:val="40"/>
      <w:lang w:eastAsia="en-US"/>
    </w:rPr>
  </w:style>
  <w:style w:type="character" w:customStyle="1" w:styleId="apple-converted-space">
    <w:name w:val="apple-converted-space"/>
    <w:rsid w:val="006D5736"/>
  </w:style>
  <w:style w:type="character" w:styleId="Hyperlink">
    <w:name w:val="Hyperlink"/>
    <w:uiPriority w:val="99"/>
    <w:semiHidden/>
    <w:unhideWhenUsed/>
    <w:rsid w:val="006D57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95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C56A4"/>
    <w:rPr>
      <w:rFonts w:ascii="Arial" w:eastAsia="Times" w:hAnsi="Arial"/>
      <w:sz w:val="22"/>
      <w:szCs w:val="22"/>
    </w:rPr>
    <w:tblPr>
      <w:tblInd w:w="1134" w:type="dxa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6DD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DD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16D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DocumentDescription xmlns="7d1753f3-b6db-484b-93d6-b74f5ca30d2d" xsi:nil="true"/>
    <RecordNumber xmlns="7d1753f3-b6db-484b-93d6-b74f5ca30d2d" xsi:nil="true"/>
    <Approval xmlns="7d1753f3-b6db-484b-93d6-b74f5ca30d2d" xsi:nil="true"/>
    <Function xmlns="7d1753f3-b6db-484b-93d6-b74f5ca30d2d" xsi:nil="true"/>
  </documentManagement>
</p:properti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0D41B-6762-4BE1-868E-B516FA661D61}">
  <ds:schemaRefs>
    <ds:schemaRef ds:uri="http://www.w3.org/XML/1998/namespace"/>
    <ds:schemaRef ds:uri="http://schemas.microsoft.com/sharepoint/v4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7d1753f3-b6db-484b-93d6-b74f5ca30d2d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0B4B3C-9049-4339-AEB1-6D101A61C8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4DBE72-2087-4370-ABD8-39DBCDB7ACA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FB0AB36-4EFF-49E2-94B5-B46E9DA40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53f3-b6db-484b-93d6-b74f5ca30d2d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F351A25-5343-4468-92F0-FF79EA5EF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Carnegie-Safety Zone Notice (Sea Installation CETO 6) Wave Energy Plant 2016</vt:lpstr>
    </vt:vector>
  </TitlesOfParts>
  <Company>DEWHA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Carnegie-Safety Zone Notice (Sea Installation CETO 6) Wave Energy Plant 2016</dc:title>
  <dc:creator>Author</dc:creator>
  <cp:lastModifiedBy>Miller, Kelli</cp:lastModifiedBy>
  <cp:revision>2</cp:revision>
  <dcterms:created xsi:type="dcterms:W3CDTF">2016-05-20T06:52:00Z</dcterms:created>
  <dcterms:modified xsi:type="dcterms:W3CDTF">2016-05-20T06:52:00Z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0x010100BB2CA5D4910ACE4AADB481B488BD147400FA829B4AF55F244EAE47CDC9BD732406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{22ddc83e-3d55-4f4b-84b0-b8f29513b89f}</vt:lpwstr>
  </property>
  <property fmtid="{D5CDD505-2E9C-101B-9397-08002B2CF9AE}" pid="5" name="RecordPoint_ActiveItemListId">
    <vt:lpwstr>{eba0daa3-7a6b-4345-a184-35bbfa05a52e}</vt:lpwstr>
  </property>
  <property fmtid="{D5CDD505-2E9C-101B-9397-08002B2CF9AE}" pid="6" name="RecordPoint_ActiveItemUniqueId">
    <vt:lpwstr>{46da6494-d5a9-487a-8fbc-21c7b4757d50}</vt:lpwstr>
  </property>
  <property fmtid="{D5CDD505-2E9C-101B-9397-08002B2CF9AE}" pid="7" name="RecordPoint_ActiveItemWebId">
    <vt:lpwstr>{c7ab633b-628c-4474-be8c-b698d69082f2}</vt:lpwstr>
  </property>
</Properties>
</file>