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35B05" w:rsidRDefault="00DA186E" w:rsidP="00715914">
      <w:pPr>
        <w:rPr>
          <w:sz w:val="28"/>
        </w:rPr>
      </w:pPr>
      <w:r w:rsidRPr="00335B05">
        <w:rPr>
          <w:noProof/>
          <w:lang w:eastAsia="en-AU"/>
        </w:rPr>
        <w:drawing>
          <wp:inline distT="0" distB="0" distL="0" distR="0" wp14:anchorId="4E35F605" wp14:editId="072BF64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335B05" w:rsidRDefault="00715914" w:rsidP="00715914">
      <w:pPr>
        <w:rPr>
          <w:sz w:val="19"/>
        </w:rPr>
      </w:pPr>
    </w:p>
    <w:p w:rsidR="00715914" w:rsidRPr="00335B05" w:rsidRDefault="00195B34" w:rsidP="00715914">
      <w:pPr>
        <w:pStyle w:val="ShortT"/>
      </w:pPr>
      <w:r w:rsidRPr="00335B05">
        <w:t>Australian Citizenship Regulation</w:t>
      </w:r>
      <w:r w:rsidR="00335B05" w:rsidRPr="00335B05">
        <w:t> </w:t>
      </w:r>
      <w:r w:rsidRPr="00335B05">
        <w:t>2016</w:t>
      </w:r>
    </w:p>
    <w:p w:rsidR="00C615D5" w:rsidRPr="00335B05" w:rsidRDefault="00C615D5" w:rsidP="007517B8">
      <w:pPr>
        <w:pStyle w:val="SignCoverPageStart"/>
        <w:spacing w:before="240"/>
        <w:rPr>
          <w:szCs w:val="22"/>
        </w:rPr>
      </w:pPr>
      <w:r w:rsidRPr="00335B05">
        <w:rPr>
          <w:szCs w:val="22"/>
        </w:rPr>
        <w:t>I, General the Honourable Sir Peter Cosgrove AK MC (</w:t>
      </w:r>
      <w:proofErr w:type="spellStart"/>
      <w:r w:rsidRPr="00335B05">
        <w:rPr>
          <w:szCs w:val="22"/>
        </w:rPr>
        <w:t>Ret’d</w:t>
      </w:r>
      <w:proofErr w:type="spellEnd"/>
      <w:r w:rsidRPr="00335B05">
        <w:rPr>
          <w:szCs w:val="22"/>
        </w:rPr>
        <w:t xml:space="preserve">), </w:t>
      </w:r>
      <w:r w:rsidR="00335B05" w:rsidRPr="00335B05">
        <w:rPr>
          <w:szCs w:val="22"/>
        </w:rPr>
        <w:t>Governor</w:t>
      </w:r>
      <w:r w:rsidR="00335B05">
        <w:rPr>
          <w:szCs w:val="22"/>
        </w:rPr>
        <w:noBreakHyphen/>
      </w:r>
      <w:r w:rsidR="00335B05" w:rsidRPr="00335B05">
        <w:rPr>
          <w:szCs w:val="22"/>
        </w:rPr>
        <w:t>General</w:t>
      </w:r>
      <w:r w:rsidRPr="00335B05">
        <w:rPr>
          <w:szCs w:val="22"/>
        </w:rPr>
        <w:t xml:space="preserve"> of the Commonwealth of Australia, acting with the advice of the Federal Executive Council, make the following regulation.</w:t>
      </w:r>
    </w:p>
    <w:p w:rsidR="00C615D5" w:rsidRPr="00335B05" w:rsidRDefault="00C615D5" w:rsidP="007517B8">
      <w:pPr>
        <w:keepNext/>
        <w:spacing w:before="720" w:line="240" w:lineRule="atLeast"/>
        <w:ind w:right="397"/>
        <w:jc w:val="both"/>
        <w:rPr>
          <w:szCs w:val="22"/>
        </w:rPr>
      </w:pPr>
      <w:r w:rsidRPr="00335B05">
        <w:rPr>
          <w:szCs w:val="22"/>
        </w:rPr>
        <w:t xml:space="preserve">Dated </w:t>
      </w:r>
      <w:bookmarkStart w:id="0" w:name="BKCheck15B_1"/>
      <w:bookmarkEnd w:id="0"/>
      <w:r w:rsidRPr="00335B05">
        <w:rPr>
          <w:szCs w:val="22"/>
        </w:rPr>
        <w:fldChar w:fldCharType="begin"/>
      </w:r>
      <w:r w:rsidRPr="00335B05">
        <w:rPr>
          <w:szCs w:val="22"/>
        </w:rPr>
        <w:instrText xml:space="preserve"> DOCPROPERTY  DateMade </w:instrText>
      </w:r>
      <w:r w:rsidRPr="00335B05">
        <w:rPr>
          <w:szCs w:val="22"/>
        </w:rPr>
        <w:fldChar w:fldCharType="separate"/>
      </w:r>
      <w:r w:rsidR="00B35099">
        <w:rPr>
          <w:szCs w:val="22"/>
        </w:rPr>
        <w:t>08 December 2016</w:t>
      </w:r>
      <w:r w:rsidRPr="00335B05">
        <w:rPr>
          <w:szCs w:val="22"/>
        </w:rPr>
        <w:fldChar w:fldCharType="end"/>
      </w:r>
    </w:p>
    <w:p w:rsidR="00C615D5" w:rsidRPr="00335B05" w:rsidRDefault="00C615D5" w:rsidP="007517B8">
      <w:pPr>
        <w:keepNext/>
        <w:tabs>
          <w:tab w:val="left" w:pos="3402"/>
        </w:tabs>
        <w:spacing w:before="1080" w:line="300" w:lineRule="atLeast"/>
        <w:ind w:left="397" w:right="397"/>
        <w:jc w:val="right"/>
        <w:rPr>
          <w:szCs w:val="22"/>
        </w:rPr>
      </w:pPr>
      <w:r w:rsidRPr="00335B05">
        <w:rPr>
          <w:szCs w:val="22"/>
        </w:rPr>
        <w:t>Peter Cosgrove</w:t>
      </w:r>
    </w:p>
    <w:p w:rsidR="00C615D5" w:rsidRPr="00335B05" w:rsidRDefault="00335B05" w:rsidP="007517B8">
      <w:pPr>
        <w:keepNext/>
        <w:tabs>
          <w:tab w:val="left" w:pos="3402"/>
        </w:tabs>
        <w:spacing w:line="300" w:lineRule="atLeast"/>
        <w:ind w:left="397" w:right="397"/>
        <w:jc w:val="right"/>
        <w:rPr>
          <w:szCs w:val="22"/>
        </w:rPr>
      </w:pPr>
      <w:r w:rsidRPr="00335B05">
        <w:rPr>
          <w:szCs w:val="22"/>
        </w:rPr>
        <w:t>Governor</w:t>
      </w:r>
      <w:r>
        <w:rPr>
          <w:szCs w:val="22"/>
        </w:rPr>
        <w:noBreakHyphen/>
      </w:r>
      <w:r w:rsidRPr="00335B05">
        <w:rPr>
          <w:szCs w:val="22"/>
        </w:rPr>
        <w:t>General</w:t>
      </w:r>
    </w:p>
    <w:p w:rsidR="00C615D5" w:rsidRPr="00335B05" w:rsidRDefault="00C615D5" w:rsidP="007517B8">
      <w:pPr>
        <w:keepNext/>
        <w:tabs>
          <w:tab w:val="left" w:pos="3402"/>
        </w:tabs>
        <w:spacing w:before="840" w:after="1080" w:line="300" w:lineRule="atLeast"/>
        <w:ind w:right="397"/>
        <w:rPr>
          <w:szCs w:val="22"/>
        </w:rPr>
      </w:pPr>
      <w:r w:rsidRPr="00335B05">
        <w:rPr>
          <w:szCs w:val="22"/>
        </w:rPr>
        <w:t>By His Excellency’s Command</w:t>
      </w:r>
    </w:p>
    <w:p w:rsidR="00C615D5" w:rsidRPr="00335B05" w:rsidRDefault="00C615D5" w:rsidP="007517B8">
      <w:pPr>
        <w:keepNext/>
        <w:tabs>
          <w:tab w:val="left" w:pos="3402"/>
        </w:tabs>
        <w:spacing w:before="480" w:line="300" w:lineRule="atLeast"/>
        <w:ind w:right="397"/>
        <w:rPr>
          <w:szCs w:val="22"/>
        </w:rPr>
      </w:pPr>
      <w:r w:rsidRPr="00335B05">
        <w:rPr>
          <w:szCs w:val="22"/>
        </w:rPr>
        <w:t>Peter Dutton</w:t>
      </w:r>
      <w:r w:rsidRPr="00335B05">
        <w:t xml:space="preserve"> </w:t>
      </w:r>
    </w:p>
    <w:p w:rsidR="00C615D5" w:rsidRPr="00335B05" w:rsidRDefault="00C615D5" w:rsidP="007517B8">
      <w:pPr>
        <w:pStyle w:val="SignCoverPageEnd"/>
        <w:rPr>
          <w:szCs w:val="22"/>
        </w:rPr>
      </w:pPr>
      <w:r w:rsidRPr="00335B05">
        <w:rPr>
          <w:szCs w:val="22"/>
        </w:rPr>
        <w:t>Minister for Immigration and Border Protection</w:t>
      </w:r>
    </w:p>
    <w:p w:rsidR="00C615D5" w:rsidRPr="00335B05" w:rsidRDefault="00C615D5" w:rsidP="007517B8"/>
    <w:p w:rsidR="00C615D5" w:rsidRPr="00335B05" w:rsidRDefault="00C615D5" w:rsidP="007517B8"/>
    <w:p w:rsidR="00C615D5" w:rsidRPr="00335B05" w:rsidRDefault="00C615D5" w:rsidP="007517B8"/>
    <w:p w:rsidR="00C615D5" w:rsidRPr="00335B05" w:rsidRDefault="00C615D5" w:rsidP="00C615D5"/>
    <w:p w:rsidR="00715914" w:rsidRPr="00335B05" w:rsidRDefault="00715914" w:rsidP="00715914">
      <w:pPr>
        <w:pStyle w:val="Header"/>
        <w:tabs>
          <w:tab w:val="clear" w:pos="4150"/>
          <w:tab w:val="clear" w:pos="8307"/>
        </w:tabs>
      </w:pPr>
      <w:r w:rsidRPr="00335B05">
        <w:rPr>
          <w:rStyle w:val="CharChapNo"/>
        </w:rPr>
        <w:t xml:space="preserve"> </w:t>
      </w:r>
      <w:r w:rsidRPr="00335B05">
        <w:rPr>
          <w:rStyle w:val="CharChapText"/>
        </w:rPr>
        <w:t xml:space="preserve"> </w:t>
      </w:r>
    </w:p>
    <w:p w:rsidR="00715914" w:rsidRPr="00335B05" w:rsidRDefault="00715914" w:rsidP="00715914">
      <w:pPr>
        <w:pStyle w:val="Header"/>
        <w:tabs>
          <w:tab w:val="clear" w:pos="4150"/>
          <w:tab w:val="clear" w:pos="8307"/>
        </w:tabs>
      </w:pPr>
      <w:r w:rsidRPr="00335B05">
        <w:rPr>
          <w:rStyle w:val="CharPartNo"/>
        </w:rPr>
        <w:t xml:space="preserve"> </w:t>
      </w:r>
      <w:r w:rsidRPr="00335B05">
        <w:rPr>
          <w:rStyle w:val="CharPartText"/>
        </w:rPr>
        <w:t xml:space="preserve"> </w:t>
      </w:r>
    </w:p>
    <w:p w:rsidR="00715914" w:rsidRPr="00335B05" w:rsidRDefault="00715914" w:rsidP="00715914">
      <w:pPr>
        <w:pStyle w:val="Header"/>
        <w:tabs>
          <w:tab w:val="clear" w:pos="4150"/>
          <w:tab w:val="clear" w:pos="8307"/>
        </w:tabs>
      </w:pPr>
      <w:r w:rsidRPr="00335B05">
        <w:rPr>
          <w:rStyle w:val="CharDivNo"/>
        </w:rPr>
        <w:t xml:space="preserve"> </w:t>
      </w:r>
      <w:r w:rsidRPr="00335B05">
        <w:rPr>
          <w:rStyle w:val="CharDivText"/>
        </w:rPr>
        <w:t xml:space="preserve"> </w:t>
      </w:r>
    </w:p>
    <w:p w:rsidR="00715914" w:rsidRPr="00335B05" w:rsidRDefault="00715914" w:rsidP="00715914">
      <w:pPr>
        <w:sectPr w:rsidR="00715914" w:rsidRPr="00335B05" w:rsidSect="005A034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335B05" w:rsidRDefault="00715914" w:rsidP="00F65F7A">
      <w:pPr>
        <w:rPr>
          <w:sz w:val="36"/>
        </w:rPr>
      </w:pPr>
      <w:r w:rsidRPr="00335B05">
        <w:rPr>
          <w:sz w:val="36"/>
        </w:rPr>
        <w:lastRenderedPageBreak/>
        <w:t>Contents</w:t>
      </w:r>
    </w:p>
    <w:bookmarkStart w:id="1" w:name="BKCheck15B_2"/>
    <w:bookmarkEnd w:id="1"/>
    <w:p w:rsidR="00A078EC" w:rsidRPr="00335B05" w:rsidRDefault="00A078EC">
      <w:pPr>
        <w:pStyle w:val="TOC2"/>
        <w:rPr>
          <w:rFonts w:asciiTheme="minorHAnsi" w:eastAsiaTheme="minorEastAsia" w:hAnsiTheme="minorHAnsi" w:cstheme="minorBidi"/>
          <w:b w:val="0"/>
          <w:noProof/>
          <w:kern w:val="0"/>
          <w:sz w:val="22"/>
          <w:szCs w:val="22"/>
        </w:rPr>
      </w:pPr>
      <w:r w:rsidRPr="00335B05">
        <w:rPr>
          <w:sz w:val="20"/>
        </w:rPr>
        <w:fldChar w:fldCharType="begin"/>
      </w:r>
      <w:r w:rsidRPr="00335B05">
        <w:rPr>
          <w:sz w:val="20"/>
        </w:rPr>
        <w:instrText xml:space="preserve"> TOC \o "1-9" </w:instrText>
      </w:r>
      <w:r w:rsidRPr="00335B05">
        <w:rPr>
          <w:sz w:val="20"/>
        </w:rPr>
        <w:fldChar w:fldCharType="separate"/>
      </w:r>
      <w:r w:rsidRPr="00335B05">
        <w:rPr>
          <w:noProof/>
        </w:rPr>
        <w:t>Part</w:t>
      </w:r>
      <w:r w:rsidR="00335B05" w:rsidRPr="00335B05">
        <w:rPr>
          <w:noProof/>
        </w:rPr>
        <w:t> </w:t>
      </w:r>
      <w:r w:rsidRPr="00335B05">
        <w:rPr>
          <w:noProof/>
        </w:rPr>
        <w:t>1—Preliminary</w:t>
      </w:r>
      <w:r w:rsidRPr="00335B05">
        <w:rPr>
          <w:b w:val="0"/>
          <w:noProof/>
          <w:sz w:val="18"/>
        </w:rPr>
        <w:tab/>
      </w:r>
      <w:r w:rsidRPr="00335B05">
        <w:rPr>
          <w:b w:val="0"/>
          <w:noProof/>
          <w:sz w:val="18"/>
        </w:rPr>
        <w:fldChar w:fldCharType="begin"/>
      </w:r>
      <w:r w:rsidRPr="00335B05">
        <w:rPr>
          <w:b w:val="0"/>
          <w:noProof/>
          <w:sz w:val="18"/>
        </w:rPr>
        <w:instrText xml:space="preserve"> PAGEREF _Toc465860524 \h </w:instrText>
      </w:r>
      <w:r w:rsidRPr="00335B05">
        <w:rPr>
          <w:b w:val="0"/>
          <w:noProof/>
          <w:sz w:val="18"/>
        </w:rPr>
      </w:r>
      <w:r w:rsidRPr="00335B05">
        <w:rPr>
          <w:b w:val="0"/>
          <w:noProof/>
          <w:sz w:val="18"/>
        </w:rPr>
        <w:fldChar w:fldCharType="separate"/>
      </w:r>
      <w:r w:rsidR="00B35099">
        <w:rPr>
          <w:b w:val="0"/>
          <w:noProof/>
          <w:sz w:val="18"/>
        </w:rPr>
        <w:t>1</w:t>
      </w:r>
      <w:r w:rsidRPr="00335B05">
        <w:rPr>
          <w:b w:val="0"/>
          <w:noProof/>
          <w:sz w:val="18"/>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w:t>
      </w:r>
      <w:r w:rsidRPr="00335B05">
        <w:rPr>
          <w:noProof/>
        </w:rPr>
        <w:tab/>
        <w:t>Name</w:t>
      </w:r>
      <w:r w:rsidRPr="00335B05">
        <w:rPr>
          <w:noProof/>
        </w:rPr>
        <w:tab/>
      </w:r>
      <w:r w:rsidRPr="00335B05">
        <w:rPr>
          <w:noProof/>
        </w:rPr>
        <w:fldChar w:fldCharType="begin"/>
      </w:r>
      <w:r w:rsidRPr="00335B05">
        <w:rPr>
          <w:noProof/>
        </w:rPr>
        <w:instrText xml:space="preserve"> PAGEREF _Toc465860525 \h </w:instrText>
      </w:r>
      <w:r w:rsidRPr="00335B05">
        <w:rPr>
          <w:noProof/>
        </w:rPr>
      </w:r>
      <w:r w:rsidRPr="00335B05">
        <w:rPr>
          <w:noProof/>
        </w:rPr>
        <w:fldChar w:fldCharType="separate"/>
      </w:r>
      <w:r w:rsidR="00B35099">
        <w:rPr>
          <w:noProof/>
        </w:rPr>
        <w:t>1</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2</w:t>
      </w:r>
      <w:r w:rsidRPr="00335B05">
        <w:rPr>
          <w:noProof/>
        </w:rPr>
        <w:tab/>
        <w:t>Commencement</w:t>
      </w:r>
      <w:r w:rsidRPr="00335B05">
        <w:rPr>
          <w:noProof/>
        </w:rPr>
        <w:tab/>
      </w:r>
      <w:r w:rsidRPr="00335B05">
        <w:rPr>
          <w:noProof/>
        </w:rPr>
        <w:fldChar w:fldCharType="begin"/>
      </w:r>
      <w:r w:rsidRPr="00335B05">
        <w:rPr>
          <w:noProof/>
        </w:rPr>
        <w:instrText xml:space="preserve"> PAGEREF _Toc465860526 \h </w:instrText>
      </w:r>
      <w:r w:rsidRPr="00335B05">
        <w:rPr>
          <w:noProof/>
        </w:rPr>
      </w:r>
      <w:r w:rsidRPr="00335B05">
        <w:rPr>
          <w:noProof/>
        </w:rPr>
        <w:fldChar w:fldCharType="separate"/>
      </w:r>
      <w:r w:rsidR="00B35099">
        <w:rPr>
          <w:noProof/>
        </w:rPr>
        <w:t>1</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3</w:t>
      </w:r>
      <w:r w:rsidRPr="00335B05">
        <w:rPr>
          <w:noProof/>
        </w:rPr>
        <w:tab/>
        <w:t>Authority</w:t>
      </w:r>
      <w:r w:rsidRPr="00335B05">
        <w:rPr>
          <w:noProof/>
        </w:rPr>
        <w:tab/>
      </w:r>
      <w:r w:rsidRPr="00335B05">
        <w:rPr>
          <w:noProof/>
        </w:rPr>
        <w:fldChar w:fldCharType="begin"/>
      </w:r>
      <w:r w:rsidRPr="00335B05">
        <w:rPr>
          <w:noProof/>
        </w:rPr>
        <w:instrText xml:space="preserve"> PAGEREF _Toc465860527 \h </w:instrText>
      </w:r>
      <w:r w:rsidRPr="00335B05">
        <w:rPr>
          <w:noProof/>
        </w:rPr>
      </w:r>
      <w:r w:rsidRPr="00335B05">
        <w:rPr>
          <w:noProof/>
        </w:rPr>
        <w:fldChar w:fldCharType="separate"/>
      </w:r>
      <w:r w:rsidR="00B35099">
        <w:rPr>
          <w:noProof/>
        </w:rPr>
        <w:t>1</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4</w:t>
      </w:r>
      <w:r w:rsidRPr="00335B05">
        <w:rPr>
          <w:noProof/>
        </w:rPr>
        <w:tab/>
        <w:t>Schedules</w:t>
      </w:r>
      <w:r w:rsidRPr="00335B05">
        <w:rPr>
          <w:noProof/>
        </w:rPr>
        <w:tab/>
      </w:r>
      <w:r w:rsidRPr="00335B05">
        <w:rPr>
          <w:noProof/>
        </w:rPr>
        <w:fldChar w:fldCharType="begin"/>
      </w:r>
      <w:r w:rsidRPr="00335B05">
        <w:rPr>
          <w:noProof/>
        </w:rPr>
        <w:instrText xml:space="preserve"> PAGEREF _Toc465860528 \h </w:instrText>
      </w:r>
      <w:r w:rsidRPr="00335B05">
        <w:rPr>
          <w:noProof/>
        </w:rPr>
      </w:r>
      <w:r w:rsidRPr="00335B05">
        <w:rPr>
          <w:noProof/>
        </w:rPr>
        <w:fldChar w:fldCharType="separate"/>
      </w:r>
      <w:r w:rsidR="00B35099">
        <w:rPr>
          <w:noProof/>
        </w:rPr>
        <w:t>1</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5</w:t>
      </w:r>
      <w:r w:rsidRPr="00335B05">
        <w:rPr>
          <w:noProof/>
        </w:rPr>
        <w:tab/>
        <w:t>Definitions</w:t>
      </w:r>
      <w:r w:rsidRPr="00335B05">
        <w:rPr>
          <w:noProof/>
        </w:rPr>
        <w:tab/>
      </w:r>
      <w:r w:rsidRPr="00335B05">
        <w:rPr>
          <w:noProof/>
        </w:rPr>
        <w:fldChar w:fldCharType="begin"/>
      </w:r>
      <w:r w:rsidRPr="00335B05">
        <w:rPr>
          <w:noProof/>
        </w:rPr>
        <w:instrText xml:space="preserve"> PAGEREF _Toc465860529 \h </w:instrText>
      </w:r>
      <w:r w:rsidRPr="00335B05">
        <w:rPr>
          <w:noProof/>
        </w:rPr>
      </w:r>
      <w:r w:rsidRPr="00335B05">
        <w:rPr>
          <w:noProof/>
        </w:rPr>
        <w:fldChar w:fldCharType="separate"/>
      </w:r>
      <w:r w:rsidR="00B35099">
        <w:rPr>
          <w:noProof/>
        </w:rPr>
        <w:t>1</w:t>
      </w:r>
      <w:r w:rsidRPr="00335B05">
        <w:rPr>
          <w:noProof/>
        </w:rPr>
        <w:fldChar w:fldCharType="end"/>
      </w:r>
    </w:p>
    <w:p w:rsidR="00A078EC" w:rsidRPr="00335B05" w:rsidRDefault="00A078EC">
      <w:pPr>
        <w:pStyle w:val="TOC2"/>
        <w:rPr>
          <w:rFonts w:asciiTheme="minorHAnsi" w:eastAsiaTheme="minorEastAsia" w:hAnsiTheme="minorHAnsi" w:cstheme="minorBidi"/>
          <w:b w:val="0"/>
          <w:noProof/>
          <w:kern w:val="0"/>
          <w:sz w:val="22"/>
          <w:szCs w:val="22"/>
        </w:rPr>
      </w:pPr>
      <w:r w:rsidRPr="00335B05">
        <w:rPr>
          <w:noProof/>
        </w:rPr>
        <w:t>Part</w:t>
      </w:r>
      <w:r w:rsidR="00335B05" w:rsidRPr="00335B05">
        <w:rPr>
          <w:noProof/>
        </w:rPr>
        <w:t> </w:t>
      </w:r>
      <w:r w:rsidRPr="00335B05">
        <w:rPr>
          <w:noProof/>
        </w:rPr>
        <w:t>2—Australian citizenship</w:t>
      </w:r>
      <w:r w:rsidRPr="00335B05">
        <w:rPr>
          <w:b w:val="0"/>
          <w:noProof/>
          <w:sz w:val="18"/>
        </w:rPr>
        <w:tab/>
      </w:r>
      <w:r w:rsidRPr="00335B05">
        <w:rPr>
          <w:b w:val="0"/>
          <w:noProof/>
          <w:sz w:val="18"/>
        </w:rPr>
        <w:fldChar w:fldCharType="begin"/>
      </w:r>
      <w:r w:rsidRPr="00335B05">
        <w:rPr>
          <w:b w:val="0"/>
          <w:noProof/>
          <w:sz w:val="18"/>
        </w:rPr>
        <w:instrText xml:space="preserve"> PAGEREF _Toc465860530 \h </w:instrText>
      </w:r>
      <w:r w:rsidRPr="00335B05">
        <w:rPr>
          <w:b w:val="0"/>
          <w:noProof/>
          <w:sz w:val="18"/>
        </w:rPr>
      </w:r>
      <w:r w:rsidRPr="00335B05">
        <w:rPr>
          <w:b w:val="0"/>
          <w:noProof/>
          <w:sz w:val="18"/>
        </w:rPr>
        <w:fldChar w:fldCharType="separate"/>
      </w:r>
      <w:r w:rsidR="00B35099">
        <w:rPr>
          <w:b w:val="0"/>
          <w:noProof/>
          <w:sz w:val="18"/>
        </w:rPr>
        <w:t>3</w:t>
      </w:r>
      <w:r w:rsidRPr="00335B05">
        <w:rPr>
          <w:b w:val="0"/>
          <w:noProof/>
          <w:sz w:val="18"/>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6</w:t>
      </w:r>
      <w:r w:rsidRPr="00335B05">
        <w:rPr>
          <w:noProof/>
        </w:rPr>
        <w:tab/>
        <w:t>Registration under section</w:t>
      </w:r>
      <w:r w:rsidR="00335B05" w:rsidRPr="00335B05">
        <w:rPr>
          <w:noProof/>
        </w:rPr>
        <w:t> </w:t>
      </w:r>
      <w:r w:rsidRPr="00335B05">
        <w:rPr>
          <w:noProof/>
        </w:rPr>
        <w:t>18 of the Act</w:t>
      </w:r>
      <w:r w:rsidRPr="00335B05">
        <w:rPr>
          <w:noProof/>
        </w:rPr>
        <w:tab/>
      </w:r>
      <w:r w:rsidRPr="00335B05">
        <w:rPr>
          <w:noProof/>
        </w:rPr>
        <w:fldChar w:fldCharType="begin"/>
      </w:r>
      <w:r w:rsidRPr="00335B05">
        <w:rPr>
          <w:noProof/>
        </w:rPr>
        <w:instrText xml:space="preserve"> PAGEREF _Toc465860531 \h </w:instrText>
      </w:r>
      <w:r w:rsidRPr="00335B05">
        <w:rPr>
          <w:noProof/>
        </w:rPr>
      </w:r>
      <w:r w:rsidRPr="00335B05">
        <w:rPr>
          <w:noProof/>
        </w:rPr>
        <w:fldChar w:fldCharType="separate"/>
      </w:r>
      <w:r w:rsidR="00B35099">
        <w:rPr>
          <w:noProof/>
        </w:rPr>
        <w:t>3</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7</w:t>
      </w:r>
      <w:r w:rsidRPr="00335B05">
        <w:rPr>
          <w:noProof/>
        </w:rPr>
        <w:tab/>
        <w:t>Registration under section</w:t>
      </w:r>
      <w:r w:rsidR="00335B05" w:rsidRPr="00335B05">
        <w:rPr>
          <w:noProof/>
        </w:rPr>
        <w:t> </w:t>
      </w:r>
      <w:r w:rsidRPr="00335B05">
        <w:rPr>
          <w:noProof/>
        </w:rPr>
        <w:t>19E of the Act</w:t>
      </w:r>
      <w:r w:rsidRPr="00335B05">
        <w:rPr>
          <w:noProof/>
        </w:rPr>
        <w:tab/>
      </w:r>
      <w:r w:rsidRPr="00335B05">
        <w:rPr>
          <w:noProof/>
        </w:rPr>
        <w:fldChar w:fldCharType="begin"/>
      </w:r>
      <w:r w:rsidRPr="00335B05">
        <w:rPr>
          <w:noProof/>
        </w:rPr>
        <w:instrText xml:space="preserve"> PAGEREF _Toc465860532 \h </w:instrText>
      </w:r>
      <w:r w:rsidRPr="00335B05">
        <w:rPr>
          <w:noProof/>
        </w:rPr>
      </w:r>
      <w:r w:rsidRPr="00335B05">
        <w:rPr>
          <w:noProof/>
        </w:rPr>
        <w:fldChar w:fldCharType="separate"/>
      </w:r>
      <w:r w:rsidR="00B35099">
        <w:rPr>
          <w:noProof/>
        </w:rPr>
        <w:t>3</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8</w:t>
      </w:r>
      <w:r w:rsidRPr="00335B05">
        <w:rPr>
          <w:noProof/>
        </w:rPr>
        <w:tab/>
        <w:t>Defence service requirement—prescribed visas</w:t>
      </w:r>
      <w:r w:rsidRPr="00335B05">
        <w:rPr>
          <w:noProof/>
        </w:rPr>
        <w:tab/>
      </w:r>
      <w:r w:rsidRPr="00335B05">
        <w:rPr>
          <w:noProof/>
        </w:rPr>
        <w:fldChar w:fldCharType="begin"/>
      </w:r>
      <w:r w:rsidRPr="00335B05">
        <w:rPr>
          <w:noProof/>
        </w:rPr>
        <w:instrText xml:space="preserve"> PAGEREF _Toc465860533 \h </w:instrText>
      </w:r>
      <w:r w:rsidRPr="00335B05">
        <w:rPr>
          <w:noProof/>
        </w:rPr>
      </w:r>
      <w:r w:rsidRPr="00335B05">
        <w:rPr>
          <w:noProof/>
        </w:rPr>
        <w:fldChar w:fldCharType="separate"/>
      </w:r>
      <w:r w:rsidR="00B35099">
        <w:rPr>
          <w:noProof/>
        </w:rPr>
        <w:t>3</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9</w:t>
      </w:r>
      <w:r w:rsidRPr="00335B05">
        <w:rPr>
          <w:noProof/>
        </w:rPr>
        <w:tab/>
        <w:t>Prescribed reasons for failing to make pledge of commitment</w:t>
      </w:r>
      <w:r w:rsidRPr="00335B05">
        <w:rPr>
          <w:noProof/>
        </w:rPr>
        <w:tab/>
      </w:r>
      <w:r w:rsidRPr="00335B05">
        <w:rPr>
          <w:noProof/>
        </w:rPr>
        <w:fldChar w:fldCharType="begin"/>
      </w:r>
      <w:r w:rsidRPr="00335B05">
        <w:rPr>
          <w:noProof/>
        </w:rPr>
        <w:instrText xml:space="preserve"> PAGEREF _Toc465860534 \h </w:instrText>
      </w:r>
      <w:r w:rsidRPr="00335B05">
        <w:rPr>
          <w:noProof/>
        </w:rPr>
      </w:r>
      <w:r w:rsidRPr="00335B05">
        <w:rPr>
          <w:noProof/>
        </w:rPr>
        <w:fldChar w:fldCharType="separate"/>
      </w:r>
      <w:r w:rsidR="00B35099">
        <w:rPr>
          <w:noProof/>
        </w:rPr>
        <w:t>3</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10</w:t>
      </w:r>
      <w:r w:rsidRPr="00335B05">
        <w:rPr>
          <w:noProof/>
        </w:rPr>
        <w:tab/>
        <w:t>Arrangements for making pledge of commitment</w:t>
      </w:r>
      <w:r w:rsidRPr="00335B05">
        <w:rPr>
          <w:noProof/>
        </w:rPr>
        <w:tab/>
      </w:r>
      <w:r w:rsidRPr="00335B05">
        <w:rPr>
          <w:noProof/>
        </w:rPr>
        <w:fldChar w:fldCharType="begin"/>
      </w:r>
      <w:r w:rsidRPr="00335B05">
        <w:rPr>
          <w:noProof/>
        </w:rPr>
        <w:instrText xml:space="preserve"> PAGEREF _Toc465860535 \h </w:instrText>
      </w:r>
      <w:r w:rsidRPr="00335B05">
        <w:rPr>
          <w:noProof/>
        </w:rPr>
      </w:r>
      <w:r w:rsidRPr="00335B05">
        <w:rPr>
          <w:noProof/>
        </w:rPr>
        <w:fldChar w:fldCharType="separate"/>
      </w:r>
      <w:r w:rsidR="00B35099">
        <w:rPr>
          <w:noProof/>
        </w:rPr>
        <w:t>4</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11</w:t>
      </w:r>
      <w:r w:rsidRPr="00335B05">
        <w:rPr>
          <w:noProof/>
        </w:rPr>
        <w:tab/>
        <w:t>Registration under section</w:t>
      </w:r>
      <w:r w:rsidR="00335B05" w:rsidRPr="00335B05">
        <w:rPr>
          <w:noProof/>
        </w:rPr>
        <w:t> </w:t>
      </w:r>
      <w:r w:rsidRPr="00335B05">
        <w:rPr>
          <w:noProof/>
        </w:rPr>
        <w:t>31 of the Act</w:t>
      </w:r>
      <w:r w:rsidRPr="00335B05">
        <w:rPr>
          <w:noProof/>
        </w:rPr>
        <w:tab/>
      </w:r>
      <w:r w:rsidRPr="00335B05">
        <w:rPr>
          <w:noProof/>
        </w:rPr>
        <w:fldChar w:fldCharType="begin"/>
      </w:r>
      <w:r w:rsidRPr="00335B05">
        <w:rPr>
          <w:noProof/>
        </w:rPr>
        <w:instrText xml:space="preserve"> PAGEREF _Toc465860536 \h </w:instrText>
      </w:r>
      <w:r w:rsidRPr="00335B05">
        <w:rPr>
          <w:noProof/>
        </w:rPr>
      </w:r>
      <w:r w:rsidRPr="00335B05">
        <w:rPr>
          <w:noProof/>
        </w:rPr>
        <w:fldChar w:fldCharType="separate"/>
      </w:r>
      <w:r w:rsidR="00B35099">
        <w:rPr>
          <w:noProof/>
        </w:rPr>
        <w:t>4</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12</w:t>
      </w:r>
      <w:r w:rsidRPr="00335B05">
        <w:rPr>
          <w:noProof/>
        </w:rPr>
        <w:tab/>
        <w:t>Form of notice under subsection</w:t>
      </w:r>
      <w:r w:rsidR="00335B05" w:rsidRPr="00335B05">
        <w:rPr>
          <w:noProof/>
        </w:rPr>
        <w:t> </w:t>
      </w:r>
      <w:r w:rsidRPr="00335B05">
        <w:rPr>
          <w:noProof/>
        </w:rPr>
        <w:t>37(3) of the Act</w:t>
      </w:r>
      <w:r w:rsidRPr="00335B05">
        <w:rPr>
          <w:noProof/>
        </w:rPr>
        <w:tab/>
      </w:r>
      <w:r w:rsidRPr="00335B05">
        <w:rPr>
          <w:noProof/>
        </w:rPr>
        <w:fldChar w:fldCharType="begin"/>
      </w:r>
      <w:r w:rsidRPr="00335B05">
        <w:rPr>
          <w:noProof/>
        </w:rPr>
        <w:instrText xml:space="preserve"> PAGEREF _Toc465860537 \h </w:instrText>
      </w:r>
      <w:r w:rsidRPr="00335B05">
        <w:rPr>
          <w:noProof/>
        </w:rPr>
      </w:r>
      <w:r w:rsidRPr="00335B05">
        <w:rPr>
          <w:noProof/>
        </w:rPr>
        <w:fldChar w:fldCharType="separate"/>
      </w:r>
      <w:r w:rsidR="00B35099">
        <w:rPr>
          <w:noProof/>
        </w:rPr>
        <w:t>5</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13</w:t>
      </w:r>
      <w:r w:rsidRPr="00335B05">
        <w:rPr>
          <w:noProof/>
        </w:rPr>
        <w:tab/>
        <w:t>Personal identifiers</w:t>
      </w:r>
      <w:r w:rsidRPr="00335B05">
        <w:rPr>
          <w:noProof/>
        </w:rPr>
        <w:tab/>
      </w:r>
      <w:r w:rsidRPr="00335B05">
        <w:rPr>
          <w:noProof/>
        </w:rPr>
        <w:fldChar w:fldCharType="begin"/>
      </w:r>
      <w:r w:rsidRPr="00335B05">
        <w:rPr>
          <w:noProof/>
        </w:rPr>
        <w:instrText xml:space="preserve"> PAGEREF _Toc465860538 \h </w:instrText>
      </w:r>
      <w:r w:rsidRPr="00335B05">
        <w:rPr>
          <w:noProof/>
        </w:rPr>
      </w:r>
      <w:r w:rsidRPr="00335B05">
        <w:rPr>
          <w:noProof/>
        </w:rPr>
        <w:fldChar w:fldCharType="separate"/>
      </w:r>
      <w:r w:rsidR="00B35099">
        <w:rPr>
          <w:noProof/>
        </w:rPr>
        <w:t>5</w:t>
      </w:r>
      <w:r w:rsidRPr="00335B05">
        <w:rPr>
          <w:noProof/>
        </w:rPr>
        <w:fldChar w:fldCharType="end"/>
      </w:r>
    </w:p>
    <w:p w:rsidR="00A078EC" w:rsidRPr="00335B05" w:rsidRDefault="00A078EC">
      <w:pPr>
        <w:pStyle w:val="TOC2"/>
        <w:rPr>
          <w:rFonts w:asciiTheme="minorHAnsi" w:eastAsiaTheme="minorEastAsia" w:hAnsiTheme="minorHAnsi" w:cstheme="minorBidi"/>
          <w:b w:val="0"/>
          <w:noProof/>
          <w:kern w:val="0"/>
          <w:sz w:val="22"/>
          <w:szCs w:val="22"/>
        </w:rPr>
      </w:pPr>
      <w:r w:rsidRPr="00335B05">
        <w:rPr>
          <w:noProof/>
        </w:rPr>
        <w:t>Part</w:t>
      </w:r>
      <w:r w:rsidR="00335B05" w:rsidRPr="00335B05">
        <w:rPr>
          <w:noProof/>
        </w:rPr>
        <w:t> </w:t>
      </w:r>
      <w:r w:rsidRPr="00335B05">
        <w:rPr>
          <w:noProof/>
        </w:rPr>
        <w:t>3—Other matters</w:t>
      </w:r>
      <w:r w:rsidRPr="00335B05">
        <w:rPr>
          <w:b w:val="0"/>
          <w:noProof/>
          <w:sz w:val="18"/>
        </w:rPr>
        <w:tab/>
      </w:r>
      <w:r w:rsidRPr="00335B05">
        <w:rPr>
          <w:b w:val="0"/>
          <w:noProof/>
          <w:sz w:val="18"/>
        </w:rPr>
        <w:fldChar w:fldCharType="begin"/>
      </w:r>
      <w:r w:rsidRPr="00335B05">
        <w:rPr>
          <w:b w:val="0"/>
          <w:noProof/>
          <w:sz w:val="18"/>
        </w:rPr>
        <w:instrText xml:space="preserve"> PAGEREF _Toc465860539 \h </w:instrText>
      </w:r>
      <w:r w:rsidRPr="00335B05">
        <w:rPr>
          <w:b w:val="0"/>
          <w:noProof/>
          <w:sz w:val="18"/>
        </w:rPr>
      </w:r>
      <w:r w:rsidRPr="00335B05">
        <w:rPr>
          <w:b w:val="0"/>
          <w:noProof/>
          <w:sz w:val="18"/>
        </w:rPr>
        <w:fldChar w:fldCharType="separate"/>
      </w:r>
      <w:r w:rsidR="00B35099">
        <w:rPr>
          <w:b w:val="0"/>
          <w:noProof/>
          <w:sz w:val="18"/>
        </w:rPr>
        <w:t>6</w:t>
      </w:r>
      <w:r w:rsidRPr="00335B05">
        <w:rPr>
          <w:b w:val="0"/>
          <w:noProof/>
          <w:sz w:val="18"/>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14</w:t>
      </w:r>
      <w:r w:rsidRPr="00335B05">
        <w:rPr>
          <w:noProof/>
        </w:rPr>
        <w:tab/>
        <w:t>Information and documents to accompany applications</w:t>
      </w:r>
      <w:r w:rsidRPr="00335B05">
        <w:rPr>
          <w:noProof/>
        </w:rPr>
        <w:tab/>
      </w:r>
      <w:r w:rsidRPr="00335B05">
        <w:rPr>
          <w:noProof/>
        </w:rPr>
        <w:fldChar w:fldCharType="begin"/>
      </w:r>
      <w:r w:rsidRPr="00335B05">
        <w:rPr>
          <w:noProof/>
        </w:rPr>
        <w:instrText xml:space="preserve"> PAGEREF _Toc465860540 \h </w:instrText>
      </w:r>
      <w:r w:rsidRPr="00335B05">
        <w:rPr>
          <w:noProof/>
        </w:rPr>
      </w:r>
      <w:r w:rsidRPr="00335B05">
        <w:rPr>
          <w:noProof/>
        </w:rPr>
        <w:fldChar w:fldCharType="separate"/>
      </w:r>
      <w:r w:rsidR="00B35099">
        <w:rPr>
          <w:noProof/>
        </w:rPr>
        <w:t>6</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15</w:t>
      </w:r>
      <w:r w:rsidRPr="00335B05">
        <w:rPr>
          <w:noProof/>
        </w:rPr>
        <w:tab/>
        <w:t>Application for replacement of evidence of Australian citizenship lost, destroyed or damaged due to a natural disaster</w:t>
      </w:r>
      <w:r w:rsidRPr="00335B05">
        <w:rPr>
          <w:noProof/>
        </w:rPr>
        <w:tab/>
      </w:r>
      <w:r w:rsidRPr="00335B05">
        <w:rPr>
          <w:noProof/>
        </w:rPr>
        <w:fldChar w:fldCharType="begin"/>
      </w:r>
      <w:r w:rsidRPr="00335B05">
        <w:rPr>
          <w:noProof/>
        </w:rPr>
        <w:instrText xml:space="preserve"> PAGEREF _Toc465860541 \h </w:instrText>
      </w:r>
      <w:r w:rsidRPr="00335B05">
        <w:rPr>
          <w:noProof/>
        </w:rPr>
      </w:r>
      <w:r w:rsidRPr="00335B05">
        <w:rPr>
          <w:noProof/>
        </w:rPr>
        <w:fldChar w:fldCharType="separate"/>
      </w:r>
      <w:r w:rsidR="00B35099">
        <w:rPr>
          <w:noProof/>
        </w:rPr>
        <w:t>6</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16</w:t>
      </w:r>
      <w:r w:rsidRPr="00335B05">
        <w:rPr>
          <w:noProof/>
        </w:rPr>
        <w:tab/>
        <w:t>Fees to accompany applications</w:t>
      </w:r>
      <w:r w:rsidRPr="00335B05">
        <w:rPr>
          <w:noProof/>
        </w:rPr>
        <w:tab/>
      </w:r>
      <w:r w:rsidRPr="00335B05">
        <w:rPr>
          <w:noProof/>
        </w:rPr>
        <w:fldChar w:fldCharType="begin"/>
      </w:r>
      <w:r w:rsidRPr="00335B05">
        <w:rPr>
          <w:noProof/>
        </w:rPr>
        <w:instrText xml:space="preserve"> PAGEREF _Toc465860542 \h </w:instrText>
      </w:r>
      <w:r w:rsidRPr="00335B05">
        <w:rPr>
          <w:noProof/>
        </w:rPr>
      </w:r>
      <w:r w:rsidRPr="00335B05">
        <w:rPr>
          <w:noProof/>
        </w:rPr>
        <w:fldChar w:fldCharType="separate"/>
      </w:r>
      <w:r w:rsidR="00B35099">
        <w:rPr>
          <w:noProof/>
        </w:rPr>
        <w:t>6</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17</w:t>
      </w:r>
      <w:r w:rsidRPr="00335B05">
        <w:rPr>
          <w:noProof/>
        </w:rPr>
        <w:tab/>
        <w:t>Refund of fees under subsection</w:t>
      </w:r>
      <w:r w:rsidR="00335B05" w:rsidRPr="00335B05">
        <w:rPr>
          <w:noProof/>
        </w:rPr>
        <w:t> </w:t>
      </w:r>
      <w:r w:rsidRPr="00335B05">
        <w:rPr>
          <w:noProof/>
        </w:rPr>
        <w:t>46(3) of the Act</w:t>
      </w:r>
      <w:r w:rsidRPr="00335B05">
        <w:rPr>
          <w:noProof/>
        </w:rPr>
        <w:tab/>
      </w:r>
      <w:r w:rsidRPr="00335B05">
        <w:rPr>
          <w:noProof/>
        </w:rPr>
        <w:fldChar w:fldCharType="begin"/>
      </w:r>
      <w:r w:rsidRPr="00335B05">
        <w:rPr>
          <w:noProof/>
        </w:rPr>
        <w:instrText xml:space="preserve"> PAGEREF _Toc465860543 \h </w:instrText>
      </w:r>
      <w:r w:rsidRPr="00335B05">
        <w:rPr>
          <w:noProof/>
        </w:rPr>
      </w:r>
      <w:r w:rsidRPr="00335B05">
        <w:rPr>
          <w:noProof/>
        </w:rPr>
        <w:fldChar w:fldCharType="separate"/>
      </w:r>
      <w:r w:rsidR="00B35099">
        <w:rPr>
          <w:noProof/>
        </w:rPr>
        <w:t>7</w:t>
      </w:r>
      <w:r w:rsidRPr="00335B05">
        <w:rPr>
          <w:noProof/>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18</w:t>
      </w:r>
      <w:r w:rsidRPr="00335B05">
        <w:rPr>
          <w:noProof/>
        </w:rPr>
        <w:tab/>
        <w:t>Form of notice under section</w:t>
      </w:r>
      <w:r w:rsidR="00335B05" w:rsidRPr="00335B05">
        <w:rPr>
          <w:noProof/>
        </w:rPr>
        <w:t> </w:t>
      </w:r>
      <w:r w:rsidRPr="00335B05">
        <w:rPr>
          <w:noProof/>
        </w:rPr>
        <w:t>47 of the Act</w:t>
      </w:r>
      <w:r w:rsidRPr="00335B05">
        <w:rPr>
          <w:noProof/>
        </w:rPr>
        <w:tab/>
      </w:r>
      <w:r w:rsidRPr="00335B05">
        <w:rPr>
          <w:noProof/>
        </w:rPr>
        <w:fldChar w:fldCharType="begin"/>
      </w:r>
      <w:r w:rsidRPr="00335B05">
        <w:rPr>
          <w:noProof/>
        </w:rPr>
        <w:instrText xml:space="preserve"> PAGEREF _Toc465860544 \h </w:instrText>
      </w:r>
      <w:r w:rsidRPr="00335B05">
        <w:rPr>
          <w:noProof/>
        </w:rPr>
      </w:r>
      <w:r w:rsidRPr="00335B05">
        <w:rPr>
          <w:noProof/>
        </w:rPr>
        <w:fldChar w:fldCharType="separate"/>
      </w:r>
      <w:r w:rsidR="00B35099">
        <w:rPr>
          <w:noProof/>
        </w:rPr>
        <w:t>9</w:t>
      </w:r>
      <w:r w:rsidRPr="00335B05">
        <w:rPr>
          <w:noProof/>
        </w:rPr>
        <w:fldChar w:fldCharType="end"/>
      </w:r>
    </w:p>
    <w:p w:rsidR="00A078EC" w:rsidRPr="00335B05" w:rsidRDefault="00A078EC">
      <w:pPr>
        <w:pStyle w:val="TOC2"/>
        <w:rPr>
          <w:rFonts w:asciiTheme="minorHAnsi" w:eastAsiaTheme="minorEastAsia" w:hAnsiTheme="minorHAnsi" w:cstheme="minorBidi"/>
          <w:b w:val="0"/>
          <w:noProof/>
          <w:kern w:val="0"/>
          <w:sz w:val="22"/>
          <w:szCs w:val="22"/>
        </w:rPr>
      </w:pPr>
      <w:r w:rsidRPr="00335B05">
        <w:rPr>
          <w:noProof/>
        </w:rPr>
        <w:t>Part</w:t>
      </w:r>
      <w:r w:rsidR="00335B05" w:rsidRPr="00335B05">
        <w:rPr>
          <w:noProof/>
        </w:rPr>
        <w:t> </w:t>
      </w:r>
      <w:r w:rsidRPr="00335B05">
        <w:rPr>
          <w:noProof/>
        </w:rPr>
        <w:t>4—Transitional arrangements</w:t>
      </w:r>
      <w:r w:rsidRPr="00335B05">
        <w:rPr>
          <w:b w:val="0"/>
          <w:noProof/>
          <w:sz w:val="18"/>
        </w:rPr>
        <w:tab/>
      </w:r>
      <w:r w:rsidRPr="00335B05">
        <w:rPr>
          <w:b w:val="0"/>
          <w:noProof/>
          <w:sz w:val="18"/>
        </w:rPr>
        <w:fldChar w:fldCharType="begin"/>
      </w:r>
      <w:r w:rsidRPr="00335B05">
        <w:rPr>
          <w:b w:val="0"/>
          <w:noProof/>
          <w:sz w:val="18"/>
        </w:rPr>
        <w:instrText xml:space="preserve"> PAGEREF _Toc465860545 \h </w:instrText>
      </w:r>
      <w:r w:rsidRPr="00335B05">
        <w:rPr>
          <w:b w:val="0"/>
          <w:noProof/>
          <w:sz w:val="18"/>
        </w:rPr>
      </w:r>
      <w:r w:rsidRPr="00335B05">
        <w:rPr>
          <w:b w:val="0"/>
          <w:noProof/>
          <w:sz w:val="18"/>
        </w:rPr>
        <w:fldChar w:fldCharType="separate"/>
      </w:r>
      <w:r w:rsidR="00B35099">
        <w:rPr>
          <w:b w:val="0"/>
          <w:noProof/>
          <w:sz w:val="18"/>
        </w:rPr>
        <w:t>10</w:t>
      </w:r>
      <w:r w:rsidRPr="00335B05">
        <w:rPr>
          <w:b w:val="0"/>
          <w:noProof/>
          <w:sz w:val="18"/>
        </w:rPr>
        <w:fldChar w:fldCharType="end"/>
      </w:r>
    </w:p>
    <w:p w:rsidR="00A078EC" w:rsidRPr="00335B05" w:rsidRDefault="00A078EC">
      <w:pPr>
        <w:pStyle w:val="TOC5"/>
        <w:rPr>
          <w:rFonts w:asciiTheme="minorHAnsi" w:eastAsiaTheme="minorEastAsia" w:hAnsiTheme="minorHAnsi" w:cstheme="minorBidi"/>
          <w:noProof/>
          <w:kern w:val="0"/>
          <w:sz w:val="22"/>
          <w:szCs w:val="22"/>
        </w:rPr>
      </w:pPr>
      <w:r w:rsidRPr="00335B05">
        <w:rPr>
          <w:noProof/>
        </w:rPr>
        <w:t>19</w:t>
      </w:r>
      <w:r w:rsidRPr="00335B05">
        <w:rPr>
          <w:noProof/>
        </w:rPr>
        <w:tab/>
        <w:t>Transitional provisions relating to the commencement of this instrument—applications made before commencement</w:t>
      </w:r>
      <w:r w:rsidRPr="00335B05">
        <w:rPr>
          <w:noProof/>
        </w:rPr>
        <w:tab/>
      </w:r>
      <w:r w:rsidRPr="00335B05">
        <w:rPr>
          <w:noProof/>
        </w:rPr>
        <w:fldChar w:fldCharType="begin"/>
      </w:r>
      <w:r w:rsidRPr="00335B05">
        <w:rPr>
          <w:noProof/>
        </w:rPr>
        <w:instrText xml:space="preserve"> PAGEREF _Toc465860546 \h </w:instrText>
      </w:r>
      <w:r w:rsidRPr="00335B05">
        <w:rPr>
          <w:noProof/>
        </w:rPr>
      </w:r>
      <w:r w:rsidRPr="00335B05">
        <w:rPr>
          <w:noProof/>
        </w:rPr>
        <w:fldChar w:fldCharType="separate"/>
      </w:r>
      <w:r w:rsidR="00B35099">
        <w:rPr>
          <w:noProof/>
        </w:rPr>
        <w:t>10</w:t>
      </w:r>
      <w:r w:rsidRPr="00335B05">
        <w:rPr>
          <w:noProof/>
        </w:rPr>
        <w:fldChar w:fldCharType="end"/>
      </w:r>
    </w:p>
    <w:p w:rsidR="00A078EC" w:rsidRPr="00335B05" w:rsidRDefault="00A078EC">
      <w:pPr>
        <w:pStyle w:val="TOC1"/>
        <w:rPr>
          <w:rFonts w:asciiTheme="minorHAnsi" w:eastAsiaTheme="minorEastAsia" w:hAnsiTheme="minorHAnsi" w:cstheme="minorBidi"/>
          <w:b w:val="0"/>
          <w:noProof/>
          <w:kern w:val="0"/>
          <w:sz w:val="22"/>
          <w:szCs w:val="22"/>
        </w:rPr>
      </w:pPr>
      <w:r w:rsidRPr="00335B05">
        <w:rPr>
          <w:noProof/>
        </w:rPr>
        <w:t>Schedule</w:t>
      </w:r>
      <w:r w:rsidR="00335B05" w:rsidRPr="00335B05">
        <w:rPr>
          <w:noProof/>
        </w:rPr>
        <w:t> </w:t>
      </w:r>
      <w:r w:rsidRPr="00335B05">
        <w:rPr>
          <w:noProof/>
        </w:rPr>
        <w:t>1—Preamble for citizenship ceremony</w:t>
      </w:r>
      <w:r w:rsidRPr="00335B05">
        <w:rPr>
          <w:b w:val="0"/>
          <w:noProof/>
          <w:sz w:val="18"/>
        </w:rPr>
        <w:tab/>
      </w:r>
      <w:r w:rsidRPr="00335B05">
        <w:rPr>
          <w:b w:val="0"/>
          <w:noProof/>
          <w:sz w:val="18"/>
        </w:rPr>
        <w:fldChar w:fldCharType="begin"/>
      </w:r>
      <w:r w:rsidRPr="00335B05">
        <w:rPr>
          <w:b w:val="0"/>
          <w:noProof/>
          <w:sz w:val="18"/>
        </w:rPr>
        <w:instrText xml:space="preserve"> PAGEREF _Toc465860547 \h </w:instrText>
      </w:r>
      <w:r w:rsidRPr="00335B05">
        <w:rPr>
          <w:b w:val="0"/>
          <w:noProof/>
          <w:sz w:val="18"/>
        </w:rPr>
      </w:r>
      <w:r w:rsidRPr="00335B05">
        <w:rPr>
          <w:b w:val="0"/>
          <w:noProof/>
          <w:sz w:val="18"/>
        </w:rPr>
        <w:fldChar w:fldCharType="separate"/>
      </w:r>
      <w:r w:rsidR="00B35099">
        <w:rPr>
          <w:b w:val="0"/>
          <w:noProof/>
          <w:sz w:val="18"/>
        </w:rPr>
        <w:t>11</w:t>
      </w:r>
      <w:r w:rsidRPr="00335B05">
        <w:rPr>
          <w:b w:val="0"/>
          <w:noProof/>
          <w:sz w:val="18"/>
        </w:rPr>
        <w:fldChar w:fldCharType="end"/>
      </w:r>
    </w:p>
    <w:p w:rsidR="00A078EC" w:rsidRPr="00335B05" w:rsidRDefault="00A078EC">
      <w:pPr>
        <w:pStyle w:val="TOC1"/>
        <w:rPr>
          <w:rFonts w:asciiTheme="minorHAnsi" w:eastAsiaTheme="minorEastAsia" w:hAnsiTheme="minorHAnsi" w:cstheme="minorBidi"/>
          <w:b w:val="0"/>
          <w:noProof/>
          <w:kern w:val="0"/>
          <w:sz w:val="22"/>
          <w:szCs w:val="22"/>
        </w:rPr>
      </w:pPr>
      <w:r w:rsidRPr="00335B05">
        <w:rPr>
          <w:noProof/>
        </w:rPr>
        <w:t>Schedule</w:t>
      </w:r>
      <w:r w:rsidR="00335B05" w:rsidRPr="00335B05">
        <w:rPr>
          <w:noProof/>
        </w:rPr>
        <w:t> </w:t>
      </w:r>
      <w:r w:rsidRPr="00335B05">
        <w:rPr>
          <w:noProof/>
        </w:rPr>
        <w:t>2—Form of notice</w:t>
      </w:r>
      <w:r w:rsidRPr="00335B05">
        <w:rPr>
          <w:b w:val="0"/>
          <w:noProof/>
          <w:sz w:val="18"/>
        </w:rPr>
        <w:tab/>
      </w:r>
      <w:r w:rsidRPr="00335B05">
        <w:rPr>
          <w:b w:val="0"/>
          <w:noProof/>
          <w:sz w:val="18"/>
        </w:rPr>
        <w:fldChar w:fldCharType="begin"/>
      </w:r>
      <w:r w:rsidRPr="00335B05">
        <w:rPr>
          <w:b w:val="0"/>
          <w:noProof/>
          <w:sz w:val="18"/>
        </w:rPr>
        <w:instrText xml:space="preserve"> PAGEREF _Toc465860548 \h </w:instrText>
      </w:r>
      <w:r w:rsidRPr="00335B05">
        <w:rPr>
          <w:b w:val="0"/>
          <w:noProof/>
          <w:sz w:val="18"/>
        </w:rPr>
      </w:r>
      <w:r w:rsidRPr="00335B05">
        <w:rPr>
          <w:b w:val="0"/>
          <w:noProof/>
          <w:sz w:val="18"/>
        </w:rPr>
        <w:fldChar w:fldCharType="separate"/>
      </w:r>
      <w:r w:rsidR="00B35099">
        <w:rPr>
          <w:b w:val="0"/>
          <w:noProof/>
          <w:sz w:val="18"/>
        </w:rPr>
        <w:t>12</w:t>
      </w:r>
      <w:r w:rsidRPr="00335B05">
        <w:rPr>
          <w:b w:val="0"/>
          <w:noProof/>
          <w:sz w:val="18"/>
        </w:rPr>
        <w:fldChar w:fldCharType="end"/>
      </w:r>
    </w:p>
    <w:p w:rsidR="00A078EC" w:rsidRPr="00335B05" w:rsidRDefault="00A078EC">
      <w:pPr>
        <w:pStyle w:val="TOC1"/>
        <w:rPr>
          <w:rFonts w:asciiTheme="minorHAnsi" w:eastAsiaTheme="minorEastAsia" w:hAnsiTheme="minorHAnsi" w:cstheme="minorBidi"/>
          <w:b w:val="0"/>
          <w:noProof/>
          <w:kern w:val="0"/>
          <w:sz w:val="22"/>
          <w:szCs w:val="22"/>
        </w:rPr>
      </w:pPr>
      <w:r w:rsidRPr="00335B05">
        <w:rPr>
          <w:noProof/>
        </w:rPr>
        <w:t>Schedule</w:t>
      </w:r>
      <w:r w:rsidR="00335B05" w:rsidRPr="00335B05">
        <w:rPr>
          <w:noProof/>
        </w:rPr>
        <w:t> </w:t>
      </w:r>
      <w:r w:rsidRPr="00335B05">
        <w:rPr>
          <w:noProof/>
        </w:rPr>
        <w:t>3—Amounts to accompany applications</w:t>
      </w:r>
      <w:r w:rsidRPr="00335B05">
        <w:rPr>
          <w:b w:val="0"/>
          <w:noProof/>
          <w:sz w:val="18"/>
        </w:rPr>
        <w:tab/>
      </w:r>
      <w:r w:rsidRPr="00335B05">
        <w:rPr>
          <w:b w:val="0"/>
          <w:noProof/>
          <w:sz w:val="18"/>
        </w:rPr>
        <w:fldChar w:fldCharType="begin"/>
      </w:r>
      <w:r w:rsidRPr="00335B05">
        <w:rPr>
          <w:b w:val="0"/>
          <w:noProof/>
          <w:sz w:val="18"/>
        </w:rPr>
        <w:instrText xml:space="preserve"> PAGEREF _Toc465860549 \h </w:instrText>
      </w:r>
      <w:r w:rsidRPr="00335B05">
        <w:rPr>
          <w:b w:val="0"/>
          <w:noProof/>
          <w:sz w:val="18"/>
        </w:rPr>
      </w:r>
      <w:r w:rsidRPr="00335B05">
        <w:rPr>
          <w:b w:val="0"/>
          <w:noProof/>
          <w:sz w:val="18"/>
        </w:rPr>
        <w:fldChar w:fldCharType="separate"/>
      </w:r>
      <w:r w:rsidR="00B35099">
        <w:rPr>
          <w:b w:val="0"/>
          <w:noProof/>
          <w:sz w:val="18"/>
        </w:rPr>
        <w:t>13</w:t>
      </w:r>
      <w:r w:rsidRPr="00335B05">
        <w:rPr>
          <w:b w:val="0"/>
          <w:noProof/>
          <w:sz w:val="18"/>
        </w:rPr>
        <w:fldChar w:fldCharType="end"/>
      </w:r>
    </w:p>
    <w:p w:rsidR="00A078EC" w:rsidRPr="00335B05" w:rsidRDefault="00A078EC">
      <w:pPr>
        <w:pStyle w:val="TOC6"/>
        <w:rPr>
          <w:rFonts w:asciiTheme="minorHAnsi" w:eastAsiaTheme="minorEastAsia" w:hAnsiTheme="minorHAnsi" w:cstheme="minorBidi"/>
          <w:b w:val="0"/>
          <w:noProof/>
          <w:kern w:val="0"/>
          <w:sz w:val="22"/>
          <w:szCs w:val="22"/>
        </w:rPr>
      </w:pPr>
      <w:r w:rsidRPr="00335B05">
        <w:rPr>
          <w:noProof/>
        </w:rPr>
        <w:t>Schedule</w:t>
      </w:r>
      <w:r w:rsidR="00335B05" w:rsidRPr="00335B05">
        <w:rPr>
          <w:noProof/>
        </w:rPr>
        <w:t> </w:t>
      </w:r>
      <w:r w:rsidRPr="00335B05">
        <w:rPr>
          <w:noProof/>
        </w:rPr>
        <w:t>4—Repeals</w:t>
      </w:r>
      <w:r w:rsidRPr="00335B05">
        <w:rPr>
          <w:b w:val="0"/>
          <w:noProof/>
          <w:sz w:val="18"/>
        </w:rPr>
        <w:tab/>
      </w:r>
      <w:r w:rsidRPr="00335B05">
        <w:rPr>
          <w:b w:val="0"/>
          <w:noProof/>
          <w:sz w:val="18"/>
        </w:rPr>
        <w:fldChar w:fldCharType="begin"/>
      </w:r>
      <w:r w:rsidRPr="00335B05">
        <w:rPr>
          <w:b w:val="0"/>
          <w:noProof/>
          <w:sz w:val="18"/>
        </w:rPr>
        <w:instrText xml:space="preserve"> PAGEREF _Toc465860550 \h </w:instrText>
      </w:r>
      <w:r w:rsidRPr="00335B05">
        <w:rPr>
          <w:b w:val="0"/>
          <w:noProof/>
          <w:sz w:val="18"/>
        </w:rPr>
      </w:r>
      <w:r w:rsidRPr="00335B05">
        <w:rPr>
          <w:b w:val="0"/>
          <w:noProof/>
          <w:sz w:val="18"/>
        </w:rPr>
        <w:fldChar w:fldCharType="separate"/>
      </w:r>
      <w:r w:rsidR="00B35099">
        <w:rPr>
          <w:b w:val="0"/>
          <w:noProof/>
          <w:sz w:val="18"/>
        </w:rPr>
        <w:t>17</w:t>
      </w:r>
      <w:r w:rsidRPr="00335B05">
        <w:rPr>
          <w:b w:val="0"/>
          <w:noProof/>
          <w:sz w:val="18"/>
        </w:rPr>
        <w:fldChar w:fldCharType="end"/>
      </w:r>
    </w:p>
    <w:p w:rsidR="00A078EC" w:rsidRPr="00335B05" w:rsidRDefault="00A078EC">
      <w:pPr>
        <w:pStyle w:val="TOC9"/>
        <w:rPr>
          <w:rFonts w:asciiTheme="minorHAnsi" w:eastAsiaTheme="minorEastAsia" w:hAnsiTheme="minorHAnsi" w:cstheme="minorBidi"/>
          <w:i w:val="0"/>
          <w:noProof/>
          <w:kern w:val="0"/>
          <w:sz w:val="22"/>
          <w:szCs w:val="22"/>
        </w:rPr>
      </w:pPr>
      <w:r w:rsidRPr="00335B05">
        <w:rPr>
          <w:noProof/>
        </w:rPr>
        <w:t>Australian Citizenship Regulations</w:t>
      </w:r>
      <w:r w:rsidR="00335B05" w:rsidRPr="00335B05">
        <w:rPr>
          <w:noProof/>
        </w:rPr>
        <w:t> </w:t>
      </w:r>
      <w:r w:rsidRPr="00335B05">
        <w:rPr>
          <w:noProof/>
        </w:rPr>
        <w:t>2007</w:t>
      </w:r>
      <w:r w:rsidRPr="00335B05">
        <w:rPr>
          <w:i w:val="0"/>
          <w:noProof/>
          <w:sz w:val="18"/>
        </w:rPr>
        <w:tab/>
      </w:r>
      <w:r w:rsidRPr="00335B05">
        <w:rPr>
          <w:i w:val="0"/>
          <w:noProof/>
          <w:sz w:val="18"/>
        </w:rPr>
        <w:fldChar w:fldCharType="begin"/>
      </w:r>
      <w:r w:rsidRPr="00335B05">
        <w:rPr>
          <w:i w:val="0"/>
          <w:noProof/>
          <w:sz w:val="18"/>
        </w:rPr>
        <w:instrText xml:space="preserve"> PAGEREF _Toc465860551 \h </w:instrText>
      </w:r>
      <w:r w:rsidRPr="00335B05">
        <w:rPr>
          <w:i w:val="0"/>
          <w:noProof/>
          <w:sz w:val="18"/>
        </w:rPr>
      </w:r>
      <w:r w:rsidRPr="00335B05">
        <w:rPr>
          <w:i w:val="0"/>
          <w:noProof/>
          <w:sz w:val="18"/>
        </w:rPr>
        <w:fldChar w:fldCharType="separate"/>
      </w:r>
      <w:r w:rsidR="00B35099">
        <w:rPr>
          <w:i w:val="0"/>
          <w:noProof/>
          <w:sz w:val="18"/>
        </w:rPr>
        <w:t>17</w:t>
      </w:r>
      <w:r w:rsidRPr="00335B05">
        <w:rPr>
          <w:i w:val="0"/>
          <w:noProof/>
          <w:sz w:val="18"/>
        </w:rPr>
        <w:fldChar w:fldCharType="end"/>
      </w:r>
    </w:p>
    <w:p w:rsidR="00A802BC" w:rsidRPr="00335B05" w:rsidRDefault="00A078EC" w:rsidP="00F65F7A">
      <w:pPr>
        <w:rPr>
          <w:sz w:val="20"/>
        </w:rPr>
      </w:pPr>
      <w:r w:rsidRPr="00335B05">
        <w:rPr>
          <w:sz w:val="20"/>
        </w:rPr>
        <w:fldChar w:fldCharType="end"/>
      </w:r>
    </w:p>
    <w:p w:rsidR="00715914" w:rsidRPr="00335B05" w:rsidRDefault="00715914" w:rsidP="00715914">
      <w:pPr>
        <w:sectPr w:rsidR="00715914" w:rsidRPr="00335B05" w:rsidSect="005A034B">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5A788C" w:rsidRPr="00335B05" w:rsidRDefault="005A788C" w:rsidP="005A788C">
      <w:pPr>
        <w:pStyle w:val="ActHead2"/>
      </w:pPr>
      <w:bookmarkStart w:id="2" w:name="_Toc465860524"/>
      <w:r w:rsidRPr="00335B05">
        <w:rPr>
          <w:rStyle w:val="CharPartNo"/>
        </w:rPr>
        <w:lastRenderedPageBreak/>
        <w:t>Part</w:t>
      </w:r>
      <w:r w:rsidR="00335B05" w:rsidRPr="00335B05">
        <w:rPr>
          <w:rStyle w:val="CharPartNo"/>
        </w:rPr>
        <w:t> </w:t>
      </w:r>
      <w:r w:rsidRPr="00335B05">
        <w:rPr>
          <w:rStyle w:val="CharPartNo"/>
        </w:rPr>
        <w:t>1</w:t>
      </w:r>
      <w:r w:rsidRPr="00335B05">
        <w:t>—</w:t>
      </w:r>
      <w:r w:rsidRPr="00335B05">
        <w:rPr>
          <w:rStyle w:val="CharPartText"/>
        </w:rPr>
        <w:t>Preliminary</w:t>
      </w:r>
      <w:bookmarkEnd w:id="2"/>
    </w:p>
    <w:p w:rsidR="005A788C" w:rsidRPr="00335B05" w:rsidRDefault="005A788C" w:rsidP="005A788C">
      <w:pPr>
        <w:pStyle w:val="Header"/>
      </w:pPr>
      <w:r w:rsidRPr="00335B05">
        <w:rPr>
          <w:rStyle w:val="CharDivNo"/>
        </w:rPr>
        <w:t xml:space="preserve"> </w:t>
      </w:r>
      <w:r w:rsidRPr="00335B05">
        <w:rPr>
          <w:rStyle w:val="CharDivText"/>
        </w:rPr>
        <w:t xml:space="preserve"> </w:t>
      </w:r>
    </w:p>
    <w:p w:rsidR="005A788C" w:rsidRPr="00335B05" w:rsidRDefault="008D0E54" w:rsidP="005A788C">
      <w:pPr>
        <w:pStyle w:val="ActHead5"/>
      </w:pPr>
      <w:bookmarkStart w:id="3" w:name="_Toc465860525"/>
      <w:r w:rsidRPr="00335B05">
        <w:rPr>
          <w:rStyle w:val="CharSectno"/>
        </w:rPr>
        <w:t>1</w:t>
      </w:r>
      <w:r w:rsidR="005A788C" w:rsidRPr="00335B05">
        <w:t xml:space="preserve">  Name</w:t>
      </w:r>
      <w:bookmarkEnd w:id="3"/>
    </w:p>
    <w:p w:rsidR="005A788C" w:rsidRPr="00335B05" w:rsidRDefault="00B27FDB" w:rsidP="005A788C">
      <w:pPr>
        <w:pStyle w:val="subsection"/>
      </w:pPr>
      <w:r w:rsidRPr="00335B05">
        <w:tab/>
      </w:r>
      <w:r w:rsidRPr="00335B05">
        <w:tab/>
        <w:t>Thi</w:t>
      </w:r>
      <w:r w:rsidR="005A788C" w:rsidRPr="00335B05">
        <w:t xml:space="preserve">s </w:t>
      </w:r>
      <w:r w:rsidRPr="00335B05">
        <w:t>is</w:t>
      </w:r>
      <w:r w:rsidR="005A788C" w:rsidRPr="00335B05">
        <w:t xml:space="preserve"> the </w:t>
      </w:r>
      <w:r w:rsidR="005A788C" w:rsidRPr="00335B05">
        <w:rPr>
          <w:i/>
        </w:rPr>
        <w:t>Australian Citizenship Regulation</w:t>
      </w:r>
      <w:r w:rsidR="00335B05" w:rsidRPr="00335B05">
        <w:rPr>
          <w:i/>
        </w:rPr>
        <w:t> </w:t>
      </w:r>
      <w:r w:rsidR="005A788C" w:rsidRPr="00335B05">
        <w:rPr>
          <w:i/>
        </w:rPr>
        <w:t>20</w:t>
      </w:r>
      <w:r w:rsidR="007E7904" w:rsidRPr="00335B05">
        <w:rPr>
          <w:i/>
        </w:rPr>
        <w:t>16</w:t>
      </w:r>
      <w:r w:rsidR="007E7904" w:rsidRPr="00335B05">
        <w:t>.</w:t>
      </w:r>
    </w:p>
    <w:p w:rsidR="005A788C" w:rsidRPr="00335B05" w:rsidRDefault="008D0E54" w:rsidP="005A788C">
      <w:pPr>
        <w:pStyle w:val="ActHead5"/>
      </w:pPr>
      <w:bookmarkStart w:id="4" w:name="_Toc465860526"/>
      <w:r w:rsidRPr="00335B05">
        <w:rPr>
          <w:rStyle w:val="CharSectno"/>
        </w:rPr>
        <w:t>2</w:t>
      </w:r>
      <w:r w:rsidR="005A788C" w:rsidRPr="00335B05">
        <w:t xml:space="preserve">  Commencement</w:t>
      </w:r>
      <w:bookmarkEnd w:id="4"/>
    </w:p>
    <w:p w:rsidR="008B3B0A" w:rsidRPr="00335B05" w:rsidRDefault="008B3B0A" w:rsidP="0015279C">
      <w:pPr>
        <w:pStyle w:val="subsection"/>
      </w:pPr>
      <w:r w:rsidRPr="00335B05">
        <w:tab/>
        <w:t>(1)</w:t>
      </w:r>
      <w:r w:rsidRPr="00335B05">
        <w:tab/>
        <w:t>Each provision of this instrument specified in column 1 of the table commences, or is taken to have commenced, in accordance with column 2 of the table. Any other statement in column 2 has effect according to its terms.</w:t>
      </w:r>
    </w:p>
    <w:p w:rsidR="008B3B0A" w:rsidRPr="00335B05" w:rsidRDefault="008B3B0A" w:rsidP="0015279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8B3B0A" w:rsidRPr="00335B05" w:rsidTr="00F00CF6">
        <w:trPr>
          <w:tblHeader/>
        </w:trPr>
        <w:tc>
          <w:tcPr>
            <w:tcW w:w="5000" w:type="pct"/>
            <w:gridSpan w:val="3"/>
            <w:tcBorders>
              <w:top w:val="single" w:sz="12" w:space="0" w:color="auto"/>
              <w:bottom w:val="single" w:sz="2" w:space="0" w:color="auto"/>
            </w:tcBorders>
            <w:shd w:val="clear" w:color="auto" w:fill="auto"/>
            <w:hideMark/>
          </w:tcPr>
          <w:p w:rsidR="008B3B0A" w:rsidRPr="00335B05" w:rsidRDefault="008B3B0A" w:rsidP="0015279C">
            <w:pPr>
              <w:pStyle w:val="TableHeading"/>
            </w:pPr>
            <w:r w:rsidRPr="00335B05">
              <w:t>Commencement information</w:t>
            </w:r>
          </w:p>
        </w:tc>
      </w:tr>
      <w:tr w:rsidR="008B3B0A" w:rsidRPr="00335B05" w:rsidTr="00F00CF6">
        <w:trPr>
          <w:tblHeader/>
        </w:trPr>
        <w:tc>
          <w:tcPr>
            <w:tcW w:w="1196" w:type="pct"/>
            <w:tcBorders>
              <w:top w:val="single" w:sz="2" w:space="0" w:color="auto"/>
              <w:bottom w:val="single" w:sz="2" w:space="0" w:color="auto"/>
            </w:tcBorders>
            <w:shd w:val="clear" w:color="auto" w:fill="auto"/>
            <w:hideMark/>
          </w:tcPr>
          <w:p w:rsidR="008B3B0A" w:rsidRPr="00335B05" w:rsidRDefault="008B3B0A" w:rsidP="0015279C">
            <w:pPr>
              <w:pStyle w:val="TableHeading"/>
            </w:pPr>
            <w:r w:rsidRPr="00335B05">
              <w:t>Column 1</w:t>
            </w:r>
          </w:p>
        </w:tc>
        <w:tc>
          <w:tcPr>
            <w:tcW w:w="2692" w:type="pct"/>
            <w:tcBorders>
              <w:top w:val="single" w:sz="2" w:space="0" w:color="auto"/>
              <w:bottom w:val="single" w:sz="2" w:space="0" w:color="auto"/>
            </w:tcBorders>
            <w:shd w:val="clear" w:color="auto" w:fill="auto"/>
            <w:hideMark/>
          </w:tcPr>
          <w:p w:rsidR="008B3B0A" w:rsidRPr="00335B05" w:rsidRDefault="008B3B0A" w:rsidP="0015279C">
            <w:pPr>
              <w:pStyle w:val="TableHeading"/>
            </w:pPr>
            <w:r w:rsidRPr="00335B05">
              <w:t>Column 2</w:t>
            </w:r>
          </w:p>
        </w:tc>
        <w:tc>
          <w:tcPr>
            <w:tcW w:w="1112" w:type="pct"/>
            <w:tcBorders>
              <w:top w:val="single" w:sz="2" w:space="0" w:color="auto"/>
              <w:bottom w:val="single" w:sz="2" w:space="0" w:color="auto"/>
            </w:tcBorders>
            <w:shd w:val="clear" w:color="auto" w:fill="auto"/>
            <w:hideMark/>
          </w:tcPr>
          <w:p w:rsidR="008B3B0A" w:rsidRPr="00335B05" w:rsidRDefault="008B3B0A" w:rsidP="0015279C">
            <w:pPr>
              <w:pStyle w:val="TableHeading"/>
            </w:pPr>
            <w:r w:rsidRPr="00335B05">
              <w:t>Column 3</w:t>
            </w:r>
          </w:p>
        </w:tc>
      </w:tr>
      <w:tr w:rsidR="008B3B0A" w:rsidRPr="00335B05" w:rsidTr="00F00CF6">
        <w:trPr>
          <w:tblHeader/>
        </w:trPr>
        <w:tc>
          <w:tcPr>
            <w:tcW w:w="1196" w:type="pct"/>
            <w:tcBorders>
              <w:top w:val="single" w:sz="2" w:space="0" w:color="auto"/>
              <w:bottom w:val="single" w:sz="12" w:space="0" w:color="auto"/>
            </w:tcBorders>
            <w:shd w:val="clear" w:color="auto" w:fill="auto"/>
            <w:hideMark/>
          </w:tcPr>
          <w:p w:rsidR="008B3B0A" w:rsidRPr="00335B05" w:rsidRDefault="008B3B0A" w:rsidP="0015279C">
            <w:pPr>
              <w:pStyle w:val="TableHeading"/>
            </w:pPr>
            <w:r w:rsidRPr="00335B05">
              <w:t>Provisions</w:t>
            </w:r>
          </w:p>
        </w:tc>
        <w:tc>
          <w:tcPr>
            <w:tcW w:w="2692" w:type="pct"/>
            <w:tcBorders>
              <w:top w:val="single" w:sz="2" w:space="0" w:color="auto"/>
              <w:bottom w:val="single" w:sz="12" w:space="0" w:color="auto"/>
            </w:tcBorders>
            <w:shd w:val="clear" w:color="auto" w:fill="auto"/>
            <w:hideMark/>
          </w:tcPr>
          <w:p w:rsidR="008B3B0A" w:rsidRPr="00335B05" w:rsidRDefault="008B3B0A" w:rsidP="0015279C">
            <w:pPr>
              <w:pStyle w:val="TableHeading"/>
            </w:pPr>
            <w:r w:rsidRPr="00335B05">
              <w:t>Commencement</w:t>
            </w:r>
          </w:p>
        </w:tc>
        <w:tc>
          <w:tcPr>
            <w:tcW w:w="1112" w:type="pct"/>
            <w:tcBorders>
              <w:top w:val="single" w:sz="2" w:space="0" w:color="auto"/>
              <w:bottom w:val="single" w:sz="12" w:space="0" w:color="auto"/>
            </w:tcBorders>
            <w:shd w:val="clear" w:color="auto" w:fill="auto"/>
            <w:hideMark/>
          </w:tcPr>
          <w:p w:rsidR="008B3B0A" w:rsidRPr="00335B05" w:rsidRDefault="008B3B0A" w:rsidP="0015279C">
            <w:pPr>
              <w:pStyle w:val="TableHeading"/>
            </w:pPr>
            <w:r w:rsidRPr="00335B05">
              <w:t>Date/Details</w:t>
            </w:r>
          </w:p>
        </w:tc>
      </w:tr>
      <w:tr w:rsidR="008B3B0A" w:rsidRPr="00335B05" w:rsidTr="00F00CF6">
        <w:tc>
          <w:tcPr>
            <w:tcW w:w="1196" w:type="pct"/>
            <w:tcBorders>
              <w:top w:val="single" w:sz="12" w:space="0" w:color="auto"/>
              <w:bottom w:val="single" w:sz="12" w:space="0" w:color="auto"/>
            </w:tcBorders>
            <w:shd w:val="clear" w:color="auto" w:fill="auto"/>
            <w:hideMark/>
          </w:tcPr>
          <w:p w:rsidR="008B3B0A" w:rsidRPr="00335B05" w:rsidRDefault="008B3B0A" w:rsidP="0015279C">
            <w:pPr>
              <w:pStyle w:val="Tabletext"/>
            </w:pPr>
            <w:r w:rsidRPr="00335B05">
              <w:t>1.  The whole of this instrument</w:t>
            </w:r>
          </w:p>
        </w:tc>
        <w:tc>
          <w:tcPr>
            <w:tcW w:w="2692" w:type="pct"/>
            <w:tcBorders>
              <w:top w:val="single" w:sz="12" w:space="0" w:color="auto"/>
              <w:bottom w:val="single" w:sz="12" w:space="0" w:color="auto"/>
            </w:tcBorders>
            <w:shd w:val="clear" w:color="auto" w:fill="auto"/>
            <w:hideMark/>
          </w:tcPr>
          <w:p w:rsidR="008B3B0A" w:rsidRPr="00335B05" w:rsidRDefault="008B3B0A" w:rsidP="0015279C">
            <w:pPr>
              <w:pStyle w:val="Tabletext"/>
            </w:pPr>
            <w:r w:rsidRPr="00335B05">
              <w:t>1</w:t>
            </w:r>
            <w:r w:rsidR="00335B05" w:rsidRPr="00335B05">
              <w:t> </w:t>
            </w:r>
            <w:r w:rsidRPr="00335B05">
              <w:t>January 2017.</w:t>
            </w:r>
          </w:p>
        </w:tc>
        <w:tc>
          <w:tcPr>
            <w:tcW w:w="1112" w:type="pct"/>
            <w:tcBorders>
              <w:top w:val="single" w:sz="12" w:space="0" w:color="auto"/>
              <w:bottom w:val="single" w:sz="12" w:space="0" w:color="auto"/>
            </w:tcBorders>
            <w:shd w:val="clear" w:color="auto" w:fill="auto"/>
          </w:tcPr>
          <w:p w:rsidR="008B3B0A" w:rsidRPr="00335B05" w:rsidRDefault="008B3B0A" w:rsidP="0015279C">
            <w:pPr>
              <w:pStyle w:val="Tabletext"/>
            </w:pPr>
            <w:r w:rsidRPr="00335B05">
              <w:t>1</w:t>
            </w:r>
            <w:r w:rsidR="00335B05" w:rsidRPr="00335B05">
              <w:t> </w:t>
            </w:r>
            <w:r w:rsidRPr="00335B05">
              <w:t>January 2017</w:t>
            </w:r>
          </w:p>
        </w:tc>
      </w:tr>
    </w:tbl>
    <w:p w:rsidR="008B3B0A" w:rsidRPr="00335B05" w:rsidRDefault="008B3B0A" w:rsidP="0015279C">
      <w:pPr>
        <w:pStyle w:val="notetext"/>
      </w:pPr>
      <w:r w:rsidRPr="00335B05">
        <w:rPr>
          <w:snapToGrid w:val="0"/>
          <w:lang w:eastAsia="en-US"/>
        </w:rPr>
        <w:t>Note:</w:t>
      </w:r>
      <w:r w:rsidRPr="00335B05">
        <w:rPr>
          <w:snapToGrid w:val="0"/>
          <w:lang w:eastAsia="en-US"/>
        </w:rPr>
        <w:tab/>
        <w:t xml:space="preserve">This table relates only to the provisions of this </w:t>
      </w:r>
      <w:r w:rsidRPr="00335B05">
        <w:t xml:space="preserve">instrument </w:t>
      </w:r>
      <w:r w:rsidRPr="00335B05">
        <w:rPr>
          <w:snapToGrid w:val="0"/>
          <w:lang w:eastAsia="en-US"/>
        </w:rPr>
        <w:t xml:space="preserve">as originally made. It will not be amended to deal with any later amendments of this </w:t>
      </w:r>
      <w:r w:rsidRPr="00335B05">
        <w:t>instrument</w:t>
      </w:r>
      <w:r w:rsidRPr="00335B05">
        <w:rPr>
          <w:snapToGrid w:val="0"/>
          <w:lang w:eastAsia="en-US"/>
        </w:rPr>
        <w:t>.</w:t>
      </w:r>
    </w:p>
    <w:p w:rsidR="008B3B0A" w:rsidRPr="00335B05" w:rsidRDefault="008B3B0A" w:rsidP="0015279C">
      <w:pPr>
        <w:pStyle w:val="subsection"/>
      </w:pPr>
      <w:r w:rsidRPr="00335B05">
        <w:tab/>
        <w:t>(2)</w:t>
      </w:r>
      <w:r w:rsidRPr="00335B05">
        <w:tab/>
        <w:t>Any information in column 3 of the table is not part of this instrument. Information may be inserted in this column, or information in it may be edited, in any published version of this instrument.</w:t>
      </w:r>
    </w:p>
    <w:p w:rsidR="004067A1" w:rsidRPr="00335B05" w:rsidRDefault="008D0E54" w:rsidP="00F65F7A">
      <w:pPr>
        <w:pStyle w:val="ActHead5"/>
      </w:pPr>
      <w:bookmarkStart w:id="5" w:name="_Toc465860527"/>
      <w:r w:rsidRPr="00335B05">
        <w:rPr>
          <w:rStyle w:val="CharSectno"/>
        </w:rPr>
        <w:t>3</w:t>
      </w:r>
      <w:r w:rsidR="004067A1" w:rsidRPr="00335B05">
        <w:t xml:space="preserve">  Authority</w:t>
      </w:r>
      <w:bookmarkEnd w:id="5"/>
    </w:p>
    <w:p w:rsidR="004067A1" w:rsidRPr="00335B05" w:rsidRDefault="004067A1" w:rsidP="004067A1">
      <w:pPr>
        <w:pStyle w:val="subsection"/>
      </w:pPr>
      <w:r w:rsidRPr="00335B05">
        <w:tab/>
      </w:r>
      <w:r w:rsidRPr="00335B05">
        <w:tab/>
        <w:t xml:space="preserve">This instrument is made under the </w:t>
      </w:r>
      <w:r w:rsidRPr="00335B05">
        <w:rPr>
          <w:i/>
        </w:rPr>
        <w:t>Australian Citizenship Act 2007</w:t>
      </w:r>
      <w:r w:rsidRPr="00335B05">
        <w:t>.</w:t>
      </w:r>
    </w:p>
    <w:p w:rsidR="00F00CF6" w:rsidRPr="00335B05" w:rsidRDefault="008D0E54" w:rsidP="00F00CF6">
      <w:pPr>
        <w:pStyle w:val="ActHead5"/>
      </w:pPr>
      <w:bookmarkStart w:id="6" w:name="_Toc465860528"/>
      <w:r w:rsidRPr="00335B05">
        <w:rPr>
          <w:rStyle w:val="CharSectno"/>
        </w:rPr>
        <w:t>4</w:t>
      </w:r>
      <w:r w:rsidR="00F00CF6" w:rsidRPr="00335B05">
        <w:t xml:space="preserve">  Schedules</w:t>
      </w:r>
      <w:bookmarkEnd w:id="6"/>
    </w:p>
    <w:p w:rsidR="00F00CF6" w:rsidRPr="00335B05" w:rsidRDefault="00F00CF6" w:rsidP="008D0E54">
      <w:pPr>
        <w:pStyle w:val="subsection"/>
      </w:pPr>
      <w:r w:rsidRPr="00335B05">
        <w:tab/>
      </w:r>
      <w:r w:rsidRPr="00335B05">
        <w:tab/>
        <w:t>Each instrument that is specified in a Schedule to this instrument is amended or repealed as set out in the applicable items in the Schedule concerned, and any other item in a Schedule to this instrument has effect according to its terms.</w:t>
      </w:r>
    </w:p>
    <w:p w:rsidR="005A788C" w:rsidRPr="00335B05" w:rsidRDefault="008D0E54" w:rsidP="005A788C">
      <w:pPr>
        <w:pStyle w:val="ActHead5"/>
      </w:pPr>
      <w:bookmarkStart w:id="7" w:name="_Toc465860529"/>
      <w:r w:rsidRPr="00335B05">
        <w:rPr>
          <w:rStyle w:val="CharSectno"/>
        </w:rPr>
        <w:t>5</w:t>
      </w:r>
      <w:r w:rsidR="005A788C" w:rsidRPr="00335B05">
        <w:t xml:space="preserve">  Definitions</w:t>
      </w:r>
      <w:bookmarkEnd w:id="7"/>
    </w:p>
    <w:p w:rsidR="005A788C" w:rsidRPr="00335B05" w:rsidRDefault="005A788C" w:rsidP="005A788C">
      <w:pPr>
        <w:pStyle w:val="subsection"/>
      </w:pPr>
      <w:r w:rsidRPr="00335B05">
        <w:tab/>
      </w:r>
      <w:r w:rsidRPr="00335B05">
        <w:tab/>
        <w:t>In th</w:t>
      </w:r>
      <w:r w:rsidR="00120A02" w:rsidRPr="00335B05">
        <w:t>i</w:t>
      </w:r>
      <w:r w:rsidRPr="00335B05">
        <w:t xml:space="preserve">s </w:t>
      </w:r>
      <w:r w:rsidR="00120A02" w:rsidRPr="00335B05">
        <w:t>instrument</w:t>
      </w:r>
      <w:r w:rsidRPr="00335B05">
        <w:t>:</w:t>
      </w:r>
    </w:p>
    <w:p w:rsidR="005A788C" w:rsidRPr="00335B05" w:rsidRDefault="005A788C" w:rsidP="005A788C">
      <w:pPr>
        <w:pStyle w:val="Definition"/>
      </w:pPr>
      <w:r w:rsidRPr="00335B05">
        <w:rPr>
          <w:b/>
          <w:i/>
        </w:rPr>
        <w:t xml:space="preserve">Act </w:t>
      </w:r>
      <w:r w:rsidRPr="00335B05">
        <w:t xml:space="preserve">means the </w:t>
      </w:r>
      <w:r w:rsidRPr="00335B05">
        <w:rPr>
          <w:i/>
        </w:rPr>
        <w:t>Australian Citizenship Act 2007</w:t>
      </w:r>
      <w:r w:rsidRPr="00335B05">
        <w:t>.</w:t>
      </w:r>
    </w:p>
    <w:p w:rsidR="005A788C" w:rsidRPr="00335B05" w:rsidRDefault="005A788C" w:rsidP="005A788C">
      <w:pPr>
        <w:pStyle w:val="Definition"/>
      </w:pPr>
      <w:r w:rsidRPr="00335B05">
        <w:rPr>
          <w:b/>
          <w:i/>
        </w:rPr>
        <w:t xml:space="preserve">Australian mission overseas </w:t>
      </w:r>
      <w:r w:rsidRPr="00335B05">
        <w:t>means a diplomatic, consular or migration office maintained by or on behalf of the Commonwealth outside Australia.</w:t>
      </w:r>
    </w:p>
    <w:p w:rsidR="005A788C" w:rsidRPr="00335B05" w:rsidRDefault="005A788C" w:rsidP="005A788C">
      <w:pPr>
        <w:pStyle w:val="Definition"/>
        <w:rPr>
          <w:b/>
          <w:i/>
        </w:rPr>
      </w:pPr>
      <w:r w:rsidRPr="00335B05">
        <w:rPr>
          <w:b/>
          <w:i/>
        </w:rPr>
        <w:t>credit card surcharge</w:t>
      </w:r>
      <w:r w:rsidRPr="00335B05">
        <w:t>: see sub</w:t>
      </w:r>
      <w:r w:rsidR="00A64435" w:rsidRPr="00335B05">
        <w:t>section</w:t>
      </w:r>
      <w:r w:rsidR="00335B05" w:rsidRPr="00335B05">
        <w:t> </w:t>
      </w:r>
      <w:r w:rsidR="008D0E54" w:rsidRPr="00335B05">
        <w:t>16</w:t>
      </w:r>
      <w:r w:rsidRPr="00335B05">
        <w:t>(1).</w:t>
      </w:r>
    </w:p>
    <w:p w:rsidR="005A788C" w:rsidRPr="00335B05" w:rsidRDefault="005A788C" w:rsidP="005A788C">
      <w:pPr>
        <w:pStyle w:val="Definition"/>
      </w:pPr>
      <w:r w:rsidRPr="00335B05">
        <w:rPr>
          <w:b/>
          <w:i/>
        </w:rPr>
        <w:t xml:space="preserve">Hague Convention on Intercountry Adoption </w:t>
      </w:r>
      <w:r w:rsidRPr="00335B05">
        <w:t xml:space="preserve">means the </w:t>
      </w:r>
      <w:r w:rsidRPr="00335B05">
        <w:rPr>
          <w:i/>
        </w:rPr>
        <w:t>Convention on Protection of Children and Co</w:t>
      </w:r>
      <w:r w:rsidR="00335B05">
        <w:rPr>
          <w:i/>
        </w:rPr>
        <w:noBreakHyphen/>
      </w:r>
      <w:r w:rsidRPr="00335B05">
        <w:rPr>
          <w:i/>
        </w:rPr>
        <w:t xml:space="preserve">operation in </w:t>
      </w:r>
      <w:r w:rsidR="00B231CE" w:rsidRPr="00335B05">
        <w:rPr>
          <w:i/>
        </w:rPr>
        <w:t>R</w:t>
      </w:r>
      <w:r w:rsidRPr="00335B05">
        <w:rPr>
          <w:i/>
        </w:rPr>
        <w:t>espect of Intercountry Adoption</w:t>
      </w:r>
      <w:r w:rsidRPr="00335B05">
        <w:t>, done at The Hague on 29</w:t>
      </w:r>
      <w:r w:rsidR="00335B05" w:rsidRPr="00335B05">
        <w:t> </w:t>
      </w:r>
      <w:r w:rsidRPr="00335B05">
        <w:t>May 1993.</w:t>
      </w:r>
    </w:p>
    <w:p w:rsidR="00B231CE" w:rsidRPr="00335B05" w:rsidRDefault="00B231CE" w:rsidP="00B231CE">
      <w:pPr>
        <w:pStyle w:val="notetext"/>
      </w:pPr>
      <w:r w:rsidRPr="00335B05">
        <w:lastRenderedPageBreak/>
        <w:t>Note:</w:t>
      </w:r>
      <w:r w:rsidRPr="00335B05">
        <w:tab/>
        <w:t>The Convention is in Australian Treaty Series 1998 No.</w:t>
      </w:r>
      <w:r w:rsidR="00335B05" w:rsidRPr="00335B05">
        <w:t> </w:t>
      </w:r>
      <w:r w:rsidRPr="00335B05">
        <w:t xml:space="preserve">21 ([1998] ATS 21) and could in 2016 be viewed in the Australian Treaties Library on the </w:t>
      </w:r>
      <w:proofErr w:type="spellStart"/>
      <w:r w:rsidRPr="00335B05">
        <w:t>AustLII</w:t>
      </w:r>
      <w:proofErr w:type="spellEnd"/>
      <w:r w:rsidRPr="00335B05">
        <w:t xml:space="preserve"> website (http://www.austlii.edu.au).</w:t>
      </w:r>
    </w:p>
    <w:p w:rsidR="008D0E54" w:rsidRPr="00335B05" w:rsidRDefault="008D0E54" w:rsidP="008D0E54">
      <w:pPr>
        <w:pStyle w:val="Definition"/>
      </w:pPr>
      <w:r w:rsidRPr="00335B05">
        <w:rPr>
          <w:b/>
          <w:i/>
        </w:rPr>
        <w:t>Human Services Department</w:t>
      </w:r>
      <w:r w:rsidRPr="00335B05">
        <w:t xml:space="preserve"> means the Department administered by the Minister administering the </w:t>
      </w:r>
      <w:r w:rsidRPr="00335B05">
        <w:rPr>
          <w:i/>
        </w:rPr>
        <w:t>Human Services (Centrelink) Act 1997</w:t>
      </w:r>
      <w:r w:rsidRPr="00335B05">
        <w:t>.</w:t>
      </w:r>
    </w:p>
    <w:p w:rsidR="009A006E" w:rsidRPr="00335B05" w:rsidRDefault="009A006E" w:rsidP="005A788C">
      <w:pPr>
        <w:pStyle w:val="Definition"/>
      </w:pPr>
      <w:r w:rsidRPr="00335B05">
        <w:rPr>
          <w:b/>
          <w:i/>
        </w:rPr>
        <w:t>PayPal surcharge</w:t>
      </w:r>
      <w:r w:rsidRPr="00335B05">
        <w:t>: see subsection</w:t>
      </w:r>
      <w:r w:rsidR="00335B05" w:rsidRPr="00335B05">
        <w:t> </w:t>
      </w:r>
      <w:r w:rsidR="008D0E54" w:rsidRPr="00335B05">
        <w:t>16</w:t>
      </w:r>
      <w:r w:rsidRPr="00335B05">
        <w:t>(1).</w:t>
      </w:r>
    </w:p>
    <w:p w:rsidR="005A788C" w:rsidRPr="00335B05" w:rsidRDefault="005A788C" w:rsidP="005A788C">
      <w:pPr>
        <w:pStyle w:val="Definition"/>
      </w:pPr>
      <w:r w:rsidRPr="00335B05">
        <w:rPr>
          <w:b/>
          <w:i/>
        </w:rPr>
        <w:t>Schedule</w:t>
      </w:r>
      <w:r w:rsidR="00335B05" w:rsidRPr="00335B05">
        <w:rPr>
          <w:b/>
          <w:i/>
        </w:rPr>
        <w:t> </w:t>
      </w:r>
      <w:r w:rsidRPr="00335B05">
        <w:rPr>
          <w:b/>
          <w:i/>
        </w:rPr>
        <w:t>3 amount</w:t>
      </w:r>
      <w:r w:rsidRPr="00335B05">
        <w:t>: see sub</w:t>
      </w:r>
      <w:r w:rsidR="00A64435" w:rsidRPr="00335B05">
        <w:t>section</w:t>
      </w:r>
      <w:r w:rsidR="00335B05" w:rsidRPr="00335B05">
        <w:t> </w:t>
      </w:r>
      <w:r w:rsidR="008D0E54" w:rsidRPr="00335B05">
        <w:t>16</w:t>
      </w:r>
      <w:r w:rsidRPr="00335B05">
        <w:t>(1).</w:t>
      </w:r>
    </w:p>
    <w:p w:rsidR="008D0E54" w:rsidRPr="00335B05" w:rsidRDefault="008D0E54" w:rsidP="005A788C">
      <w:pPr>
        <w:pStyle w:val="Definition"/>
      </w:pPr>
      <w:r w:rsidRPr="00335B05">
        <w:rPr>
          <w:b/>
          <w:i/>
        </w:rPr>
        <w:t>Veterans’ Affairs Department</w:t>
      </w:r>
      <w:r w:rsidRPr="00335B05">
        <w:t xml:space="preserve"> means the Department administered by the Minister administering the </w:t>
      </w:r>
      <w:r w:rsidRPr="00335B05">
        <w:rPr>
          <w:i/>
        </w:rPr>
        <w:t>Veterans’ Entitlements Act 1986</w:t>
      </w:r>
      <w:r w:rsidRPr="00335B05">
        <w:t>.</w:t>
      </w:r>
    </w:p>
    <w:p w:rsidR="005A788C" w:rsidRPr="00335B05" w:rsidRDefault="005A788C" w:rsidP="00B231CE">
      <w:pPr>
        <w:pStyle w:val="ActHead2"/>
        <w:pageBreakBefore/>
      </w:pPr>
      <w:bookmarkStart w:id="8" w:name="_Toc465860530"/>
      <w:r w:rsidRPr="00335B05">
        <w:rPr>
          <w:rStyle w:val="CharPartNo"/>
        </w:rPr>
        <w:lastRenderedPageBreak/>
        <w:t>Part</w:t>
      </w:r>
      <w:r w:rsidR="00335B05" w:rsidRPr="00335B05">
        <w:rPr>
          <w:rStyle w:val="CharPartNo"/>
        </w:rPr>
        <w:t> </w:t>
      </w:r>
      <w:r w:rsidRPr="00335B05">
        <w:rPr>
          <w:rStyle w:val="CharPartNo"/>
        </w:rPr>
        <w:t>2</w:t>
      </w:r>
      <w:r w:rsidRPr="00335B05">
        <w:t>—</w:t>
      </w:r>
      <w:r w:rsidRPr="00335B05">
        <w:rPr>
          <w:rStyle w:val="CharPartText"/>
        </w:rPr>
        <w:t>Australian citizenship</w:t>
      </w:r>
      <w:bookmarkEnd w:id="8"/>
    </w:p>
    <w:p w:rsidR="005A788C" w:rsidRPr="00335B05" w:rsidRDefault="005A788C" w:rsidP="005A788C">
      <w:pPr>
        <w:pStyle w:val="Header"/>
      </w:pPr>
      <w:r w:rsidRPr="00335B05">
        <w:rPr>
          <w:rStyle w:val="CharDivNo"/>
        </w:rPr>
        <w:t xml:space="preserve"> </w:t>
      </w:r>
      <w:r w:rsidRPr="00335B05">
        <w:rPr>
          <w:rStyle w:val="CharDivText"/>
        </w:rPr>
        <w:t xml:space="preserve"> </w:t>
      </w:r>
    </w:p>
    <w:p w:rsidR="005A788C" w:rsidRPr="00335B05" w:rsidRDefault="008D0E54" w:rsidP="005A788C">
      <w:pPr>
        <w:pStyle w:val="ActHead5"/>
      </w:pPr>
      <w:bookmarkStart w:id="9" w:name="_Toc465860531"/>
      <w:r w:rsidRPr="00335B05">
        <w:rPr>
          <w:rStyle w:val="CharSectno"/>
        </w:rPr>
        <w:t>6</w:t>
      </w:r>
      <w:r w:rsidR="005A788C" w:rsidRPr="00335B05">
        <w:t xml:space="preserve">  Registration under section</w:t>
      </w:r>
      <w:r w:rsidR="00335B05" w:rsidRPr="00335B05">
        <w:t> </w:t>
      </w:r>
      <w:r w:rsidR="005A788C" w:rsidRPr="00335B05">
        <w:t>18 of the Act</w:t>
      </w:r>
      <w:bookmarkEnd w:id="9"/>
    </w:p>
    <w:p w:rsidR="005A788C" w:rsidRPr="00335B05" w:rsidRDefault="005A788C" w:rsidP="005A788C">
      <w:pPr>
        <w:pStyle w:val="subsection"/>
      </w:pPr>
      <w:r w:rsidRPr="00335B05">
        <w:tab/>
      </w:r>
      <w:r w:rsidRPr="00335B05">
        <w:tab/>
        <w:t xml:space="preserve">For </w:t>
      </w:r>
      <w:r w:rsidR="007E7904" w:rsidRPr="00335B05">
        <w:t xml:space="preserve">the purposes of </w:t>
      </w:r>
      <w:r w:rsidRPr="00335B05">
        <w:t>section</w:t>
      </w:r>
      <w:r w:rsidR="00335B05" w:rsidRPr="00335B05">
        <w:t> </w:t>
      </w:r>
      <w:r w:rsidRPr="00335B05">
        <w:t>18 of the Act, a person is registered by the Minister:</w:t>
      </w:r>
    </w:p>
    <w:p w:rsidR="005A788C" w:rsidRPr="00335B05" w:rsidRDefault="005A788C" w:rsidP="005A788C">
      <w:pPr>
        <w:pStyle w:val="paragraph"/>
      </w:pPr>
      <w:r w:rsidRPr="00335B05">
        <w:tab/>
        <w:t>(a)</w:t>
      </w:r>
      <w:r w:rsidRPr="00335B05">
        <w:tab/>
        <w:t>making a record of the fact that the person is an Australian citizen by descent; and</w:t>
      </w:r>
    </w:p>
    <w:p w:rsidR="005A788C" w:rsidRPr="00335B05" w:rsidRDefault="005A788C" w:rsidP="005A788C">
      <w:pPr>
        <w:pStyle w:val="paragraph"/>
      </w:pPr>
      <w:r w:rsidRPr="00335B05">
        <w:tab/>
        <w:t>(b)</w:t>
      </w:r>
      <w:r w:rsidRPr="00335B05">
        <w:tab/>
        <w:t>including the record on a data storage system kept by the Department.</w:t>
      </w:r>
    </w:p>
    <w:p w:rsidR="005A788C" w:rsidRPr="00335B05" w:rsidRDefault="008D0E54" w:rsidP="005A788C">
      <w:pPr>
        <w:pStyle w:val="ActHead5"/>
      </w:pPr>
      <w:bookmarkStart w:id="10" w:name="_Toc465860532"/>
      <w:r w:rsidRPr="00335B05">
        <w:rPr>
          <w:rStyle w:val="CharSectno"/>
        </w:rPr>
        <w:t>7</w:t>
      </w:r>
      <w:r w:rsidR="005A788C" w:rsidRPr="00335B05">
        <w:t xml:space="preserve">  Registration under section</w:t>
      </w:r>
      <w:r w:rsidR="00335B05" w:rsidRPr="00335B05">
        <w:t> </w:t>
      </w:r>
      <w:r w:rsidR="005A788C" w:rsidRPr="00335B05">
        <w:t>19E of the Act</w:t>
      </w:r>
      <w:bookmarkEnd w:id="10"/>
    </w:p>
    <w:p w:rsidR="005A788C" w:rsidRPr="00335B05" w:rsidRDefault="005A788C" w:rsidP="005A788C">
      <w:pPr>
        <w:pStyle w:val="subsection"/>
      </w:pPr>
      <w:r w:rsidRPr="00335B05">
        <w:tab/>
      </w:r>
      <w:r w:rsidRPr="00335B05">
        <w:tab/>
        <w:t xml:space="preserve">For </w:t>
      </w:r>
      <w:r w:rsidR="007E7904" w:rsidRPr="00335B05">
        <w:t xml:space="preserve">the purposes of </w:t>
      </w:r>
      <w:r w:rsidRPr="00335B05">
        <w:t>section</w:t>
      </w:r>
      <w:r w:rsidR="00335B05" w:rsidRPr="00335B05">
        <w:t> </w:t>
      </w:r>
      <w:r w:rsidRPr="00335B05">
        <w:t>19E of the Act, a person is registered by the Minister:</w:t>
      </w:r>
    </w:p>
    <w:p w:rsidR="005A788C" w:rsidRPr="00335B05" w:rsidRDefault="005A788C" w:rsidP="005A788C">
      <w:pPr>
        <w:pStyle w:val="paragraph"/>
      </w:pPr>
      <w:r w:rsidRPr="00335B05">
        <w:tab/>
        <w:t>(a)</w:t>
      </w:r>
      <w:r w:rsidRPr="00335B05">
        <w:tab/>
        <w:t>making a record of the fact that the person is an Australian citizen by adoption in accordance with the Hague Convention on Intercountry Adoption or a bilateral arrangement; and</w:t>
      </w:r>
    </w:p>
    <w:p w:rsidR="005A788C" w:rsidRPr="00335B05" w:rsidRDefault="005A788C" w:rsidP="005A788C">
      <w:pPr>
        <w:pStyle w:val="paragraph"/>
      </w:pPr>
      <w:r w:rsidRPr="00335B05">
        <w:tab/>
        <w:t>(b)</w:t>
      </w:r>
      <w:r w:rsidRPr="00335B05">
        <w:tab/>
        <w:t>including the record on a data storage system kept by the Department.</w:t>
      </w:r>
    </w:p>
    <w:p w:rsidR="005A788C" w:rsidRPr="00335B05" w:rsidRDefault="008D0E54" w:rsidP="005A788C">
      <w:pPr>
        <w:pStyle w:val="ActHead5"/>
      </w:pPr>
      <w:bookmarkStart w:id="11" w:name="_Toc465860533"/>
      <w:r w:rsidRPr="00335B05">
        <w:rPr>
          <w:rStyle w:val="CharSectno"/>
        </w:rPr>
        <w:t>8</w:t>
      </w:r>
      <w:r w:rsidR="005A788C" w:rsidRPr="00335B05">
        <w:t xml:space="preserve">  Defence service requirement—prescribed visas</w:t>
      </w:r>
      <w:bookmarkEnd w:id="11"/>
    </w:p>
    <w:p w:rsidR="005A788C" w:rsidRPr="00335B05" w:rsidRDefault="005A788C" w:rsidP="005A788C">
      <w:pPr>
        <w:pStyle w:val="subsection"/>
      </w:pPr>
      <w:r w:rsidRPr="00335B05">
        <w:tab/>
      </w:r>
      <w:r w:rsidRPr="00335B05">
        <w:tab/>
        <w:t xml:space="preserve">For </w:t>
      </w:r>
      <w:r w:rsidR="007E7904" w:rsidRPr="00335B05">
        <w:t xml:space="preserve">the purposes of </w:t>
      </w:r>
      <w:r w:rsidRPr="00335B05">
        <w:t>paragraphs 23(2)(a) and (3)(a) of the Act, the following visas are prescribed:</w:t>
      </w:r>
    </w:p>
    <w:p w:rsidR="005A788C" w:rsidRPr="00335B05" w:rsidRDefault="005A788C" w:rsidP="005A788C">
      <w:pPr>
        <w:pStyle w:val="paragraph"/>
      </w:pPr>
      <w:r w:rsidRPr="00335B05">
        <w:tab/>
        <w:t>(a)</w:t>
      </w:r>
      <w:r w:rsidRPr="00335B05">
        <w:tab/>
        <w:t xml:space="preserve">Employer Nomination (Permanent) (Class </w:t>
      </w:r>
      <w:proofErr w:type="spellStart"/>
      <w:r w:rsidRPr="00335B05">
        <w:t>EN</w:t>
      </w:r>
      <w:proofErr w:type="spellEnd"/>
      <w:r w:rsidRPr="00335B05">
        <w:t>);</w:t>
      </w:r>
    </w:p>
    <w:p w:rsidR="005A788C" w:rsidRPr="00335B05" w:rsidRDefault="005A788C" w:rsidP="005A788C">
      <w:pPr>
        <w:pStyle w:val="paragraph"/>
      </w:pPr>
      <w:r w:rsidRPr="00335B05">
        <w:tab/>
        <w:t>(b)</w:t>
      </w:r>
      <w:r w:rsidRPr="00335B05">
        <w:tab/>
        <w:t>Labour Agreement (Migrant) (Class AU);</w:t>
      </w:r>
    </w:p>
    <w:p w:rsidR="005A788C" w:rsidRPr="00335B05" w:rsidRDefault="005A788C" w:rsidP="005A788C">
      <w:pPr>
        <w:pStyle w:val="paragraph"/>
      </w:pPr>
      <w:r w:rsidRPr="00335B05">
        <w:tab/>
        <w:t>(c)</w:t>
      </w:r>
      <w:r w:rsidRPr="00335B05">
        <w:tab/>
        <w:t>Labour Agreement (Residence) (Class BV);</w:t>
      </w:r>
    </w:p>
    <w:p w:rsidR="005A788C" w:rsidRPr="00335B05" w:rsidRDefault="005A788C" w:rsidP="005A788C">
      <w:pPr>
        <w:pStyle w:val="paragraph"/>
      </w:pPr>
      <w:r w:rsidRPr="00335B05">
        <w:tab/>
        <w:t>(d)</w:t>
      </w:r>
      <w:r w:rsidRPr="00335B05">
        <w:tab/>
        <w:t>Regional Employer Nomination (Permanent) (Class RN).</w:t>
      </w:r>
    </w:p>
    <w:p w:rsidR="005A788C" w:rsidRPr="00335B05" w:rsidRDefault="008D0E54" w:rsidP="005A788C">
      <w:pPr>
        <w:pStyle w:val="ActHead5"/>
      </w:pPr>
      <w:bookmarkStart w:id="12" w:name="_Toc465860534"/>
      <w:r w:rsidRPr="00335B05">
        <w:rPr>
          <w:rStyle w:val="CharSectno"/>
        </w:rPr>
        <w:t>9</w:t>
      </w:r>
      <w:r w:rsidR="005A788C" w:rsidRPr="00335B05">
        <w:t xml:space="preserve">  Prescribed reasons for failing to make pledge of commitment</w:t>
      </w:r>
      <w:bookmarkEnd w:id="12"/>
    </w:p>
    <w:p w:rsidR="005A788C" w:rsidRPr="00335B05" w:rsidRDefault="005A788C" w:rsidP="005A788C">
      <w:pPr>
        <w:pStyle w:val="subsection"/>
      </w:pPr>
      <w:r w:rsidRPr="00335B05">
        <w:tab/>
        <w:t>(1)</w:t>
      </w:r>
      <w:r w:rsidRPr="00335B05">
        <w:tab/>
        <w:t xml:space="preserve">For </w:t>
      </w:r>
      <w:r w:rsidR="007E7904" w:rsidRPr="00335B05">
        <w:t xml:space="preserve">the purposes of </w:t>
      </w:r>
      <w:r w:rsidRPr="00335B05">
        <w:t>subsection</w:t>
      </w:r>
      <w:r w:rsidR="00335B05" w:rsidRPr="00335B05">
        <w:t> </w:t>
      </w:r>
      <w:r w:rsidRPr="00335B05">
        <w:t xml:space="preserve">25(3) of the Act, this </w:t>
      </w:r>
      <w:r w:rsidR="00A64435" w:rsidRPr="00335B05">
        <w:t>section</w:t>
      </w:r>
      <w:r w:rsidRPr="00335B05">
        <w:t xml:space="preserve"> prescribes reasons for failing to make a pledge of commitment.</w:t>
      </w:r>
    </w:p>
    <w:p w:rsidR="005A788C" w:rsidRPr="00335B05" w:rsidRDefault="005A788C" w:rsidP="005A788C">
      <w:pPr>
        <w:pStyle w:val="subsection"/>
      </w:pPr>
      <w:r w:rsidRPr="00335B05">
        <w:tab/>
        <w:t>(2)</w:t>
      </w:r>
      <w:r w:rsidRPr="00335B05">
        <w:tab/>
        <w:t xml:space="preserve">A person has a prescribed reason for failing to make a pledge of commitment </w:t>
      </w:r>
      <w:r w:rsidRPr="00335B05">
        <w:rPr>
          <w:rFonts w:ascii="Times"/>
        </w:rPr>
        <w:t>if</w:t>
      </w:r>
      <w:r w:rsidRPr="00335B05">
        <w:t>:</w:t>
      </w:r>
    </w:p>
    <w:p w:rsidR="00D17A99" w:rsidRPr="00335B05" w:rsidRDefault="005A788C" w:rsidP="005A788C">
      <w:pPr>
        <w:pStyle w:val="paragraph"/>
      </w:pPr>
      <w:r w:rsidRPr="00335B05">
        <w:tab/>
        <w:t>(a)</w:t>
      </w:r>
      <w:r w:rsidRPr="00335B05">
        <w:tab/>
        <w:t>the person was prevented from making a pledge because the Minister has determined under subsection</w:t>
      </w:r>
      <w:r w:rsidR="00335B05" w:rsidRPr="00335B05">
        <w:t> </w:t>
      </w:r>
      <w:r w:rsidRPr="00335B05">
        <w:t xml:space="preserve">26(3) of the Act </w:t>
      </w:r>
      <w:r w:rsidR="00B231CE" w:rsidRPr="00335B05">
        <w:t xml:space="preserve">that </w:t>
      </w:r>
      <w:r w:rsidR="00D17A99" w:rsidRPr="00335B05">
        <w:t>the person cannot make the pledge until the end of a specified period; and</w:t>
      </w:r>
    </w:p>
    <w:p w:rsidR="005A788C" w:rsidRPr="00335B05" w:rsidRDefault="005A788C" w:rsidP="005A788C">
      <w:pPr>
        <w:pStyle w:val="paragraph"/>
      </w:pPr>
      <w:r w:rsidRPr="00335B05">
        <w:tab/>
        <w:t>(b)</w:t>
      </w:r>
      <w:r w:rsidRPr="00335B05">
        <w:tab/>
        <w:t>either:</w:t>
      </w:r>
    </w:p>
    <w:p w:rsidR="007E7904" w:rsidRPr="00335B05" w:rsidRDefault="005A788C" w:rsidP="005A788C">
      <w:pPr>
        <w:pStyle w:val="paragraphsub"/>
      </w:pPr>
      <w:r w:rsidRPr="00335B05">
        <w:tab/>
        <w:t>(</w:t>
      </w:r>
      <w:proofErr w:type="spellStart"/>
      <w:r w:rsidRPr="00335B05">
        <w:t>i</w:t>
      </w:r>
      <w:proofErr w:type="spellEnd"/>
      <w:r w:rsidRPr="00335B05">
        <w:t>)</w:t>
      </w:r>
      <w:r w:rsidRPr="00335B05">
        <w:tab/>
      </w:r>
      <w:r w:rsidR="007E7904" w:rsidRPr="00335B05">
        <w:t>the determination is in force, and the specified period has not yet ended; or</w:t>
      </w:r>
    </w:p>
    <w:p w:rsidR="007E7904" w:rsidRPr="00335B05" w:rsidRDefault="007E7904" w:rsidP="007E7904">
      <w:pPr>
        <w:pStyle w:val="paragraphsub"/>
      </w:pPr>
      <w:r w:rsidRPr="00335B05">
        <w:tab/>
        <w:t>(ii)</w:t>
      </w:r>
      <w:r w:rsidRPr="00335B05">
        <w:tab/>
        <w:t xml:space="preserve">the determination </w:t>
      </w:r>
      <w:r w:rsidR="00D529CE" w:rsidRPr="00335B05">
        <w:t>has ceased to be</w:t>
      </w:r>
      <w:r w:rsidRPr="00335B05">
        <w:t xml:space="preserve"> in force or the specified period has ended, but the person has not yet had a reasonable period in which to make a pledge.</w:t>
      </w:r>
    </w:p>
    <w:p w:rsidR="005A788C" w:rsidRPr="00335B05" w:rsidRDefault="005A788C" w:rsidP="005A788C">
      <w:pPr>
        <w:pStyle w:val="subsection"/>
      </w:pPr>
      <w:r w:rsidRPr="00335B05">
        <w:tab/>
        <w:t>(3)</w:t>
      </w:r>
      <w:r w:rsidRPr="00335B05">
        <w:tab/>
        <w:t xml:space="preserve">Subject to </w:t>
      </w:r>
      <w:r w:rsidR="00335B05" w:rsidRPr="00335B05">
        <w:t>subsection (</w:t>
      </w:r>
      <w:r w:rsidRPr="00335B05">
        <w:t>5), a person has a prescribed reason for failing to make a pledge of commitment if:</w:t>
      </w:r>
    </w:p>
    <w:p w:rsidR="005A788C" w:rsidRPr="00335B05" w:rsidRDefault="005A788C" w:rsidP="005A788C">
      <w:pPr>
        <w:pStyle w:val="paragraph"/>
      </w:pPr>
      <w:r w:rsidRPr="00335B05">
        <w:tab/>
        <w:t>(a)</w:t>
      </w:r>
      <w:r w:rsidRPr="00335B05">
        <w:tab/>
        <w:t>the person could not make a pledge, either in Australia or at an Australian mission overseas, because during th</w:t>
      </w:r>
      <w:r w:rsidR="00B231CE" w:rsidRPr="00335B05">
        <w:t>e</w:t>
      </w:r>
      <w:r w:rsidRPr="00335B05">
        <w:t xml:space="preserve"> period</w:t>
      </w:r>
      <w:r w:rsidR="00B231CE" w:rsidRPr="00335B05">
        <w:t xml:space="preserve"> referred to in paragraph</w:t>
      </w:r>
      <w:r w:rsidR="00335B05" w:rsidRPr="00335B05">
        <w:t> </w:t>
      </w:r>
      <w:r w:rsidR="00B231CE" w:rsidRPr="00335B05">
        <w:t>25(3)(a) of the Act</w:t>
      </w:r>
      <w:r w:rsidRPr="00335B05">
        <w:t xml:space="preserve"> the person</w:t>
      </w:r>
      <w:r w:rsidR="009A006E" w:rsidRPr="00335B05">
        <w:t xml:space="preserve"> was overseas</w:t>
      </w:r>
      <w:r w:rsidRPr="00335B05">
        <w:t>:</w:t>
      </w:r>
    </w:p>
    <w:p w:rsidR="005A788C" w:rsidRPr="00335B05" w:rsidRDefault="005A788C" w:rsidP="005A788C">
      <w:pPr>
        <w:pStyle w:val="paragraphsub"/>
      </w:pPr>
      <w:r w:rsidRPr="00335B05">
        <w:tab/>
        <w:t>(</w:t>
      </w:r>
      <w:proofErr w:type="spellStart"/>
      <w:r w:rsidRPr="00335B05">
        <w:t>i</w:t>
      </w:r>
      <w:proofErr w:type="spellEnd"/>
      <w:r w:rsidRPr="00335B05">
        <w:t>)</w:t>
      </w:r>
      <w:r w:rsidRPr="00335B05">
        <w:tab/>
        <w:t>for medical treatment that was not available in Australia; or</w:t>
      </w:r>
    </w:p>
    <w:p w:rsidR="005A788C" w:rsidRPr="00335B05" w:rsidRDefault="005A788C" w:rsidP="005A788C">
      <w:pPr>
        <w:pStyle w:val="paragraphsub"/>
      </w:pPr>
      <w:r w:rsidRPr="00335B05">
        <w:lastRenderedPageBreak/>
        <w:tab/>
        <w:t>(ii)</w:t>
      </w:r>
      <w:r w:rsidRPr="00335B05">
        <w:tab/>
      </w:r>
      <w:r w:rsidR="009A006E" w:rsidRPr="00335B05">
        <w:t xml:space="preserve">for any purpose, and </w:t>
      </w:r>
      <w:r w:rsidRPr="00335B05">
        <w:t>was unexpectedly hospitalised; or</w:t>
      </w:r>
    </w:p>
    <w:p w:rsidR="005A788C" w:rsidRPr="00335B05" w:rsidRDefault="005A788C" w:rsidP="005A788C">
      <w:pPr>
        <w:pStyle w:val="paragraphsub"/>
      </w:pPr>
      <w:r w:rsidRPr="00335B05">
        <w:tab/>
        <w:t>(iii)</w:t>
      </w:r>
      <w:r w:rsidRPr="00335B05">
        <w:tab/>
        <w:t>to care for a person who was critically ill; or</w:t>
      </w:r>
    </w:p>
    <w:p w:rsidR="005A788C" w:rsidRPr="00335B05" w:rsidRDefault="005A788C" w:rsidP="005A788C">
      <w:pPr>
        <w:pStyle w:val="paragraphsub"/>
      </w:pPr>
      <w:r w:rsidRPr="00335B05">
        <w:tab/>
        <w:t>(iv)</w:t>
      </w:r>
      <w:r w:rsidRPr="00335B05">
        <w:tab/>
        <w:t>for a funeral and other associated arrangements; and</w:t>
      </w:r>
    </w:p>
    <w:p w:rsidR="005A788C" w:rsidRPr="00335B05" w:rsidRDefault="005A788C" w:rsidP="005A788C">
      <w:pPr>
        <w:pStyle w:val="paragraph"/>
      </w:pPr>
      <w:r w:rsidRPr="00335B05">
        <w:tab/>
        <w:t>(b)</w:t>
      </w:r>
      <w:r w:rsidRPr="00335B05">
        <w:tab/>
        <w:t>either:</w:t>
      </w:r>
    </w:p>
    <w:p w:rsidR="005A788C" w:rsidRPr="00335B05" w:rsidRDefault="005A788C" w:rsidP="005A788C">
      <w:pPr>
        <w:pStyle w:val="paragraphsub"/>
      </w:pPr>
      <w:r w:rsidRPr="00335B05">
        <w:tab/>
        <w:t>(</w:t>
      </w:r>
      <w:proofErr w:type="spellStart"/>
      <w:r w:rsidRPr="00335B05">
        <w:t>i</w:t>
      </w:r>
      <w:proofErr w:type="spellEnd"/>
      <w:r w:rsidRPr="00335B05">
        <w:t>)</w:t>
      </w:r>
      <w:r w:rsidRPr="00335B05">
        <w:tab/>
        <w:t xml:space="preserve">the person still cannot make a pledge for the reason mentioned in </w:t>
      </w:r>
      <w:r w:rsidR="00335B05" w:rsidRPr="00335B05">
        <w:t>paragraph (</w:t>
      </w:r>
      <w:r w:rsidRPr="00335B05">
        <w:t>a); or</w:t>
      </w:r>
    </w:p>
    <w:p w:rsidR="005A788C" w:rsidRPr="00335B05" w:rsidRDefault="005A788C" w:rsidP="005A788C">
      <w:pPr>
        <w:pStyle w:val="paragraphsub"/>
      </w:pPr>
      <w:r w:rsidRPr="00335B05">
        <w:tab/>
        <w:t>(ii)</w:t>
      </w:r>
      <w:r w:rsidRPr="00335B05">
        <w:tab/>
        <w:t>the person is now able to make a pledge, but the person has not yet had a reasonable period in which to do so.</w:t>
      </w:r>
    </w:p>
    <w:p w:rsidR="005A788C" w:rsidRPr="00335B05" w:rsidRDefault="005A788C" w:rsidP="005A788C">
      <w:pPr>
        <w:pStyle w:val="subsection"/>
      </w:pPr>
      <w:r w:rsidRPr="00335B05">
        <w:tab/>
        <w:t>(4)</w:t>
      </w:r>
      <w:r w:rsidRPr="00335B05">
        <w:tab/>
        <w:t xml:space="preserve">Subject to </w:t>
      </w:r>
      <w:r w:rsidR="00335B05" w:rsidRPr="00335B05">
        <w:t>subsection (</w:t>
      </w:r>
      <w:r w:rsidRPr="00335B05">
        <w:t>5), a person has a prescribed reason for failing to make a pledge of commitment if:</w:t>
      </w:r>
    </w:p>
    <w:p w:rsidR="005A788C" w:rsidRPr="00335B05" w:rsidRDefault="005A788C" w:rsidP="005A788C">
      <w:pPr>
        <w:pStyle w:val="paragraph"/>
      </w:pPr>
      <w:r w:rsidRPr="00335B05">
        <w:tab/>
        <w:t>(a)</w:t>
      </w:r>
      <w:r w:rsidRPr="00335B05">
        <w:tab/>
        <w:t>the person could not make a pledge because of an administrative error or omission made by:</w:t>
      </w:r>
    </w:p>
    <w:p w:rsidR="005A788C" w:rsidRPr="00335B05" w:rsidRDefault="005A788C" w:rsidP="005A788C">
      <w:pPr>
        <w:pStyle w:val="paragraphsub"/>
      </w:pPr>
      <w:r w:rsidRPr="00335B05">
        <w:tab/>
        <w:t>(</w:t>
      </w:r>
      <w:proofErr w:type="spellStart"/>
      <w:r w:rsidRPr="00335B05">
        <w:t>i</w:t>
      </w:r>
      <w:proofErr w:type="spellEnd"/>
      <w:r w:rsidRPr="00335B05">
        <w:t>)</w:t>
      </w:r>
      <w:r w:rsidRPr="00335B05">
        <w:tab/>
        <w:t xml:space="preserve">the Commonwealth, a State or </w:t>
      </w:r>
      <w:r w:rsidR="00B231CE" w:rsidRPr="00335B05">
        <w:t xml:space="preserve">a </w:t>
      </w:r>
      <w:r w:rsidRPr="00335B05">
        <w:t>Territory; or</w:t>
      </w:r>
    </w:p>
    <w:p w:rsidR="005A788C" w:rsidRPr="00335B05" w:rsidRDefault="005A788C" w:rsidP="005A788C">
      <w:pPr>
        <w:pStyle w:val="paragraphsub"/>
      </w:pPr>
      <w:r w:rsidRPr="00335B05">
        <w:tab/>
        <w:t>(ii)</w:t>
      </w:r>
      <w:r w:rsidRPr="00335B05">
        <w:tab/>
        <w:t xml:space="preserve">an authority of the Commonwealth, a State or </w:t>
      </w:r>
      <w:r w:rsidR="00B231CE" w:rsidRPr="00335B05">
        <w:t xml:space="preserve">a </w:t>
      </w:r>
      <w:r w:rsidRPr="00335B05">
        <w:t>Territory; or</w:t>
      </w:r>
    </w:p>
    <w:p w:rsidR="005A788C" w:rsidRPr="00335B05" w:rsidRDefault="005A788C" w:rsidP="005A788C">
      <w:pPr>
        <w:pStyle w:val="paragraphsub"/>
      </w:pPr>
      <w:r w:rsidRPr="00335B05">
        <w:tab/>
        <w:t>(iii)</w:t>
      </w:r>
      <w:r w:rsidRPr="00335B05">
        <w:tab/>
        <w:t>a local government authority; and</w:t>
      </w:r>
    </w:p>
    <w:p w:rsidR="005A788C" w:rsidRPr="00335B05" w:rsidRDefault="005A788C" w:rsidP="005A788C">
      <w:pPr>
        <w:pStyle w:val="paragraph"/>
      </w:pPr>
      <w:r w:rsidRPr="00335B05">
        <w:tab/>
        <w:t>(b)</w:t>
      </w:r>
      <w:r w:rsidRPr="00335B05">
        <w:tab/>
        <w:t>either:</w:t>
      </w:r>
    </w:p>
    <w:p w:rsidR="00D529CE" w:rsidRPr="00335B05" w:rsidRDefault="00D529CE" w:rsidP="00D529CE">
      <w:pPr>
        <w:pStyle w:val="paragraphsub"/>
      </w:pPr>
      <w:r w:rsidRPr="00335B05">
        <w:tab/>
        <w:t>(</w:t>
      </w:r>
      <w:proofErr w:type="spellStart"/>
      <w:r w:rsidRPr="00335B05">
        <w:t>i</w:t>
      </w:r>
      <w:proofErr w:type="spellEnd"/>
      <w:r w:rsidRPr="00335B05">
        <w:t>)</w:t>
      </w:r>
      <w:r w:rsidRPr="00335B05">
        <w:tab/>
        <w:t xml:space="preserve">the person still cannot make a pledge for the reason mentioned in </w:t>
      </w:r>
      <w:r w:rsidR="00335B05" w:rsidRPr="00335B05">
        <w:t>paragraph (</w:t>
      </w:r>
      <w:r w:rsidRPr="00335B05">
        <w:t>a); or</w:t>
      </w:r>
    </w:p>
    <w:p w:rsidR="00D529CE" w:rsidRPr="00335B05" w:rsidRDefault="00D529CE" w:rsidP="00D529CE">
      <w:pPr>
        <w:pStyle w:val="paragraphsub"/>
      </w:pPr>
      <w:r w:rsidRPr="00335B05">
        <w:tab/>
        <w:t>(ii)</w:t>
      </w:r>
      <w:r w:rsidRPr="00335B05">
        <w:tab/>
        <w:t>the person is now able to make a pledge, but the person has not yet had a reasonable period in which to do so.</w:t>
      </w:r>
    </w:p>
    <w:p w:rsidR="005A788C" w:rsidRPr="00335B05" w:rsidRDefault="005A788C" w:rsidP="005A788C">
      <w:pPr>
        <w:pStyle w:val="subsection"/>
      </w:pPr>
      <w:r w:rsidRPr="00335B05">
        <w:tab/>
        <w:t>(5)</w:t>
      </w:r>
      <w:r w:rsidRPr="00335B05">
        <w:tab/>
        <w:t xml:space="preserve">For </w:t>
      </w:r>
      <w:r w:rsidR="00D17A99" w:rsidRPr="00335B05">
        <w:t xml:space="preserve">the purposes of </w:t>
      </w:r>
      <w:r w:rsidR="00335B05" w:rsidRPr="00335B05">
        <w:t>subsection (</w:t>
      </w:r>
      <w:r w:rsidRPr="00335B05">
        <w:t>3) or (4), a person has a prescribed reason only if the person gives the Minister:</w:t>
      </w:r>
    </w:p>
    <w:p w:rsidR="005A788C" w:rsidRPr="00335B05" w:rsidRDefault="005A788C" w:rsidP="005A788C">
      <w:pPr>
        <w:pStyle w:val="paragraph"/>
      </w:pPr>
      <w:r w:rsidRPr="00335B05">
        <w:tab/>
        <w:t>(a)</w:t>
      </w:r>
      <w:r w:rsidRPr="00335B05">
        <w:tab/>
        <w:t>a signed statement to support the claim</w:t>
      </w:r>
      <w:r w:rsidR="00D17A99" w:rsidRPr="00335B05">
        <w:t>,</w:t>
      </w:r>
      <w:r w:rsidRPr="00335B05">
        <w:t xml:space="preserve"> </w:t>
      </w:r>
      <w:r w:rsidR="00D17A99" w:rsidRPr="00335B05">
        <w:t>including</w:t>
      </w:r>
      <w:r w:rsidRPr="00335B05">
        <w:t xml:space="preserve"> a description of any effort that the person made to make a pledge of commitment within the relevant period; and</w:t>
      </w:r>
    </w:p>
    <w:p w:rsidR="005A788C" w:rsidRPr="00335B05" w:rsidRDefault="005A788C" w:rsidP="005A788C">
      <w:pPr>
        <w:pStyle w:val="paragraph"/>
      </w:pPr>
      <w:r w:rsidRPr="00335B05">
        <w:tab/>
        <w:t>(b)</w:t>
      </w:r>
      <w:r w:rsidRPr="00335B05">
        <w:tab/>
        <w:t>written evidence that supports the statement.</w:t>
      </w:r>
    </w:p>
    <w:p w:rsidR="005A788C" w:rsidRPr="00335B05" w:rsidRDefault="008D0E54" w:rsidP="005A788C">
      <w:pPr>
        <w:pStyle w:val="ActHead5"/>
      </w:pPr>
      <w:bookmarkStart w:id="13" w:name="_Toc465860535"/>
      <w:r w:rsidRPr="00335B05">
        <w:rPr>
          <w:rStyle w:val="CharSectno"/>
        </w:rPr>
        <w:t>10</w:t>
      </w:r>
      <w:r w:rsidR="005A788C" w:rsidRPr="00335B05">
        <w:t xml:space="preserve">  Arrangements for making pledge of commitment</w:t>
      </w:r>
      <w:bookmarkEnd w:id="13"/>
    </w:p>
    <w:p w:rsidR="005A788C" w:rsidRPr="00335B05" w:rsidRDefault="005A788C" w:rsidP="005A788C">
      <w:pPr>
        <w:pStyle w:val="subsection"/>
      </w:pPr>
      <w:r w:rsidRPr="00335B05">
        <w:tab/>
      </w:r>
      <w:r w:rsidRPr="00335B05">
        <w:tab/>
        <w:t xml:space="preserve">For </w:t>
      </w:r>
      <w:r w:rsidR="00D129C4" w:rsidRPr="00335B05">
        <w:t xml:space="preserve">the purposes of </w:t>
      </w:r>
      <w:r w:rsidRPr="00335B05">
        <w:t>subsection</w:t>
      </w:r>
      <w:r w:rsidR="00335B05" w:rsidRPr="00335B05">
        <w:t> </w:t>
      </w:r>
      <w:r w:rsidRPr="00335B05">
        <w:t>27(2) of the Act, the arrangements are:</w:t>
      </w:r>
    </w:p>
    <w:p w:rsidR="005A788C" w:rsidRPr="00335B05" w:rsidRDefault="005A788C" w:rsidP="005A788C">
      <w:pPr>
        <w:pStyle w:val="paragraph"/>
      </w:pPr>
      <w:r w:rsidRPr="00335B05">
        <w:tab/>
        <w:t>(a)</w:t>
      </w:r>
      <w:r w:rsidRPr="00335B05">
        <w:tab/>
        <w:t>the pledge of commitment must be made in public if it is reasonably practicable</w:t>
      </w:r>
      <w:r w:rsidR="00D129C4" w:rsidRPr="00335B05">
        <w:t xml:space="preserve"> to do so</w:t>
      </w:r>
      <w:r w:rsidRPr="00335B05">
        <w:t>; and</w:t>
      </w:r>
    </w:p>
    <w:p w:rsidR="005A788C" w:rsidRPr="00335B05" w:rsidRDefault="005A788C" w:rsidP="005A788C">
      <w:pPr>
        <w:pStyle w:val="paragraph"/>
      </w:pPr>
      <w:r w:rsidRPr="00335B05">
        <w:tab/>
        <w:t>(b)</w:t>
      </w:r>
      <w:r w:rsidRPr="00335B05">
        <w:tab/>
        <w:t>the person before whom the pledge is made must read aloud the address specified in Schedule</w:t>
      </w:r>
      <w:r w:rsidR="00335B05" w:rsidRPr="00335B05">
        <w:t> </w:t>
      </w:r>
      <w:r w:rsidRPr="00335B05">
        <w:t>1 to the person making the pledge.</w:t>
      </w:r>
    </w:p>
    <w:p w:rsidR="005A788C" w:rsidRPr="00335B05" w:rsidRDefault="005A788C" w:rsidP="005A788C">
      <w:pPr>
        <w:pStyle w:val="notetext"/>
      </w:pPr>
      <w:r w:rsidRPr="00335B05">
        <w:t>Note:</w:t>
      </w:r>
      <w:r w:rsidRPr="00335B05">
        <w:tab/>
      </w:r>
      <w:r w:rsidR="00D129C4" w:rsidRPr="00335B05">
        <w:t>In addition to the arrangements that are required for the purposes of subsection</w:t>
      </w:r>
      <w:r w:rsidR="00335B05" w:rsidRPr="00335B05">
        <w:t> </w:t>
      </w:r>
      <w:r w:rsidR="00D129C4" w:rsidRPr="00335B05">
        <w:t>27(2) of the Act, t</w:t>
      </w:r>
      <w:r w:rsidRPr="00335B05">
        <w:t>he Department may notify arrangements for making a pledge of commitment, or conducting a ceremony, that are designed to impress upon applicants the responsibilities and privileges of Australian citizenship.</w:t>
      </w:r>
    </w:p>
    <w:p w:rsidR="005A788C" w:rsidRPr="00335B05" w:rsidRDefault="008D0E54" w:rsidP="005A788C">
      <w:pPr>
        <w:pStyle w:val="ActHead5"/>
      </w:pPr>
      <w:bookmarkStart w:id="14" w:name="_Toc465860536"/>
      <w:r w:rsidRPr="00335B05">
        <w:rPr>
          <w:rStyle w:val="CharSectno"/>
        </w:rPr>
        <w:t>11</w:t>
      </w:r>
      <w:r w:rsidR="005A788C" w:rsidRPr="00335B05">
        <w:t xml:space="preserve">  Registration under section</w:t>
      </w:r>
      <w:r w:rsidR="00335B05" w:rsidRPr="00335B05">
        <w:t> </w:t>
      </w:r>
      <w:r w:rsidR="005A788C" w:rsidRPr="00335B05">
        <w:t>31 of the Act</w:t>
      </w:r>
      <w:bookmarkEnd w:id="14"/>
    </w:p>
    <w:p w:rsidR="005A788C" w:rsidRPr="00335B05" w:rsidRDefault="005A788C" w:rsidP="005A788C">
      <w:pPr>
        <w:pStyle w:val="subsection"/>
      </w:pPr>
      <w:r w:rsidRPr="00335B05">
        <w:tab/>
      </w:r>
      <w:r w:rsidRPr="00335B05">
        <w:tab/>
        <w:t xml:space="preserve">For </w:t>
      </w:r>
      <w:r w:rsidR="00D129C4" w:rsidRPr="00335B05">
        <w:t xml:space="preserve">the purposes of </w:t>
      </w:r>
      <w:r w:rsidRPr="00335B05">
        <w:t>section</w:t>
      </w:r>
      <w:r w:rsidR="00335B05" w:rsidRPr="00335B05">
        <w:t> </w:t>
      </w:r>
      <w:r w:rsidRPr="00335B05">
        <w:t>31 of the Act, a person is registered by the Minister:</w:t>
      </w:r>
    </w:p>
    <w:p w:rsidR="005A788C" w:rsidRPr="00335B05" w:rsidRDefault="005A788C" w:rsidP="005A788C">
      <w:pPr>
        <w:pStyle w:val="paragraph"/>
      </w:pPr>
      <w:r w:rsidRPr="00335B05">
        <w:tab/>
        <w:t>(a)</w:t>
      </w:r>
      <w:r w:rsidRPr="00335B05">
        <w:tab/>
        <w:t>making a record of the fact that the person is an Australian citizen by resumption of citizenship; and</w:t>
      </w:r>
    </w:p>
    <w:p w:rsidR="005A788C" w:rsidRPr="00335B05" w:rsidRDefault="005A788C" w:rsidP="005A788C">
      <w:pPr>
        <w:pStyle w:val="paragraph"/>
      </w:pPr>
      <w:r w:rsidRPr="00335B05">
        <w:tab/>
        <w:t>(b)</w:t>
      </w:r>
      <w:r w:rsidRPr="00335B05">
        <w:tab/>
        <w:t>including the record on a data storage system kept by the Department.</w:t>
      </w:r>
    </w:p>
    <w:p w:rsidR="005A788C" w:rsidRPr="00335B05" w:rsidRDefault="008D0E54" w:rsidP="005A788C">
      <w:pPr>
        <w:pStyle w:val="ActHead5"/>
      </w:pPr>
      <w:bookmarkStart w:id="15" w:name="_Toc465860537"/>
      <w:r w:rsidRPr="00335B05">
        <w:rPr>
          <w:rStyle w:val="CharSectno"/>
        </w:rPr>
        <w:lastRenderedPageBreak/>
        <w:t>12</w:t>
      </w:r>
      <w:r w:rsidR="005A788C" w:rsidRPr="00335B05">
        <w:t xml:space="preserve">  Form of notice under subsection</w:t>
      </w:r>
      <w:r w:rsidR="00335B05" w:rsidRPr="00335B05">
        <w:t> </w:t>
      </w:r>
      <w:r w:rsidR="005A788C" w:rsidRPr="00335B05">
        <w:t>37(3) of the Act</w:t>
      </w:r>
      <w:bookmarkEnd w:id="15"/>
    </w:p>
    <w:p w:rsidR="005A788C" w:rsidRPr="00335B05" w:rsidRDefault="005A788C" w:rsidP="005A788C">
      <w:pPr>
        <w:pStyle w:val="subsection"/>
      </w:pPr>
      <w:r w:rsidRPr="00335B05">
        <w:tab/>
        <w:t>(1)</w:t>
      </w:r>
      <w:r w:rsidRPr="00335B05">
        <w:tab/>
        <w:t xml:space="preserve">For </w:t>
      </w:r>
      <w:r w:rsidR="00D129C4" w:rsidRPr="00335B05">
        <w:t xml:space="preserve">the purposes of </w:t>
      </w:r>
      <w:r w:rsidRPr="00335B05">
        <w:t>subsection</w:t>
      </w:r>
      <w:r w:rsidR="00335B05" w:rsidRPr="00335B05">
        <w:t> </w:t>
      </w:r>
      <w:r w:rsidRPr="00335B05">
        <w:t>37(3) of the Act, a notice must be in accordance with the form in Schedule</w:t>
      </w:r>
      <w:r w:rsidR="00335B05" w:rsidRPr="00335B05">
        <w:t> </w:t>
      </w:r>
      <w:r w:rsidRPr="00335B05">
        <w:t>2.</w:t>
      </w:r>
    </w:p>
    <w:p w:rsidR="005A788C" w:rsidRPr="00335B05" w:rsidRDefault="005A788C" w:rsidP="005A788C">
      <w:pPr>
        <w:pStyle w:val="subsection"/>
      </w:pPr>
      <w:r w:rsidRPr="00335B05">
        <w:tab/>
        <w:t>(2)</w:t>
      </w:r>
      <w:r w:rsidRPr="00335B05">
        <w:tab/>
        <w:t>The signature of the Minister on the notice may be a facsimile that is printed or stamped.</w:t>
      </w:r>
    </w:p>
    <w:p w:rsidR="00B16128" w:rsidRPr="00335B05" w:rsidRDefault="00B16128" w:rsidP="00B16128">
      <w:pPr>
        <w:pStyle w:val="subsection"/>
      </w:pPr>
      <w:r w:rsidRPr="00335B05">
        <w:tab/>
        <w:t>(3)</w:t>
      </w:r>
      <w:r w:rsidRPr="00335B05">
        <w:tab/>
        <w:t xml:space="preserve">A presiding officer may sign the notice if the person </w:t>
      </w:r>
      <w:r w:rsidR="00916848" w:rsidRPr="00335B05">
        <w:t xml:space="preserve">to whom the notice is given </w:t>
      </w:r>
      <w:r w:rsidRPr="00335B05">
        <w:t>acquired citizenship by conferral after making the pledge of commitment in accordance with section</w:t>
      </w:r>
      <w:r w:rsidR="00335B05" w:rsidRPr="00335B05">
        <w:t> </w:t>
      </w:r>
      <w:r w:rsidRPr="00335B05">
        <w:t>27 of the Act before that presiding officer.</w:t>
      </w:r>
    </w:p>
    <w:p w:rsidR="00B16128" w:rsidRPr="00335B05" w:rsidRDefault="00B16128" w:rsidP="00B16128">
      <w:pPr>
        <w:pStyle w:val="subsection"/>
      </w:pPr>
      <w:r w:rsidRPr="00335B05">
        <w:tab/>
        <w:t>(4)</w:t>
      </w:r>
      <w:r w:rsidRPr="00335B05">
        <w:tab/>
        <w:t xml:space="preserve">The following information in relation to the person </w:t>
      </w:r>
      <w:r w:rsidR="00916848" w:rsidRPr="00335B05">
        <w:t>to whom the</w:t>
      </w:r>
      <w:r w:rsidRPr="00335B05">
        <w:t xml:space="preserve"> notice </w:t>
      </w:r>
      <w:r w:rsidR="00916848" w:rsidRPr="00335B05">
        <w:t xml:space="preserve">is given </w:t>
      </w:r>
      <w:r w:rsidRPr="00335B05">
        <w:t xml:space="preserve">may be </w:t>
      </w:r>
      <w:r w:rsidR="00916848" w:rsidRPr="00335B05">
        <w:t>set out</w:t>
      </w:r>
      <w:r w:rsidRPr="00335B05">
        <w:t xml:space="preserve"> on the </w:t>
      </w:r>
      <w:r w:rsidR="008D5985" w:rsidRPr="00335B05">
        <w:t>back</w:t>
      </w:r>
      <w:r w:rsidRPr="00335B05">
        <w:t xml:space="preserve"> of the notice:</w:t>
      </w:r>
    </w:p>
    <w:p w:rsidR="00B16128" w:rsidRPr="00335B05" w:rsidRDefault="00B16128" w:rsidP="00B16128">
      <w:pPr>
        <w:pStyle w:val="paragraph"/>
      </w:pPr>
      <w:r w:rsidRPr="00335B05">
        <w:tab/>
        <w:t>(a)</w:t>
      </w:r>
      <w:r w:rsidRPr="00335B05">
        <w:tab/>
        <w:t>the person’s name at the time of acquisition of Australian citizenship, if different from the person’s current name;</w:t>
      </w:r>
    </w:p>
    <w:p w:rsidR="00B16128" w:rsidRPr="00335B05" w:rsidRDefault="00B16128" w:rsidP="00B16128">
      <w:pPr>
        <w:pStyle w:val="paragraph"/>
      </w:pPr>
      <w:r w:rsidRPr="00335B05">
        <w:tab/>
        <w:t>(b)</w:t>
      </w:r>
      <w:r w:rsidRPr="00335B05">
        <w:tab/>
        <w:t>the date of any notice of evidence of Australian citizenship previously given to the person;</w:t>
      </w:r>
    </w:p>
    <w:p w:rsidR="00B16128" w:rsidRPr="00335B05" w:rsidRDefault="00B16128" w:rsidP="00B16128">
      <w:pPr>
        <w:pStyle w:val="paragraph"/>
      </w:pPr>
      <w:r w:rsidRPr="00335B05">
        <w:tab/>
        <w:t>(c)</w:t>
      </w:r>
      <w:r w:rsidRPr="00335B05">
        <w:tab/>
        <w:t>any other name in which a notice of evidence of Australian citizenship has previously been given to the person;</w:t>
      </w:r>
    </w:p>
    <w:p w:rsidR="00B16128" w:rsidRPr="00335B05" w:rsidRDefault="00B16128" w:rsidP="00B16128">
      <w:pPr>
        <w:pStyle w:val="paragraph"/>
      </w:pPr>
      <w:r w:rsidRPr="00335B05">
        <w:tab/>
        <w:t>(d)</w:t>
      </w:r>
      <w:r w:rsidRPr="00335B05">
        <w:tab/>
        <w:t>any other date of birth in a notice of evidence of Australian citizenship previously given to the person.</w:t>
      </w:r>
    </w:p>
    <w:p w:rsidR="008D5985" w:rsidRPr="00335B05" w:rsidRDefault="008D5985" w:rsidP="008D5985">
      <w:pPr>
        <w:pStyle w:val="notetext"/>
      </w:pPr>
      <w:r w:rsidRPr="00335B05">
        <w:t>Note:</w:t>
      </w:r>
      <w:r w:rsidRPr="00335B05">
        <w:tab/>
      </w:r>
      <w:r w:rsidR="00916848" w:rsidRPr="00335B05">
        <w:t>A notice given under section</w:t>
      </w:r>
      <w:r w:rsidR="00335B05" w:rsidRPr="00335B05">
        <w:t> </w:t>
      </w:r>
      <w:r w:rsidR="00916848" w:rsidRPr="00335B05">
        <w:t>37 of the Act is prima facie evidence of the matters in the notice (see subsection</w:t>
      </w:r>
      <w:r w:rsidR="00335B05" w:rsidRPr="00335B05">
        <w:t> </w:t>
      </w:r>
      <w:r w:rsidR="00916848" w:rsidRPr="00335B05">
        <w:t>37(5) of the Act).</w:t>
      </w:r>
    </w:p>
    <w:p w:rsidR="008D5985" w:rsidRPr="00335B05" w:rsidRDefault="008D5985" w:rsidP="008D5985">
      <w:pPr>
        <w:pStyle w:val="subsection"/>
      </w:pPr>
      <w:r w:rsidRPr="00335B05">
        <w:tab/>
        <w:t>(5)</w:t>
      </w:r>
      <w:r w:rsidRPr="00335B05">
        <w:tab/>
        <w:t xml:space="preserve">If the back of the notice </w:t>
      </w:r>
      <w:r w:rsidR="00916848" w:rsidRPr="00335B05">
        <w:t>sets out</w:t>
      </w:r>
      <w:r w:rsidRPr="00335B05">
        <w:t xml:space="preserve"> any of the information referred to in </w:t>
      </w:r>
      <w:r w:rsidR="00335B05" w:rsidRPr="00335B05">
        <w:t>subsection (</w:t>
      </w:r>
      <w:r w:rsidRPr="00335B05">
        <w:t xml:space="preserve">4), </w:t>
      </w:r>
      <w:r w:rsidR="00916848" w:rsidRPr="00335B05">
        <w:t>the signature of the Minister (which may be a facsimile that is printed or stamped) must also be included on the back of the notice.</w:t>
      </w:r>
    </w:p>
    <w:p w:rsidR="005A788C" w:rsidRPr="00335B05" w:rsidRDefault="008D0E54" w:rsidP="005A788C">
      <w:pPr>
        <w:pStyle w:val="ActHead5"/>
      </w:pPr>
      <w:bookmarkStart w:id="16" w:name="_Toc465860538"/>
      <w:r w:rsidRPr="00335B05">
        <w:rPr>
          <w:rStyle w:val="CharSectno"/>
        </w:rPr>
        <w:t>13</w:t>
      </w:r>
      <w:r w:rsidR="005A788C" w:rsidRPr="00335B05">
        <w:t xml:space="preserve">  Personal </w:t>
      </w:r>
      <w:r w:rsidR="002F70A2" w:rsidRPr="00335B05">
        <w:t>i</w:t>
      </w:r>
      <w:r w:rsidR="005A788C" w:rsidRPr="00335B05">
        <w:t>dentifiers</w:t>
      </w:r>
      <w:bookmarkEnd w:id="16"/>
    </w:p>
    <w:p w:rsidR="005A788C" w:rsidRPr="00335B05" w:rsidRDefault="005A788C" w:rsidP="005A788C">
      <w:pPr>
        <w:pStyle w:val="subsection"/>
      </w:pPr>
      <w:r w:rsidRPr="00335B05">
        <w:tab/>
      </w:r>
      <w:r w:rsidRPr="00335B05">
        <w:tab/>
        <w:t xml:space="preserve">For </w:t>
      </w:r>
      <w:r w:rsidR="002F70A2" w:rsidRPr="00335B05">
        <w:t xml:space="preserve">the purposes of </w:t>
      </w:r>
      <w:r w:rsidRPr="00335B05">
        <w:t>subsection</w:t>
      </w:r>
      <w:r w:rsidR="00335B05" w:rsidRPr="00335B05">
        <w:t> </w:t>
      </w:r>
      <w:r w:rsidRPr="00335B05">
        <w:t xml:space="preserve">40(2) of the Act, a request must inform the </w:t>
      </w:r>
      <w:r w:rsidR="002F70A2" w:rsidRPr="00335B05">
        <w:t>person</w:t>
      </w:r>
      <w:r w:rsidRPr="00335B05">
        <w:t xml:space="preserve"> of the following matters:</w:t>
      </w:r>
    </w:p>
    <w:p w:rsidR="005A788C" w:rsidRPr="00335B05" w:rsidRDefault="005A788C" w:rsidP="005A788C">
      <w:pPr>
        <w:pStyle w:val="paragraph"/>
      </w:pPr>
      <w:r w:rsidRPr="00335B05">
        <w:tab/>
        <w:t>(a)</w:t>
      </w:r>
      <w:r w:rsidRPr="00335B05">
        <w:tab/>
        <w:t>why a personal ide</w:t>
      </w:r>
      <w:r w:rsidR="002F70A2" w:rsidRPr="00335B05">
        <w:t>ntifier must be provided;</w:t>
      </w:r>
    </w:p>
    <w:p w:rsidR="005A788C" w:rsidRPr="00335B05" w:rsidRDefault="005A788C" w:rsidP="005A788C">
      <w:pPr>
        <w:pStyle w:val="paragraph"/>
      </w:pPr>
      <w:r w:rsidRPr="00335B05">
        <w:tab/>
        <w:t>(b)</w:t>
      </w:r>
      <w:r w:rsidRPr="00335B05">
        <w:tab/>
        <w:t>how a person</w:t>
      </w:r>
      <w:r w:rsidR="002F70A2" w:rsidRPr="00335B05">
        <w:t>al identifier may be collected;</w:t>
      </w:r>
    </w:p>
    <w:p w:rsidR="005A788C" w:rsidRPr="00335B05" w:rsidRDefault="005A788C" w:rsidP="005A788C">
      <w:pPr>
        <w:pStyle w:val="paragraph"/>
      </w:pPr>
      <w:r w:rsidRPr="00335B05">
        <w:tab/>
        <w:t>(c)</w:t>
      </w:r>
      <w:r w:rsidRPr="00335B05">
        <w:tab/>
        <w:t>how a p</w:t>
      </w:r>
      <w:r w:rsidR="002F70A2" w:rsidRPr="00335B05">
        <w:t>ersonal identifier may be used;</w:t>
      </w:r>
    </w:p>
    <w:p w:rsidR="005A788C" w:rsidRPr="00335B05" w:rsidRDefault="005A788C" w:rsidP="005A788C">
      <w:pPr>
        <w:pStyle w:val="paragraph"/>
      </w:pPr>
      <w:r w:rsidRPr="00335B05">
        <w:tab/>
        <w:t>(d)</w:t>
      </w:r>
      <w:r w:rsidRPr="00335B05">
        <w:tab/>
        <w:t>the circumstances in which a personal identifier may</w:t>
      </w:r>
      <w:r w:rsidR="002F70A2" w:rsidRPr="00335B05">
        <w:t xml:space="preserve"> be disclosed to a third party;</w:t>
      </w:r>
    </w:p>
    <w:p w:rsidR="005A788C" w:rsidRPr="00335B05" w:rsidRDefault="005A788C" w:rsidP="005A788C">
      <w:pPr>
        <w:pStyle w:val="paragraph"/>
      </w:pPr>
      <w:r w:rsidRPr="00335B05">
        <w:tab/>
        <w:t>(e)</w:t>
      </w:r>
      <w:r w:rsidRPr="00335B05">
        <w:tab/>
        <w:t xml:space="preserve">that a personal identifier may be produced in evidence in a court or tribunal in relation to the </w:t>
      </w:r>
      <w:r w:rsidR="002F70A2" w:rsidRPr="00335B05">
        <w:t>person</w:t>
      </w:r>
      <w:r w:rsidRPr="00335B05">
        <w:t xml:space="preserve"> who pr</w:t>
      </w:r>
      <w:r w:rsidR="002F70A2" w:rsidRPr="00335B05">
        <w:t>ovided the personal identifier;</w:t>
      </w:r>
    </w:p>
    <w:p w:rsidR="005A788C" w:rsidRPr="00335B05" w:rsidRDefault="005A788C" w:rsidP="005A788C">
      <w:pPr>
        <w:pStyle w:val="paragraph"/>
      </w:pPr>
      <w:r w:rsidRPr="00335B05">
        <w:tab/>
        <w:t>(f)</w:t>
      </w:r>
      <w:r w:rsidRPr="00335B05">
        <w:tab/>
        <w:t xml:space="preserve">that the </w:t>
      </w:r>
      <w:r w:rsidRPr="00335B05">
        <w:rPr>
          <w:i/>
        </w:rPr>
        <w:t xml:space="preserve">Privacy Act 1988 </w:t>
      </w:r>
      <w:r w:rsidRPr="00335B05">
        <w:t xml:space="preserve">applies to a personal identifier, and that the </w:t>
      </w:r>
      <w:r w:rsidR="002F70A2" w:rsidRPr="00335B05">
        <w:t>person</w:t>
      </w:r>
      <w:r w:rsidRPr="00335B05">
        <w:t xml:space="preserve"> has a right to make a complaint to the Australian Information Commissioner about the ha</w:t>
      </w:r>
      <w:r w:rsidR="002F70A2" w:rsidRPr="00335B05">
        <w:t>ndling of personal information;</w:t>
      </w:r>
    </w:p>
    <w:p w:rsidR="005A788C" w:rsidRPr="00335B05" w:rsidRDefault="005A788C" w:rsidP="005A788C">
      <w:pPr>
        <w:pStyle w:val="paragraph"/>
      </w:pPr>
      <w:r w:rsidRPr="00335B05">
        <w:tab/>
        <w:t>(g)</w:t>
      </w:r>
      <w:r w:rsidRPr="00335B05">
        <w:tab/>
        <w:t xml:space="preserve">that the </w:t>
      </w:r>
      <w:r w:rsidRPr="00335B05">
        <w:rPr>
          <w:i/>
        </w:rPr>
        <w:t xml:space="preserve">Freedom of Information Act 1982 </w:t>
      </w:r>
      <w:r w:rsidRPr="00335B05">
        <w:t xml:space="preserve">gives a person access to certain information and documents in the possession of the Government of the Commonwealth and of its agencies, and that the </w:t>
      </w:r>
      <w:r w:rsidR="007B416F" w:rsidRPr="00335B05">
        <w:t>person</w:t>
      </w:r>
      <w:r w:rsidRPr="00335B05">
        <w:t xml:space="preserve"> has a right under that Act to seek access to that information or those documents, and to seek amendment of records containing personal information that is incomplete, incorr</w:t>
      </w:r>
      <w:r w:rsidR="002F70A2" w:rsidRPr="00335B05">
        <w:t>ect, out of date or misleading.</w:t>
      </w:r>
    </w:p>
    <w:p w:rsidR="005A788C" w:rsidRPr="00335B05" w:rsidRDefault="005A788C" w:rsidP="00461B3D">
      <w:pPr>
        <w:pStyle w:val="ActHead2"/>
        <w:pageBreakBefore/>
      </w:pPr>
      <w:bookmarkStart w:id="17" w:name="_Toc465860539"/>
      <w:r w:rsidRPr="00335B05">
        <w:rPr>
          <w:rStyle w:val="CharPartNo"/>
        </w:rPr>
        <w:lastRenderedPageBreak/>
        <w:t>Part</w:t>
      </w:r>
      <w:r w:rsidR="00335B05" w:rsidRPr="00335B05">
        <w:rPr>
          <w:rStyle w:val="CharPartNo"/>
        </w:rPr>
        <w:t> </w:t>
      </w:r>
      <w:r w:rsidRPr="00335B05">
        <w:rPr>
          <w:rStyle w:val="CharPartNo"/>
        </w:rPr>
        <w:t>3</w:t>
      </w:r>
      <w:r w:rsidRPr="00335B05">
        <w:t>—</w:t>
      </w:r>
      <w:r w:rsidRPr="00335B05">
        <w:rPr>
          <w:rStyle w:val="CharPartText"/>
        </w:rPr>
        <w:t>Other matters</w:t>
      </w:r>
      <w:bookmarkEnd w:id="17"/>
    </w:p>
    <w:p w:rsidR="005A788C" w:rsidRPr="00335B05" w:rsidRDefault="005A788C" w:rsidP="005A788C">
      <w:pPr>
        <w:pStyle w:val="Header"/>
      </w:pPr>
      <w:r w:rsidRPr="00335B05">
        <w:rPr>
          <w:rStyle w:val="CharDivNo"/>
        </w:rPr>
        <w:t xml:space="preserve"> </w:t>
      </w:r>
      <w:r w:rsidRPr="00335B05">
        <w:rPr>
          <w:rStyle w:val="CharDivText"/>
        </w:rPr>
        <w:t xml:space="preserve"> </w:t>
      </w:r>
    </w:p>
    <w:p w:rsidR="005A788C" w:rsidRPr="00335B05" w:rsidRDefault="008D0E54" w:rsidP="005A788C">
      <w:pPr>
        <w:pStyle w:val="ActHead5"/>
      </w:pPr>
      <w:bookmarkStart w:id="18" w:name="_Toc465860540"/>
      <w:r w:rsidRPr="00335B05">
        <w:rPr>
          <w:rStyle w:val="CharSectno"/>
        </w:rPr>
        <w:t>14</w:t>
      </w:r>
      <w:r w:rsidR="005A788C" w:rsidRPr="00335B05">
        <w:t xml:space="preserve">  Information and documents to accompany applications</w:t>
      </w:r>
      <w:bookmarkEnd w:id="18"/>
    </w:p>
    <w:p w:rsidR="005A788C" w:rsidRPr="00335B05" w:rsidRDefault="005A788C" w:rsidP="005A788C">
      <w:pPr>
        <w:pStyle w:val="subsection"/>
      </w:pPr>
      <w:r w:rsidRPr="00335B05">
        <w:tab/>
      </w:r>
      <w:r w:rsidRPr="00335B05">
        <w:tab/>
        <w:t xml:space="preserve">For </w:t>
      </w:r>
      <w:r w:rsidR="007B416F" w:rsidRPr="00335B05">
        <w:t xml:space="preserve">the purposes of </w:t>
      </w:r>
      <w:r w:rsidRPr="00335B05">
        <w:t>paragraph</w:t>
      </w:r>
      <w:r w:rsidR="00335B05" w:rsidRPr="00335B05">
        <w:t> </w:t>
      </w:r>
      <w:r w:rsidRPr="00335B05">
        <w:t>46(1)(c) of the Act, if information or a document accompanying an application for citizenship is not originally in English, the information or document must be accompanied by an official English translation.</w:t>
      </w:r>
    </w:p>
    <w:p w:rsidR="005A788C" w:rsidRPr="00335B05" w:rsidRDefault="008D0E54" w:rsidP="005A788C">
      <w:pPr>
        <w:pStyle w:val="ActHead5"/>
      </w:pPr>
      <w:bookmarkStart w:id="19" w:name="_Toc465860541"/>
      <w:r w:rsidRPr="00335B05">
        <w:rPr>
          <w:rStyle w:val="CharSectno"/>
        </w:rPr>
        <w:t>15</w:t>
      </w:r>
      <w:r w:rsidR="005A788C" w:rsidRPr="00335B05">
        <w:t xml:space="preserve">  Application for replacement of evidence of Australian citizenship lost, destroyed or damaged due to a natural disaster</w:t>
      </w:r>
      <w:bookmarkEnd w:id="19"/>
    </w:p>
    <w:p w:rsidR="005A788C" w:rsidRPr="00335B05" w:rsidRDefault="005A788C" w:rsidP="005A788C">
      <w:pPr>
        <w:pStyle w:val="subsection"/>
      </w:pPr>
      <w:r w:rsidRPr="00335B05">
        <w:tab/>
        <w:t>(1)</w:t>
      </w:r>
      <w:r w:rsidRPr="00335B05">
        <w:tab/>
        <w:t xml:space="preserve">This </w:t>
      </w:r>
      <w:r w:rsidR="00A64435" w:rsidRPr="00335B05">
        <w:t>section</w:t>
      </w:r>
      <w:r w:rsidRPr="00335B05">
        <w:t xml:space="preserve"> applies to an application under section</w:t>
      </w:r>
      <w:r w:rsidR="00335B05" w:rsidRPr="00335B05">
        <w:t> </w:t>
      </w:r>
      <w:r w:rsidRPr="00335B05">
        <w:t>37 of the Act for evidence of Australian citizenship if:</w:t>
      </w:r>
    </w:p>
    <w:p w:rsidR="005A788C" w:rsidRPr="00335B05" w:rsidRDefault="005A788C" w:rsidP="005A788C">
      <w:pPr>
        <w:pStyle w:val="paragraph"/>
      </w:pPr>
      <w:r w:rsidRPr="00335B05">
        <w:tab/>
        <w:t>(a)</w:t>
      </w:r>
      <w:r w:rsidRPr="00335B05">
        <w:tab/>
        <w:t>the application relates to the replacement of evidence of Australian citizenship that was lost, destroyed or damaged due to a natural disaster that is included on a list of natural disasters published by the Department on its website; and</w:t>
      </w:r>
    </w:p>
    <w:p w:rsidR="005A788C" w:rsidRPr="00335B05" w:rsidRDefault="005A788C" w:rsidP="005A788C">
      <w:pPr>
        <w:pStyle w:val="paragraph"/>
      </w:pPr>
      <w:r w:rsidRPr="00335B05">
        <w:tab/>
        <w:t>(b)</w:t>
      </w:r>
      <w:r w:rsidRPr="00335B05">
        <w:tab/>
        <w:t>the application is made within 18 months of the date specified for the natural disaster on the list.</w:t>
      </w:r>
    </w:p>
    <w:p w:rsidR="005A788C" w:rsidRPr="00335B05" w:rsidRDefault="005A788C" w:rsidP="005A788C">
      <w:pPr>
        <w:pStyle w:val="subsection"/>
      </w:pPr>
      <w:r w:rsidRPr="00335B05">
        <w:tab/>
        <w:t>(2)</w:t>
      </w:r>
      <w:r w:rsidRPr="00335B05">
        <w:tab/>
        <w:t xml:space="preserve">For </w:t>
      </w:r>
      <w:r w:rsidR="007B416F" w:rsidRPr="00335B05">
        <w:t xml:space="preserve">the purposes of </w:t>
      </w:r>
      <w:r w:rsidRPr="00335B05">
        <w:t>paragraph</w:t>
      </w:r>
      <w:r w:rsidR="00335B05" w:rsidRPr="00335B05">
        <w:t> </w:t>
      </w:r>
      <w:r w:rsidRPr="00335B05">
        <w:t>46(1)(c) of the Act, the application must be accompanied by the following:</w:t>
      </w:r>
    </w:p>
    <w:p w:rsidR="005A788C" w:rsidRPr="00335B05" w:rsidRDefault="005A788C" w:rsidP="005A788C">
      <w:pPr>
        <w:pStyle w:val="paragraph"/>
      </w:pPr>
      <w:r w:rsidRPr="00335B05">
        <w:tab/>
        <w:t>(a)</w:t>
      </w:r>
      <w:r w:rsidRPr="00335B05">
        <w:tab/>
        <w:t>a statutory declaration stating that the evidence of Australian citizenship has been lost, destroyed or damaged due to the natural disaster;</w:t>
      </w:r>
    </w:p>
    <w:p w:rsidR="005A788C" w:rsidRPr="00335B05" w:rsidRDefault="005A788C" w:rsidP="005A788C">
      <w:pPr>
        <w:pStyle w:val="paragraph"/>
      </w:pPr>
      <w:r w:rsidRPr="00335B05">
        <w:tab/>
        <w:t>(b)</w:t>
      </w:r>
      <w:r w:rsidRPr="00335B05">
        <w:tab/>
        <w:t>if the evidence of Australian citizenship is damaged—the damaged evidence of Australian citizenship.</w:t>
      </w:r>
    </w:p>
    <w:p w:rsidR="005A788C" w:rsidRPr="00335B05" w:rsidRDefault="005A788C" w:rsidP="005A788C">
      <w:pPr>
        <w:pStyle w:val="notetext"/>
      </w:pPr>
      <w:r w:rsidRPr="00335B05">
        <w:t>Note:</w:t>
      </w:r>
      <w:r w:rsidRPr="00335B05">
        <w:tab/>
        <w:t xml:space="preserve">No fee is payable for an application to which this </w:t>
      </w:r>
      <w:r w:rsidR="003C1273" w:rsidRPr="00335B05">
        <w:t>section</w:t>
      </w:r>
      <w:r w:rsidRPr="00335B05">
        <w:t xml:space="preserve"> applies (see Schedule</w:t>
      </w:r>
      <w:r w:rsidR="00335B05" w:rsidRPr="00335B05">
        <w:t> </w:t>
      </w:r>
      <w:r w:rsidRPr="00335B05">
        <w:t>3).</w:t>
      </w:r>
    </w:p>
    <w:p w:rsidR="005A788C" w:rsidRPr="00335B05" w:rsidRDefault="008D0E54" w:rsidP="005A788C">
      <w:pPr>
        <w:pStyle w:val="ActHead5"/>
      </w:pPr>
      <w:bookmarkStart w:id="20" w:name="_Toc465860542"/>
      <w:r w:rsidRPr="00335B05">
        <w:rPr>
          <w:rStyle w:val="CharSectno"/>
        </w:rPr>
        <w:t>16</w:t>
      </w:r>
      <w:r w:rsidR="005A788C" w:rsidRPr="00335B05">
        <w:t xml:space="preserve">  Fees to accompany applications</w:t>
      </w:r>
      <w:bookmarkEnd w:id="20"/>
    </w:p>
    <w:p w:rsidR="005A788C" w:rsidRPr="00335B05" w:rsidRDefault="005A788C" w:rsidP="005A788C">
      <w:pPr>
        <w:pStyle w:val="subsection"/>
      </w:pPr>
      <w:r w:rsidRPr="00335B05">
        <w:tab/>
        <w:t>(1)</w:t>
      </w:r>
      <w:r w:rsidRPr="00335B05">
        <w:tab/>
        <w:t xml:space="preserve">For </w:t>
      </w:r>
      <w:r w:rsidR="00637D28" w:rsidRPr="00335B05">
        <w:t xml:space="preserve">the purposes of </w:t>
      </w:r>
      <w:r w:rsidRPr="00335B05">
        <w:t>paragraph</w:t>
      </w:r>
      <w:r w:rsidR="00335B05" w:rsidRPr="00335B05">
        <w:t> </w:t>
      </w:r>
      <w:r w:rsidRPr="00335B05">
        <w:t>46(1)(d) of the Act, the fee to accompany an application under a provision of the Act is the sum of:</w:t>
      </w:r>
    </w:p>
    <w:p w:rsidR="005A788C" w:rsidRPr="00335B05" w:rsidRDefault="005A788C" w:rsidP="005A788C">
      <w:pPr>
        <w:pStyle w:val="paragraph"/>
      </w:pPr>
      <w:r w:rsidRPr="00335B05">
        <w:tab/>
        <w:t>(a)</w:t>
      </w:r>
      <w:r w:rsidRPr="00335B05">
        <w:tab/>
        <w:t xml:space="preserve">the amount (the </w:t>
      </w:r>
      <w:r w:rsidRPr="00335B05">
        <w:rPr>
          <w:b/>
          <w:i/>
        </w:rPr>
        <w:t>Schedule</w:t>
      </w:r>
      <w:r w:rsidR="00335B05" w:rsidRPr="00335B05">
        <w:rPr>
          <w:b/>
          <w:i/>
        </w:rPr>
        <w:t> </w:t>
      </w:r>
      <w:r w:rsidRPr="00335B05">
        <w:rPr>
          <w:b/>
          <w:i/>
        </w:rPr>
        <w:t>3 amount</w:t>
      </w:r>
      <w:r w:rsidRPr="00335B05">
        <w:t>) set out in Schedule</w:t>
      </w:r>
      <w:r w:rsidR="00335B05" w:rsidRPr="00335B05">
        <w:t> </w:t>
      </w:r>
      <w:r w:rsidRPr="00335B05">
        <w:t>3 for the application; and</w:t>
      </w:r>
    </w:p>
    <w:p w:rsidR="005A788C" w:rsidRPr="00335B05" w:rsidRDefault="005A788C" w:rsidP="005A788C">
      <w:pPr>
        <w:pStyle w:val="paragraph"/>
      </w:pPr>
      <w:r w:rsidRPr="00335B05">
        <w:tab/>
        <w:t>(b)</w:t>
      </w:r>
      <w:r w:rsidRPr="00335B05">
        <w:tab/>
        <w:t>if the Schedule</w:t>
      </w:r>
      <w:r w:rsidR="00335B05" w:rsidRPr="00335B05">
        <w:t> </w:t>
      </w:r>
      <w:r w:rsidRPr="00335B05">
        <w:t>3 amount, or part of the Schedule</w:t>
      </w:r>
      <w:r w:rsidR="00335B05" w:rsidRPr="00335B05">
        <w:t> </w:t>
      </w:r>
      <w:r w:rsidRPr="00335B05">
        <w:t xml:space="preserve">3 amount, is paid by credit card (other than a payment made in New Zealand currency or Singaporean currency)—the following amount (the </w:t>
      </w:r>
      <w:r w:rsidRPr="00335B05">
        <w:rPr>
          <w:b/>
          <w:i/>
        </w:rPr>
        <w:t>credit card surcharge</w:t>
      </w:r>
      <w:r w:rsidRPr="00335B05">
        <w:t>):</w:t>
      </w:r>
    </w:p>
    <w:p w:rsidR="005A788C" w:rsidRPr="00335B05" w:rsidRDefault="005A788C" w:rsidP="005A788C">
      <w:pPr>
        <w:pStyle w:val="paragraphsub"/>
      </w:pPr>
      <w:r w:rsidRPr="00335B05">
        <w:tab/>
        <w:t>(</w:t>
      </w:r>
      <w:proofErr w:type="spellStart"/>
      <w:r w:rsidRPr="00335B05">
        <w:t>i</w:t>
      </w:r>
      <w:proofErr w:type="spellEnd"/>
      <w:r w:rsidRPr="00335B05">
        <w:t>)</w:t>
      </w:r>
      <w:r w:rsidRPr="00335B05">
        <w:tab/>
        <w:t>for payment by Visa or MasterCard credit card—</w:t>
      </w:r>
      <w:r w:rsidR="009A006E" w:rsidRPr="00335B05">
        <w:t>0</w:t>
      </w:r>
      <w:r w:rsidRPr="00335B05">
        <w:t>.</w:t>
      </w:r>
      <w:r w:rsidR="009A006E" w:rsidRPr="00335B05">
        <w:t>9</w:t>
      </w:r>
      <w:r w:rsidRPr="00335B05">
        <w:t>8% of the Schedule</w:t>
      </w:r>
      <w:r w:rsidR="00335B05" w:rsidRPr="00335B05">
        <w:t> </w:t>
      </w:r>
      <w:r w:rsidRPr="00335B05">
        <w:t>3 amount paid by credit card;</w:t>
      </w:r>
    </w:p>
    <w:p w:rsidR="005A788C" w:rsidRPr="00335B05" w:rsidRDefault="005A788C" w:rsidP="005A788C">
      <w:pPr>
        <w:pStyle w:val="paragraphsub"/>
      </w:pPr>
      <w:r w:rsidRPr="00335B05">
        <w:tab/>
        <w:t>(ii)</w:t>
      </w:r>
      <w:r w:rsidRPr="00335B05">
        <w:tab/>
        <w:t>for payment by American Express or Japan Credit Bureau (</w:t>
      </w:r>
      <w:proofErr w:type="spellStart"/>
      <w:r w:rsidRPr="00335B05">
        <w:t>JCB</w:t>
      </w:r>
      <w:proofErr w:type="spellEnd"/>
      <w:r w:rsidRPr="00335B05">
        <w:t>) credit card—1.</w:t>
      </w:r>
      <w:r w:rsidR="009A006E" w:rsidRPr="00335B05">
        <w:t>4</w:t>
      </w:r>
      <w:r w:rsidRPr="00335B05">
        <w:t>% of the Schedule</w:t>
      </w:r>
      <w:r w:rsidR="00335B05" w:rsidRPr="00335B05">
        <w:t> </w:t>
      </w:r>
      <w:r w:rsidRPr="00335B05">
        <w:t>3 amount paid by credit card;</w:t>
      </w:r>
    </w:p>
    <w:p w:rsidR="005A788C" w:rsidRPr="00335B05" w:rsidRDefault="005A788C" w:rsidP="005A788C">
      <w:pPr>
        <w:pStyle w:val="paragraphsub"/>
      </w:pPr>
      <w:r w:rsidRPr="00335B05">
        <w:tab/>
        <w:t>(iii)</w:t>
      </w:r>
      <w:r w:rsidRPr="00335B05">
        <w:tab/>
        <w:t>for payment by Diners Club International credit card—</w:t>
      </w:r>
      <w:r w:rsidR="009A006E" w:rsidRPr="00335B05">
        <w:t>1</w:t>
      </w:r>
      <w:r w:rsidRPr="00335B05">
        <w:t>.9</w:t>
      </w:r>
      <w:r w:rsidR="009A006E" w:rsidRPr="00335B05">
        <w:t>9</w:t>
      </w:r>
      <w:r w:rsidRPr="00335B05">
        <w:t>% of the Schedule</w:t>
      </w:r>
      <w:r w:rsidR="00335B05" w:rsidRPr="00335B05">
        <w:t> </w:t>
      </w:r>
      <w:r w:rsidRPr="00335B05">
        <w:t>3 amount paid by credit card</w:t>
      </w:r>
      <w:r w:rsidR="009A006E" w:rsidRPr="00335B05">
        <w:t>; and</w:t>
      </w:r>
    </w:p>
    <w:p w:rsidR="009A006E" w:rsidRPr="00335B05" w:rsidRDefault="009A006E" w:rsidP="009A006E">
      <w:pPr>
        <w:pStyle w:val="paragraph"/>
      </w:pPr>
      <w:r w:rsidRPr="00335B05">
        <w:tab/>
        <w:t>(c)</w:t>
      </w:r>
      <w:r w:rsidRPr="00335B05">
        <w:tab/>
        <w:t>if the Schedule</w:t>
      </w:r>
      <w:r w:rsidR="00335B05" w:rsidRPr="00335B05">
        <w:t> </w:t>
      </w:r>
      <w:r w:rsidRPr="00335B05">
        <w:t>3 amount, or part of the Schedule</w:t>
      </w:r>
      <w:r w:rsidR="00335B05" w:rsidRPr="00335B05">
        <w:t> </w:t>
      </w:r>
      <w:r w:rsidRPr="00335B05">
        <w:t xml:space="preserve">3 amount, is paid by the PayPal system (other than a payment made in New Zealand currency or Singaporean currency)—the amount (the </w:t>
      </w:r>
      <w:r w:rsidRPr="00335B05">
        <w:rPr>
          <w:b/>
          <w:i/>
        </w:rPr>
        <w:t>PayPal surcharge</w:t>
      </w:r>
      <w:r w:rsidRPr="00335B05">
        <w:t>) of 1% of so much of the Schedule</w:t>
      </w:r>
      <w:r w:rsidR="00335B05" w:rsidRPr="00335B05">
        <w:t> </w:t>
      </w:r>
      <w:r w:rsidRPr="00335B05">
        <w:t>3 amount as is paid by the PayPal system.</w:t>
      </w:r>
    </w:p>
    <w:p w:rsidR="005A788C" w:rsidRPr="00335B05" w:rsidRDefault="005A788C" w:rsidP="005A788C">
      <w:pPr>
        <w:pStyle w:val="subsection"/>
      </w:pPr>
      <w:r w:rsidRPr="00335B05">
        <w:lastRenderedPageBreak/>
        <w:tab/>
        <w:t>(2)</w:t>
      </w:r>
      <w:r w:rsidRPr="00335B05">
        <w:tab/>
        <w:t xml:space="preserve">Payment of the fee to accompany the application must be made in a place, being Australia or a foreign country, that is </w:t>
      </w:r>
      <w:r w:rsidR="00643390" w:rsidRPr="00335B05">
        <w:t>specified</w:t>
      </w:r>
      <w:r w:rsidRPr="00335B05">
        <w:t xml:space="preserve"> in the places and currencies instrument.</w:t>
      </w:r>
    </w:p>
    <w:p w:rsidR="005A788C" w:rsidRPr="00335B05" w:rsidRDefault="005A788C" w:rsidP="005A788C">
      <w:pPr>
        <w:pStyle w:val="notetext"/>
      </w:pPr>
      <w:r w:rsidRPr="00335B05">
        <w:t>Note:</w:t>
      </w:r>
      <w:r w:rsidRPr="00335B05">
        <w:tab/>
      </w:r>
      <w:r w:rsidRPr="00335B05">
        <w:rPr>
          <w:b/>
          <w:i/>
        </w:rPr>
        <w:t>Foreign country</w:t>
      </w:r>
      <w:r w:rsidRPr="00335B05">
        <w:t xml:space="preserve"> is defined in section</w:t>
      </w:r>
      <w:r w:rsidR="00335B05" w:rsidRPr="00335B05">
        <w:t> </w:t>
      </w:r>
      <w:r w:rsidRPr="00335B05">
        <w:t xml:space="preserve">2B of the </w:t>
      </w:r>
      <w:r w:rsidRPr="00335B05">
        <w:rPr>
          <w:i/>
        </w:rPr>
        <w:t>Acts Interpretation Act 1901</w:t>
      </w:r>
      <w:r w:rsidRPr="00335B05">
        <w:t xml:space="preserve"> as any country (whether or not an independent sovereign state) outside Australia and the external Territories.</w:t>
      </w:r>
    </w:p>
    <w:p w:rsidR="005A788C" w:rsidRPr="00335B05" w:rsidRDefault="005A788C" w:rsidP="005A788C">
      <w:pPr>
        <w:pStyle w:val="subsection"/>
      </w:pPr>
      <w:r w:rsidRPr="00335B05">
        <w:tab/>
        <w:t>(3)</w:t>
      </w:r>
      <w:r w:rsidRPr="00335B05">
        <w:tab/>
        <w:t xml:space="preserve">The payment must also be made in a currency </w:t>
      </w:r>
      <w:r w:rsidR="00643390" w:rsidRPr="00335B05">
        <w:t>that is specified</w:t>
      </w:r>
      <w:r w:rsidRPr="00335B05">
        <w:t xml:space="preserve"> in the places and currencies instrument as a currency in which a fee may be paid in that place.</w:t>
      </w:r>
    </w:p>
    <w:p w:rsidR="00643390" w:rsidRPr="00335B05" w:rsidRDefault="005A788C" w:rsidP="005A788C">
      <w:pPr>
        <w:pStyle w:val="subsection"/>
      </w:pPr>
      <w:r w:rsidRPr="00335B05">
        <w:tab/>
        <w:t>(4)</w:t>
      </w:r>
      <w:r w:rsidRPr="00335B05">
        <w:tab/>
      </w:r>
      <w:r w:rsidR="00643390" w:rsidRPr="00335B05">
        <w:t>If the currency in which the payment is to be made is specified in the conversion instrument, the amount of the payment is to be worked out using the exchange rate for the currency specified in the instrument.</w:t>
      </w:r>
    </w:p>
    <w:p w:rsidR="00643390" w:rsidRPr="00335B05" w:rsidRDefault="00643390" w:rsidP="00643390">
      <w:pPr>
        <w:pStyle w:val="subsection"/>
      </w:pPr>
      <w:r w:rsidRPr="00335B05">
        <w:tab/>
        <w:t>(5)</w:t>
      </w:r>
      <w:r w:rsidRPr="00335B05">
        <w:tab/>
        <w:t>If the currency in which the payment is to be made is not specified in the conversion instrument, the amount of the payment is to be worked out using the formula:</w:t>
      </w:r>
    </w:p>
    <w:bookmarkStart w:id="21" w:name="BKCheck15B_3"/>
    <w:bookmarkEnd w:id="21"/>
    <w:p w:rsidR="004717B4" w:rsidRPr="00335B05" w:rsidRDefault="004717B4" w:rsidP="00CC5096">
      <w:pPr>
        <w:pStyle w:val="subsection2"/>
      </w:pPr>
      <w:r w:rsidRPr="00335B05">
        <w:object w:dxaOrig="18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21.05pt" o:ole="">
            <v:imagedata r:id="rId21" o:title=""/>
          </v:shape>
          <o:OLEObject Type="Embed" ProgID="Equation.DSMT4" ShapeID="_x0000_i1025" DrawAspect="Content" ObjectID="_1542520739" r:id="rId22"/>
        </w:object>
      </w:r>
    </w:p>
    <w:p w:rsidR="005A788C" w:rsidRPr="00335B05" w:rsidRDefault="005A788C" w:rsidP="005A788C">
      <w:pPr>
        <w:pStyle w:val="subsection2"/>
      </w:pPr>
      <w:r w:rsidRPr="00335B05">
        <w:t>where:</w:t>
      </w:r>
    </w:p>
    <w:p w:rsidR="005A788C" w:rsidRPr="00335B05" w:rsidRDefault="005A788C" w:rsidP="005A788C">
      <w:pPr>
        <w:pStyle w:val="Definition"/>
      </w:pPr>
      <w:r w:rsidRPr="00335B05">
        <w:rPr>
          <w:b/>
          <w:i/>
        </w:rPr>
        <w:t xml:space="preserve">AUD </w:t>
      </w:r>
      <w:r w:rsidRPr="00335B05">
        <w:t>means the amount of the fee in Australian dollars.</w:t>
      </w:r>
    </w:p>
    <w:p w:rsidR="005A788C" w:rsidRPr="00335B05" w:rsidRDefault="005A788C" w:rsidP="005A788C">
      <w:pPr>
        <w:pStyle w:val="Definition"/>
      </w:pPr>
      <w:r w:rsidRPr="00335B05">
        <w:rPr>
          <w:b/>
          <w:i/>
        </w:rPr>
        <w:t xml:space="preserve">CER </w:t>
      </w:r>
      <w:r w:rsidRPr="00335B05">
        <w:t>means the highest exchange rate that is lawfully obtainable on a commercial basis for the purchase in the foreign country of Australian currency with the currency of the foreign country in a period that:</w:t>
      </w:r>
    </w:p>
    <w:p w:rsidR="005A788C" w:rsidRPr="00335B05" w:rsidRDefault="005A788C" w:rsidP="005A788C">
      <w:pPr>
        <w:pStyle w:val="paragraph"/>
      </w:pPr>
      <w:r w:rsidRPr="00335B05">
        <w:tab/>
        <w:t>(a)</w:t>
      </w:r>
      <w:r w:rsidRPr="00335B05">
        <w:tab/>
        <w:t>begins:</w:t>
      </w:r>
    </w:p>
    <w:p w:rsidR="005A788C" w:rsidRPr="00335B05" w:rsidRDefault="005A788C" w:rsidP="005A788C">
      <w:pPr>
        <w:pStyle w:val="paragraphsub"/>
      </w:pPr>
      <w:r w:rsidRPr="00335B05">
        <w:tab/>
        <w:t>(i)</w:t>
      </w:r>
      <w:r w:rsidRPr="00335B05">
        <w:tab/>
        <w:t>on the day when this sub</w:t>
      </w:r>
      <w:r w:rsidR="003C1273" w:rsidRPr="00335B05">
        <w:t>section</w:t>
      </w:r>
      <w:r w:rsidR="00F65F7A" w:rsidRPr="00335B05">
        <w:t xml:space="preserve"> </w:t>
      </w:r>
      <w:r w:rsidRPr="00335B05">
        <w:t>commences; or</w:t>
      </w:r>
    </w:p>
    <w:p w:rsidR="005E22C4" w:rsidRPr="00335B05" w:rsidRDefault="005E22C4" w:rsidP="005E22C4">
      <w:pPr>
        <w:pStyle w:val="paragraphsub"/>
      </w:pPr>
      <w:r w:rsidRPr="00335B05">
        <w:tab/>
        <w:t>(ii)</w:t>
      </w:r>
      <w:r w:rsidRPr="00335B05">
        <w:tab/>
        <w:t>on the first subsequent day on which the rate has increased or decreased by at least 5% since the beginning of the period; and</w:t>
      </w:r>
    </w:p>
    <w:p w:rsidR="005A788C" w:rsidRPr="00335B05" w:rsidRDefault="005A788C" w:rsidP="005A788C">
      <w:pPr>
        <w:pStyle w:val="paragraph"/>
      </w:pPr>
      <w:r w:rsidRPr="00335B05">
        <w:tab/>
        <w:t>(b)</w:t>
      </w:r>
      <w:r w:rsidRPr="00335B05">
        <w:tab/>
        <w:t>ends at the end of each day before another period begins.</w:t>
      </w:r>
    </w:p>
    <w:p w:rsidR="005A788C" w:rsidRPr="00335B05" w:rsidRDefault="005A788C" w:rsidP="005A788C">
      <w:pPr>
        <w:pStyle w:val="subsection"/>
      </w:pPr>
      <w:r w:rsidRPr="00335B05">
        <w:tab/>
        <w:t>(6)</w:t>
      </w:r>
      <w:r w:rsidRPr="00335B05">
        <w:tab/>
        <w:t xml:space="preserve">If the amount worked out by the formula cannot be paid wholly in banknotes of </w:t>
      </w:r>
      <w:r w:rsidR="009D4E8A" w:rsidRPr="00335B05">
        <w:t>the</w:t>
      </w:r>
      <w:r w:rsidRPr="00335B05">
        <w:t xml:space="preserve"> country, the corresponding amount is the amount rounded up to the nearest larger amount that is payable wholly in banknotes of the country.</w:t>
      </w:r>
    </w:p>
    <w:p w:rsidR="005A788C" w:rsidRPr="00335B05" w:rsidRDefault="005A788C" w:rsidP="005A788C">
      <w:pPr>
        <w:pStyle w:val="subsection"/>
      </w:pPr>
      <w:r w:rsidRPr="00335B05">
        <w:tab/>
        <w:t>(7)</w:t>
      </w:r>
      <w:r w:rsidRPr="00335B05">
        <w:tab/>
        <w:t xml:space="preserve">In this </w:t>
      </w:r>
      <w:r w:rsidR="003C1273" w:rsidRPr="00335B05">
        <w:t>section</w:t>
      </w:r>
      <w:r w:rsidRPr="00335B05">
        <w:t>:</w:t>
      </w:r>
    </w:p>
    <w:p w:rsidR="005A788C" w:rsidRPr="00335B05" w:rsidRDefault="005A788C" w:rsidP="005A788C">
      <w:pPr>
        <w:pStyle w:val="Definition"/>
      </w:pPr>
      <w:r w:rsidRPr="00335B05">
        <w:rPr>
          <w:b/>
          <w:i/>
        </w:rPr>
        <w:t>conversion instrument</w:t>
      </w:r>
      <w:r w:rsidRPr="00335B05">
        <w:t xml:space="preserve"> means the </w:t>
      </w:r>
      <w:r w:rsidRPr="00335B05">
        <w:rPr>
          <w:i/>
        </w:rPr>
        <w:t xml:space="preserve">Payment of Visa Application Charges and Fees in Foreign Currencies </w:t>
      </w:r>
      <w:r w:rsidRPr="00335B05">
        <w:t>(IMMI 1</w:t>
      </w:r>
      <w:r w:rsidR="002B3E81" w:rsidRPr="00335B05">
        <w:t>7</w:t>
      </w:r>
      <w:r w:rsidRPr="00335B05">
        <w:t>/0</w:t>
      </w:r>
      <w:r w:rsidR="002B3E81" w:rsidRPr="00335B05">
        <w:t>01</w:t>
      </w:r>
      <w:r w:rsidRPr="00335B05">
        <w:t xml:space="preserve">) </w:t>
      </w:r>
      <w:r w:rsidR="00461B3D" w:rsidRPr="00335B05">
        <w:t>made for the purposes of paragraph</w:t>
      </w:r>
      <w:r w:rsidR="00335B05" w:rsidRPr="00335B05">
        <w:t> </w:t>
      </w:r>
      <w:r w:rsidR="00461B3D" w:rsidRPr="00335B05">
        <w:t xml:space="preserve">5.36(1A)(a) of the </w:t>
      </w:r>
      <w:r w:rsidR="00461B3D" w:rsidRPr="00335B05">
        <w:rPr>
          <w:i/>
        </w:rPr>
        <w:t>Migration Regulations</w:t>
      </w:r>
      <w:r w:rsidR="00335B05" w:rsidRPr="00335B05">
        <w:rPr>
          <w:i/>
        </w:rPr>
        <w:t> </w:t>
      </w:r>
      <w:r w:rsidR="00461B3D" w:rsidRPr="00335B05">
        <w:rPr>
          <w:i/>
        </w:rPr>
        <w:t>1994</w:t>
      </w:r>
      <w:r w:rsidR="00033F6D" w:rsidRPr="00335B05">
        <w:t xml:space="preserve"> </w:t>
      </w:r>
      <w:r w:rsidR="00036789" w:rsidRPr="00335B05">
        <w:t xml:space="preserve">and </w:t>
      </w:r>
      <w:r w:rsidR="00033F6D" w:rsidRPr="00335B05">
        <w:t>as in force on 1</w:t>
      </w:r>
      <w:r w:rsidR="00335B05" w:rsidRPr="00335B05">
        <w:t> </w:t>
      </w:r>
      <w:r w:rsidR="00033F6D" w:rsidRPr="00335B05">
        <w:t>January 2017</w:t>
      </w:r>
      <w:r w:rsidRPr="00335B05">
        <w:t>.</w:t>
      </w:r>
    </w:p>
    <w:p w:rsidR="005A788C" w:rsidRPr="00335B05" w:rsidRDefault="005A788C" w:rsidP="005A788C">
      <w:pPr>
        <w:pStyle w:val="Definition"/>
      </w:pPr>
      <w:r w:rsidRPr="00335B05">
        <w:rPr>
          <w:b/>
          <w:i/>
        </w:rPr>
        <w:t>places and currencies instrument</w:t>
      </w:r>
      <w:r w:rsidRPr="00335B05">
        <w:t xml:space="preserve"> means the </w:t>
      </w:r>
      <w:r w:rsidRPr="00335B05">
        <w:rPr>
          <w:i/>
        </w:rPr>
        <w:t xml:space="preserve">Places and Currencies for Paying of Fees </w:t>
      </w:r>
      <w:r w:rsidRPr="00335B05">
        <w:t xml:space="preserve">(IMMI </w:t>
      </w:r>
      <w:r w:rsidR="002B3E81" w:rsidRPr="00335B05">
        <w:t>17</w:t>
      </w:r>
      <w:r w:rsidRPr="00335B05">
        <w:t>/0</w:t>
      </w:r>
      <w:r w:rsidR="002B3E81" w:rsidRPr="00335B05">
        <w:t>02</w:t>
      </w:r>
      <w:r w:rsidRPr="00335B05">
        <w:t xml:space="preserve">) </w:t>
      </w:r>
      <w:r w:rsidR="00033F6D" w:rsidRPr="00335B05">
        <w:t xml:space="preserve">made for the purposes of paragraphs 5.36(1)(a) and (b) of the </w:t>
      </w:r>
      <w:r w:rsidR="00033F6D" w:rsidRPr="00335B05">
        <w:rPr>
          <w:i/>
        </w:rPr>
        <w:t>Migration Regulations</w:t>
      </w:r>
      <w:r w:rsidR="00335B05" w:rsidRPr="00335B05">
        <w:rPr>
          <w:i/>
        </w:rPr>
        <w:t> </w:t>
      </w:r>
      <w:r w:rsidR="00033F6D" w:rsidRPr="00335B05">
        <w:rPr>
          <w:i/>
        </w:rPr>
        <w:t>1994</w:t>
      </w:r>
      <w:r w:rsidR="00033F6D" w:rsidRPr="00335B05">
        <w:t xml:space="preserve"> </w:t>
      </w:r>
      <w:r w:rsidR="00036789" w:rsidRPr="00335B05">
        <w:t xml:space="preserve">and </w:t>
      </w:r>
      <w:r w:rsidR="00033F6D" w:rsidRPr="00335B05">
        <w:t>as in force on 1</w:t>
      </w:r>
      <w:r w:rsidR="00335B05" w:rsidRPr="00335B05">
        <w:t> </w:t>
      </w:r>
      <w:r w:rsidR="00033F6D" w:rsidRPr="00335B05">
        <w:t>January 2017.</w:t>
      </w:r>
    </w:p>
    <w:p w:rsidR="005A788C" w:rsidRPr="00335B05" w:rsidRDefault="008D0E54" w:rsidP="005A788C">
      <w:pPr>
        <w:pStyle w:val="ActHead5"/>
      </w:pPr>
      <w:bookmarkStart w:id="22" w:name="_Toc465860543"/>
      <w:r w:rsidRPr="00335B05">
        <w:rPr>
          <w:rStyle w:val="CharSectno"/>
        </w:rPr>
        <w:t>17</w:t>
      </w:r>
      <w:r w:rsidR="005A788C" w:rsidRPr="00335B05">
        <w:t xml:space="preserve">  Refund of fees under subsection</w:t>
      </w:r>
      <w:r w:rsidR="00335B05" w:rsidRPr="00335B05">
        <w:t> </w:t>
      </w:r>
      <w:r w:rsidR="005A788C" w:rsidRPr="00335B05">
        <w:t>46(3) of the Act</w:t>
      </w:r>
      <w:bookmarkEnd w:id="22"/>
    </w:p>
    <w:p w:rsidR="005A788C" w:rsidRPr="00335B05" w:rsidRDefault="005A788C" w:rsidP="005A788C">
      <w:pPr>
        <w:pStyle w:val="subsection"/>
      </w:pPr>
      <w:r w:rsidRPr="00335B05">
        <w:tab/>
        <w:t>(1)</w:t>
      </w:r>
      <w:r w:rsidRPr="00335B05">
        <w:tab/>
        <w:t xml:space="preserve">The Minister may refund the whole or part of a fee that </w:t>
      </w:r>
      <w:r w:rsidR="001A2418" w:rsidRPr="00335B05">
        <w:t>has been paid</w:t>
      </w:r>
      <w:r w:rsidRPr="00335B05">
        <w:t xml:space="preserve"> under section</w:t>
      </w:r>
      <w:r w:rsidR="00335B05" w:rsidRPr="00335B05">
        <w:t> </w:t>
      </w:r>
      <w:r w:rsidRPr="00335B05">
        <w:t>46 of the Act in relation to an application made under section</w:t>
      </w:r>
      <w:r w:rsidR="00335B05" w:rsidRPr="00335B05">
        <w:t> </w:t>
      </w:r>
      <w:r w:rsidRPr="00335B05">
        <w:t>16, 19C, 21 or 29 of the Act in any of the following circumstances:</w:t>
      </w:r>
    </w:p>
    <w:p w:rsidR="005A788C" w:rsidRPr="00335B05" w:rsidRDefault="005A788C" w:rsidP="005A788C">
      <w:pPr>
        <w:pStyle w:val="paragraph"/>
      </w:pPr>
      <w:r w:rsidRPr="00335B05">
        <w:lastRenderedPageBreak/>
        <w:tab/>
        <w:t>(a)</w:t>
      </w:r>
      <w:r w:rsidRPr="00335B05">
        <w:tab/>
        <w:t>a person has previously made an application under the same section and a decision on that</w:t>
      </w:r>
      <w:r w:rsidR="001A2418" w:rsidRPr="00335B05">
        <w:t xml:space="preserve"> application has not been made;</w:t>
      </w:r>
    </w:p>
    <w:p w:rsidR="005A788C" w:rsidRPr="00335B05" w:rsidRDefault="005A788C" w:rsidP="005A788C">
      <w:pPr>
        <w:pStyle w:val="paragraph"/>
      </w:pPr>
      <w:r w:rsidRPr="00335B05">
        <w:tab/>
        <w:t>(b)</w:t>
      </w:r>
      <w:r w:rsidRPr="00335B05">
        <w:tab/>
        <w:t xml:space="preserve">a person has made an application as a result of incorrect </w:t>
      </w:r>
      <w:r w:rsidR="001A2418" w:rsidRPr="00335B05">
        <w:t>advice given by the Department;</w:t>
      </w:r>
    </w:p>
    <w:p w:rsidR="005A788C" w:rsidRPr="00335B05" w:rsidRDefault="005A788C" w:rsidP="005A788C">
      <w:pPr>
        <w:pStyle w:val="paragraph"/>
      </w:pPr>
      <w:r w:rsidRPr="00335B05">
        <w:tab/>
        <w:t>(c)</w:t>
      </w:r>
      <w:r w:rsidRPr="00335B05">
        <w:tab/>
        <w:t>a person is an Australian citize</w:t>
      </w:r>
      <w:r w:rsidR="001A2418" w:rsidRPr="00335B05">
        <w:t>n;</w:t>
      </w:r>
    </w:p>
    <w:p w:rsidR="005A788C" w:rsidRPr="00335B05" w:rsidRDefault="005A788C" w:rsidP="005A788C">
      <w:pPr>
        <w:pStyle w:val="paragraph"/>
      </w:pPr>
      <w:r w:rsidRPr="00335B05">
        <w:tab/>
        <w:t>(d)</w:t>
      </w:r>
      <w:r w:rsidRPr="00335B05">
        <w:tab/>
        <w:t>a person has paid an incorrect fee.</w:t>
      </w:r>
    </w:p>
    <w:p w:rsidR="005A788C" w:rsidRPr="00335B05" w:rsidRDefault="005A788C" w:rsidP="005A788C">
      <w:pPr>
        <w:pStyle w:val="subsection"/>
      </w:pPr>
      <w:r w:rsidRPr="00335B05">
        <w:tab/>
        <w:t>(2)</w:t>
      </w:r>
      <w:r w:rsidRPr="00335B05">
        <w:tab/>
        <w:t xml:space="preserve">The Minister may refund the whole or part of a fee </w:t>
      </w:r>
      <w:r w:rsidR="003C1273" w:rsidRPr="00335B05">
        <w:t>that has been paid</w:t>
      </w:r>
      <w:r w:rsidRPr="00335B05">
        <w:t xml:space="preserve"> under section</w:t>
      </w:r>
      <w:r w:rsidR="00335B05" w:rsidRPr="00335B05">
        <w:t> </w:t>
      </w:r>
      <w:r w:rsidRPr="00335B05">
        <w:t>46 of the Act in relation to an application made under section</w:t>
      </w:r>
      <w:r w:rsidR="00335B05" w:rsidRPr="00335B05">
        <w:t> </w:t>
      </w:r>
      <w:r w:rsidRPr="00335B05">
        <w:t xml:space="preserve">33 of the Act in either </w:t>
      </w:r>
      <w:r w:rsidR="001A2418" w:rsidRPr="00335B05">
        <w:t>of the following circumstances:</w:t>
      </w:r>
    </w:p>
    <w:p w:rsidR="005A788C" w:rsidRPr="00335B05" w:rsidRDefault="005A788C" w:rsidP="005A788C">
      <w:pPr>
        <w:pStyle w:val="paragraph"/>
      </w:pPr>
      <w:r w:rsidRPr="00335B05">
        <w:tab/>
        <w:t>(a)</w:t>
      </w:r>
      <w:r w:rsidRPr="00335B05">
        <w:tab/>
        <w:t>a person has previously made an application under the same section and a decision on that</w:t>
      </w:r>
      <w:r w:rsidR="001A2418" w:rsidRPr="00335B05">
        <w:t xml:space="preserve"> application has not been made;</w:t>
      </w:r>
    </w:p>
    <w:p w:rsidR="005A788C" w:rsidRPr="00335B05" w:rsidRDefault="005A788C" w:rsidP="005A788C">
      <w:pPr>
        <w:pStyle w:val="paragraph"/>
      </w:pPr>
      <w:r w:rsidRPr="00335B05">
        <w:tab/>
        <w:t>(b)</w:t>
      </w:r>
      <w:r w:rsidRPr="00335B05">
        <w:tab/>
        <w:t>a person has made an application as a result of incorrect advice given by the Department.</w:t>
      </w:r>
    </w:p>
    <w:p w:rsidR="005A788C" w:rsidRPr="00335B05" w:rsidRDefault="005A788C" w:rsidP="005A788C">
      <w:pPr>
        <w:pStyle w:val="subsection"/>
      </w:pPr>
      <w:r w:rsidRPr="00335B05">
        <w:tab/>
        <w:t>(3)</w:t>
      </w:r>
      <w:r w:rsidRPr="00335B05">
        <w:tab/>
        <w:t xml:space="preserve">The Minister may refund the whole or part of a fee </w:t>
      </w:r>
      <w:r w:rsidR="00657BDB" w:rsidRPr="00335B05">
        <w:t>that has been paid</w:t>
      </w:r>
      <w:r w:rsidRPr="00335B05">
        <w:t xml:space="preserve"> under section</w:t>
      </w:r>
      <w:r w:rsidR="00335B05" w:rsidRPr="00335B05">
        <w:t> </w:t>
      </w:r>
      <w:r w:rsidRPr="00335B05">
        <w:t>46 of the Act in relation to an application made under section</w:t>
      </w:r>
      <w:r w:rsidR="00335B05" w:rsidRPr="00335B05">
        <w:t> </w:t>
      </w:r>
      <w:r w:rsidRPr="00335B05">
        <w:t xml:space="preserve">37 of the Act in any </w:t>
      </w:r>
      <w:r w:rsidR="001A2418" w:rsidRPr="00335B05">
        <w:t>of the following circumstances:</w:t>
      </w:r>
    </w:p>
    <w:p w:rsidR="005A788C" w:rsidRPr="00335B05" w:rsidRDefault="005A788C" w:rsidP="005A788C">
      <w:pPr>
        <w:pStyle w:val="paragraph"/>
      </w:pPr>
      <w:r w:rsidRPr="00335B05">
        <w:tab/>
        <w:t>(a)</w:t>
      </w:r>
      <w:r w:rsidRPr="00335B05">
        <w:tab/>
        <w:t>a person has previously made an application under the same section and a decision on that application h</w:t>
      </w:r>
      <w:r w:rsidR="001A2418" w:rsidRPr="00335B05">
        <w:t>as not been made;</w:t>
      </w:r>
    </w:p>
    <w:p w:rsidR="005A788C" w:rsidRPr="00335B05" w:rsidRDefault="005A788C" w:rsidP="005A788C">
      <w:pPr>
        <w:pStyle w:val="paragraph"/>
      </w:pPr>
      <w:r w:rsidRPr="00335B05">
        <w:tab/>
        <w:t>(b)</w:t>
      </w:r>
      <w:r w:rsidRPr="00335B05">
        <w:tab/>
        <w:t xml:space="preserve">a person has made an application as a result of incorrect </w:t>
      </w:r>
      <w:r w:rsidR="001A2418" w:rsidRPr="00335B05">
        <w:t>advice given by the Department;</w:t>
      </w:r>
    </w:p>
    <w:p w:rsidR="005A788C" w:rsidRPr="00335B05" w:rsidRDefault="005A788C" w:rsidP="005A788C">
      <w:pPr>
        <w:pStyle w:val="paragraph"/>
      </w:pPr>
      <w:r w:rsidRPr="00335B05">
        <w:tab/>
        <w:t>(c)</w:t>
      </w:r>
      <w:r w:rsidRPr="00335B05">
        <w:tab/>
        <w:t xml:space="preserve">a person has already been given evidence of his or her Australian </w:t>
      </w:r>
      <w:r w:rsidR="003C1273" w:rsidRPr="00335B05">
        <w:t>c</w:t>
      </w:r>
      <w:r w:rsidRPr="00335B05">
        <w:t xml:space="preserve">itizenship, but a </w:t>
      </w:r>
      <w:r w:rsidR="003C1273" w:rsidRPr="00335B05">
        <w:t>D</w:t>
      </w:r>
      <w:r w:rsidRPr="00335B05">
        <w:t>epartmental error was made which resulted in an error in the inform</w:t>
      </w:r>
      <w:r w:rsidR="001A2418" w:rsidRPr="00335B05">
        <w:t>ation provided in the evidence.</w:t>
      </w:r>
    </w:p>
    <w:p w:rsidR="005A788C" w:rsidRPr="00335B05" w:rsidRDefault="005A788C" w:rsidP="005A788C">
      <w:pPr>
        <w:pStyle w:val="subsection"/>
      </w:pPr>
      <w:r w:rsidRPr="00335B05">
        <w:rPr>
          <w:color w:val="000000"/>
        </w:rPr>
        <w:tab/>
        <w:t>(4)</w:t>
      </w:r>
      <w:r w:rsidRPr="00335B05">
        <w:rPr>
          <w:color w:val="000000"/>
        </w:rPr>
        <w:tab/>
        <w:t>If a person:</w:t>
      </w:r>
    </w:p>
    <w:p w:rsidR="005A788C" w:rsidRPr="00335B05" w:rsidRDefault="005A788C" w:rsidP="005A788C">
      <w:pPr>
        <w:pStyle w:val="paragraph"/>
      </w:pPr>
      <w:r w:rsidRPr="00335B05">
        <w:tab/>
        <w:t>(a)</w:t>
      </w:r>
      <w:r w:rsidRPr="00335B05">
        <w:tab/>
        <w:t>made an application under section</w:t>
      </w:r>
      <w:r w:rsidR="00335B05" w:rsidRPr="00335B05">
        <w:t> </w:t>
      </w:r>
      <w:r w:rsidRPr="00335B05">
        <w:t>21 of the Act; and</w:t>
      </w:r>
    </w:p>
    <w:p w:rsidR="005A788C" w:rsidRPr="00335B05" w:rsidRDefault="005A788C" w:rsidP="005A788C">
      <w:pPr>
        <w:pStyle w:val="paragraph"/>
      </w:pPr>
      <w:r w:rsidRPr="00335B05">
        <w:tab/>
        <w:t>(b)</w:t>
      </w:r>
      <w:r w:rsidRPr="00335B05">
        <w:tab/>
        <w:t>claimed eligibility in that application on the basis of the criteria in subsection</w:t>
      </w:r>
      <w:r w:rsidR="00335B05" w:rsidRPr="00335B05">
        <w:t> </w:t>
      </w:r>
      <w:r w:rsidRPr="00335B05">
        <w:t>21(2) of the Act; and</w:t>
      </w:r>
    </w:p>
    <w:p w:rsidR="005A788C" w:rsidRPr="00335B05" w:rsidRDefault="005A788C" w:rsidP="005A788C">
      <w:pPr>
        <w:pStyle w:val="paragraph"/>
        <w:tabs>
          <w:tab w:val="left" w:pos="2835"/>
        </w:tabs>
      </w:pPr>
      <w:r w:rsidRPr="00335B05">
        <w:tab/>
        <w:t>(c)</w:t>
      </w:r>
      <w:r w:rsidRPr="00335B05">
        <w:tab/>
        <w:t>paid the amount specified in item</w:t>
      </w:r>
      <w:r w:rsidR="00335B05" w:rsidRPr="00335B05">
        <w:t> </w:t>
      </w:r>
      <w:r w:rsidRPr="00335B05">
        <w:t>1</w:t>
      </w:r>
      <w:r w:rsidR="00C0354F" w:rsidRPr="00335B05">
        <w:t>3</w:t>
      </w:r>
      <w:r w:rsidRPr="00335B05">
        <w:t xml:space="preserve"> of Schedule</w:t>
      </w:r>
      <w:r w:rsidR="00335B05" w:rsidRPr="00335B05">
        <w:t> </w:t>
      </w:r>
      <w:r w:rsidRPr="00335B05">
        <w:t>3; and</w:t>
      </w:r>
    </w:p>
    <w:p w:rsidR="005A788C" w:rsidRPr="00335B05" w:rsidRDefault="005A788C" w:rsidP="005A788C">
      <w:pPr>
        <w:pStyle w:val="paragraph"/>
      </w:pPr>
      <w:r w:rsidRPr="00335B05">
        <w:tab/>
        <w:t>(d)</w:t>
      </w:r>
      <w:r w:rsidRPr="00335B05">
        <w:tab/>
        <w:t>does not satisfy the criteria in subsection</w:t>
      </w:r>
      <w:r w:rsidR="00335B05" w:rsidRPr="00335B05">
        <w:t> </w:t>
      </w:r>
      <w:r w:rsidRPr="00335B05">
        <w:t>21(2) of the Act because he or she did not sit a test as described in paragraph</w:t>
      </w:r>
      <w:r w:rsidR="00335B05" w:rsidRPr="00335B05">
        <w:t> </w:t>
      </w:r>
      <w:r w:rsidRPr="00335B05">
        <w:t>21(2A)(a) of the Act;</w:t>
      </w:r>
    </w:p>
    <w:p w:rsidR="005A788C" w:rsidRPr="00335B05" w:rsidRDefault="005A788C" w:rsidP="005A788C">
      <w:pPr>
        <w:pStyle w:val="subsection2"/>
      </w:pPr>
      <w:r w:rsidRPr="00335B05">
        <w:rPr>
          <w:color w:val="000000"/>
        </w:rPr>
        <w:t xml:space="preserve">the Minister may refund $20 of the fee </w:t>
      </w:r>
      <w:r w:rsidRPr="00335B05">
        <w:t>payable under section</w:t>
      </w:r>
      <w:r w:rsidR="00335B05" w:rsidRPr="00335B05">
        <w:t> </w:t>
      </w:r>
      <w:r w:rsidRPr="00335B05">
        <w:t xml:space="preserve">46 of the Act in relation to the application </w:t>
      </w:r>
      <w:r w:rsidRPr="00335B05">
        <w:rPr>
          <w:color w:val="000000"/>
        </w:rPr>
        <w:t>(which is the component of the fee that relates to the sitting of a test of that kind).</w:t>
      </w:r>
    </w:p>
    <w:p w:rsidR="005A788C" w:rsidRPr="00335B05" w:rsidRDefault="005A788C" w:rsidP="005A788C">
      <w:pPr>
        <w:pStyle w:val="subsection"/>
      </w:pPr>
      <w:r w:rsidRPr="00335B05">
        <w:tab/>
        <w:t>(</w:t>
      </w:r>
      <w:r w:rsidR="00657BDB" w:rsidRPr="00335B05">
        <w:t>5</w:t>
      </w:r>
      <w:r w:rsidRPr="00335B05">
        <w:t>)</w:t>
      </w:r>
      <w:r w:rsidRPr="00335B05">
        <w:tab/>
        <w:t xml:space="preserve">If the Minister refunds $20 in relation to a fee under </w:t>
      </w:r>
      <w:r w:rsidR="00335B05" w:rsidRPr="00335B05">
        <w:t>subsection (</w:t>
      </w:r>
      <w:r w:rsidRPr="00335B05">
        <w:t>4), and the fee included a credit card surcharge</w:t>
      </w:r>
      <w:r w:rsidR="009A006E" w:rsidRPr="00335B05">
        <w:t xml:space="preserve"> or PayPal surcharge</w:t>
      </w:r>
      <w:r w:rsidRPr="00335B05">
        <w:t>, the Minister must also refund the proportion of the surcharge that is equal to the proportion that $20 is of the Schedule</w:t>
      </w:r>
      <w:r w:rsidR="00335B05" w:rsidRPr="00335B05">
        <w:t> </w:t>
      </w:r>
      <w:r w:rsidRPr="00335B05">
        <w:t>3 amount included in the fee.</w:t>
      </w:r>
    </w:p>
    <w:p w:rsidR="005A788C" w:rsidRPr="00335B05" w:rsidRDefault="005A788C" w:rsidP="005A788C">
      <w:pPr>
        <w:pStyle w:val="subsection"/>
      </w:pPr>
      <w:r w:rsidRPr="00335B05">
        <w:rPr>
          <w:color w:val="000000"/>
        </w:rPr>
        <w:tab/>
        <w:t>(</w:t>
      </w:r>
      <w:r w:rsidR="00657BDB" w:rsidRPr="00335B05">
        <w:rPr>
          <w:color w:val="000000"/>
        </w:rPr>
        <w:t>6</w:t>
      </w:r>
      <w:r w:rsidRPr="00335B05">
        <w:rPr>
          <w:color w:val="000000"/>
        </w:rPr>
        <w:t>)</w:t>
      </w:r>
      <w:r w:rsidRPr="00335B05">
        <w:rPr>
          <w:color w:val="000000"/>
        </w:rPr>
        <w:tab/>
        <w:t>If a person:</w:t>
      </w:r>
    </w:p>
    <w:p w:rsidR="005A788C" w:rsidRPr="00335B05" w:rsidRDefault="005A788C" w:rsidP="005A788C">
      <w:pPr>
        <w:pStyle w:val="paragraph"/>
      </w:pPr>
      <w:r w:rsidRPr="00335B05">
        <w:tab/>
        <w:t>(a)</w:t>
      </w:r>
      <w:r w:rsidRPr="00335B05">
        <w:tab/>
        <w:t>made an application under section</w:t>
      </w:r>
      <w:r w:rsidR="00335B05" w:rsidRPr="00335B05">
        <w:t> </w:t>
      </w:r>
      <w:r w:rsidRPr="00335B05">
        <w:t>21 of the Act; and</w:t>
      </w:r>
    </w:p>
    <w:p w:rsidR="005A788C" w:rsidRPr="00335B05" w:rsidRDefault="005A788C" w:rsidP="005A788C">
      <w:pPr>
        <w:pStyle w:val="paragraph"/>
      </w:pPr>
      <w:r w:rsidRPr="00335B05">
        <w:tab/>
        <w:t>(b)</w:t>
      </w:r>
      <w:r w:rsidRPr="00335B05">
        <w:tab/>
        <w:t>claimed eligibility in that application on the basis of the criteria in subsection</w:t>
      </w:r>
      <w:r w:rsidR="00335B05" w:rsidRPr="00335B05">
        <w:t> </w:t>
      </w:r>
      <w:r w:rsidRPr="00335B05">
        <w:t>21(2) of the Act; and</w:t>
      </w:r>
    </w:p>
    <w:p w:rsidR="005A788C" w:rsidRPr="00335B05" w:rsidRDefault="005A788C" w:rsidP="005A788C">
      <w:pPr>
        <w:pStyle w:val="paragraph"/>
      </w:pPr>
      <w:r w:rsidRPr="00335B05">
        <w:tab/>
        <w:t>(c)</w:t>
      </w:r>
      <w:r w:rsidRPr="00335B05">
        <w:tab/>
        <w:t>paid the amount specified in item</w:t>
      </w:r>
      <w:r w:rsidR="00335B05" w:rsidRPr="00335B05">
        <w:t> </w:t>
      </w:r>
      <w:r w:rsidRPr="00335B05">
        <w:t>1</w:t>
      </w:r>
      <w:r w:rsidR="0027488C" w:rsidRPr="00335B05">
        <w:t>4</w:t>
      </w:r>
      <w:r w:rsidRPr="00335B05">
        <w:t xml:space="preserve"> of Schedule</w:t>
      </w:r>
      <w:r w:rsidR="00335B05" w:rsidRPr="00335B05">
        <w:t> </w:t>
      </w:r>
      <w:r w:rsidRPr="00335B05">
        <w:t>3; and</w:t>
      </w:r>
    </w:p>
    <w:p w:rsidR="005A788C" w:rsidRPr="00335B05" w:rsidRDefault="005A788C" w:rsidP="005A788C">
      <w:pPr>
        <w:pStyle w:val="paragraph"/>
      </w:pPr>
      <w:r w:rsidRPr="00335B05">
        <w:tab/>
        <w:t>(d)</w:t>
      </w:r>
      <w:r w:rsidRPr="00335B05">
        <w:tab/>
        <w:t>does not satisfy the criteria in subsection</w:t>
      </w:r>
      <w:r w:rsidR="00335B05" w:rsidRPr="00335B05">
        <w:t> </w:t>
      </w:r>
      <w:r w:rsidRPr="00335B05">
        <w:t>21(2) of the Act because he or she did not sit a test as described in paragraph</w:t>
      </w:r>
      <w:r w:rsidR="00335B05" w:rsidRPr="00335B05">
        <w:t> </w:t>
      </w:r>
      <w:r w:rsidRPr="00335B05">
        <w:t>21(2A)(a) of the Act;</w:t>
      </w:r>
    </w:p>
    <w:p w:rsidR="005A788C" w:rsidRPr="00335B05" w:rsidRDefault="005A788C" w:rsidP="005A788C">
      <w:pPr>
        <w:pStyle w:val="subsection2"/>
        <w:rPr>
          <w:color w:val="000000"/>
        </w:rPr>
      </w:pPr>
      <w:r w:rsidRPr="00335B05">
        <w:rPr>
          <w:color w:val="000000"/>
        </w:rPr>
        <w:lastRenderedPageBreak/>
        <w:t xml:space="preserve">the Minister may refund </w:t>
      </w:r>
      <w:r w:rsidRPr="00335B05">
        <w:t>$105</w:t>
      </w:r>
      <w:r w:rsidRPr="00335B05">
        <w:rPr>
          <w:color w:val="000000"/>
        </w:rPr>
        <w:t xml:space="preserve"> of the fee </w:t>
      </w:r>
      <w:r w:rsidRPr="00335B05">
        <w:t>payable under section</w:t>
      </w:r>
      <w:r w:rsidR="00335B05" w:rsidRPr="00335B05">
        <w:t> </w:t>
      </w:r>
      <w:r w:rsidRPr="00335B05">
        <w:t xml:space="preserve">46 of the Act in relation to the application </w:t>
      </w:r>
      <w:r w:rsidRPr="00335B05">
        <w:rPr>
          <w:color w:val="000000"/>
        </w:rPr>
        <w:t>(which is the component of the fee that relates to the sitting of a test of that kind).</w:t>
      </w:r>
    </w:p>
    <w:p w:rsidR="005A788C" w:rsidRPr="00335B05" w:rsidRDefault="005A788C" w:rsidP="005A788C">
      <w:pPr>
        <w:pStyle w:val="subsection"/>
      </w:pPr>
      <w:r w:rsidRPr="00335B05">
        <w:tab/>
        <w:t>(</w:t>
      </w:r>
      <w:r w:rsidR="00657BDB" w:rsidRPr="00335B05">
        <w:t>7</w:t>
      </w:r>
      <w:r w:rsidRPr="00335B05">
        <w:t>)</w:t>
      </w:r>
      <w:r w:rsidRPr="00335B05">
        <w:tab/>
        <w:t xml:space="preserve">If the Minister refunds $105 in relation to a fee under </w:t>
      </w:r>
      <w:r w:rsidR="00335B05" w:rsidRPr="00335B05">
        <w:t>subsection (</w:t>
      </w:r>
      <w:r w:rsidR="00657BDB" w:rsidRPr="00335B05">
        <w:t>6</w:t>
      </w:r>
      <w:r w:rsidRPr="00335B05">
        <w:t>), and the fee included a credit card surcharge</w:t>
      </w:r>
      <w:r w:rsidR="009A006E" w:rsidRPr="00335B05">
        <w:t xml:space="preserve"> or PayPal surcharge</w:t>
      </w:r>
      <w:r w:rsidRPr="00335B05">
        <w:t>, the Minister must also refund the proportion of the surcharge that is equal to the proportion that $105 is of the Schedule</w:t>
      </w:r>
      <w:r w:rsidR="00335B05" w:rsidRPr="00335B05">
        <w:t> </w:t>
      </w:r>
      <w:r w:rsidRPr="00335B05">
        <w:t>3 amount included in the fee.</w:t>
      </w:r>
    </w:p>
    <w:p w:rsidR="005A788C" w:rsidRPr="00335B05" w:rsidRDefault="005A788C" w:rsidP="005A788C">
      <w:pPr>
        <w:pStyle w:val="subsection"/>
      </w:pPr>
      <w:r w:rsidRPr="00335B05">
        <w:tab/>
        <w:t>(</w:t>
      </w:r>
      <w:r w:rsidR="00657BDB" w:rsidRPr="00335B05">
        <w:t>8</w:t>
      </w:r>
      <w:r w:rsidRPr="00335B05">
        <w:t>)</w:t>
      </w:r>
      <w:r w:rsidRPr="00335B05">
        <w:tab/>
        <w:t xml:space="preserve">A refund under this </w:t>
      </w:r>
      <w:r w:rsidR="00120A02" w:rsidRPr="00335B05">
        <w:t>section</w:t>
      </w:r>
      <w:r w:rsidRPr="00335B05">
        <w:t xml:space="preserve"> may be paid:</w:t>
      </w:r>
    </w:p>
    <w:p w:rsidR="005A788C" w:rsidRPr="00335B05" w:rsidRDefault="005A788C" w:rsidP="005A788C">
      <w:pPr>
        <w:pStyle w:val="paragraph"/>
      </w:pPr>
      <w:r w:rsidRPr="00335B05">
        <w:tab/>
        <w:t>(a)</w:t>
      </w:r>
      <w:r w:rsidRPr="00335B05">
        <w:tab/>
        <w:t>in Australian currency; or</w:t>
      </w:r>
    </w:p>
    <w:p w:rsidR="005A788C" w:rsidRPr="00335B05" w:rsidRDefault="005A788C" w:rsidP="005A788C">
      <w:pPr>
        <w:pStyle w:val="paragraph"/>
      </w:pPr>
      <w:r w:rsidRPr="00335B05">
        <w:tab/>
        <w:t>(b)</w:t>
      </w:r>
      <w:r w:rsidRPr="00335B05">
        <w:tab/>
        <w:t>if the amount in respect of which the refund is being paid was paid in another currency</w:t>
      </w:r>
      <w:r w:rsidR="00036789" w:rsidRPr="00335B05">
        <w:t>—</w:t>
      </w:r>
      <w:r w:rsidRPr="00335B05">
        <w:t>in that other currency.</w:t>
      </w:r>
    </w:p>
    <w:p w:rsidR="005A788C" w:rsidRPr="00335B05" w:rsidRDefault="008D0E54" w:rsidP="005A788C">
      <w:pPr>
        <w:pStyle w:val="ActHead5"/>
      </w:pPr>
      <w:bookmarkStart w:id="23" w:name="_Toc465860544"/>
      <w:r w:rsidRPr="00335B05">
        <w:rPr>
          <w:rStyle w:val="CharSectno"/>
        </w:rPr>
        <w:t>18</w:t>
      </w:r>
      <w:r w:rsidR="005A788C" w:rsidRPr="00335B05">
        <w:t xml:space="preserve">  Form of notice under section</w:t>
      </w:r>
      <w:r w:rsidR="00335B05" w:rsidRPr="00335B05">
        <w:t> </w:t>
      </w:r>
      <w:r w:rsidR="005A788C" w:rsidRPr="00335B05">
        <w:t>47 of the Act</w:t>
      </w:r>
      <w:bookmarkEnd w:id="23"/>
    </w:p>
    <w:p w:rsidR="005A788C" w:rsidRPr="00335B05" w:rsidRDefault="005A788C" w:rsidP="005A788C">
      <w:pPr>
        <w:pStyle w:val="subsection"/>
      </w:pPr>
      <w:r w:rsidRPr="00335B05">
        <w:tab/>
      </w:r>
      <w:r w:rsidRPr="00335B05">
        <w:tab/>
        <w:t xml:space="preserve">For </w:t>
      </w:r>
      <w:r w:rsidR="00657BDB" w:rsidRPr="00335B05">
        <w:t xml:space="preserve">the purposes of </w:t>
      </w:r>
      <w:r w:rsidRPr="00335B05">
        <w:t>subsection</w:t>
      </w:r>
      <w:r w:rsidR="00335B05" w:rsidRPr="00335B05">
        <w:t> </w:t>
      </w:r>
      <w:r w:rsidRPr="00335B05">
        <w:t>47(4) of the Act, the Minister must give notice of a decision under the Act by:</w:t>
      </w:r>
    </w:p>
    <w:p w:rsidR="005A788C" w:rsidRPr="00335B05" w:rsidRDefault="005A788C" w:rsidP="005A788C">
      <w:pPr>
        <w:pStyle w:val="paragraph"/>
      </w:pPr>
      <w:r w:rsidRPr="00335B05">
        <w:tab/>
        <w:t>(a)</w:t>
      </w:r>
      <w:r w:rsidRPr="00335B05">
        <w:tab/>
        <w:t>personal delivery; or</w:t>
      </w:r>
    </w:p>
    <w:p w:rsidR="005A788C" w:rsidRPr="00335B05" w:rsidRDefault="005A788C" w:rsidP="005A788C">
      <w:pPr>
        <w:pStyle w:val="paragraph"/>
      </w:pPr>
      <w:r w:rsidRPr="00335B05">
        <w:tab/>
        <w:t>(b)</w:t>
      </w:r>
      <w:r w:rsidRPr="00335B05">
        <w:tab/>
        <w:t>prepaid post to the last address given to the Department; or</w:t>
      </w:r>
    </w:p>
    <w:p w:rsidR="005A788C" w:rsidRPr="00335B05" w:rsidRDefault="005A788C" w:rsidP="005A788C">
      <w:pPr>
        <w:pStyle w:val="paragraph"/>
      </w:pPr>
      <w:r w:rsidRPr="00335B05">
        <w:tab/>
        <w:t>(c)</w:t>
      </w:r>
      <w:r w:rsidRPr="00335B05">
        <w:tab/>
        <w:t>electronic means.</w:t>
      </w:r>
    </w:p>
    <w:p w:rsidR="005A788C" w:rsidRPr="00335B05" w:rsidRDefault="005A788C" w:rsidP="00E8425C">
      <w:pPr>
        <w:pStyle w:val="ActHead2"/>
        <w:pageBreakBefore/>
      </w:pPr>
      <w:bookmarkStart w:id="24" w:name="_Toc465860545"/>
      <w:r w:rsidRPr="00335B05">
        <w:rPr>
          <w:rStyle w:val="CharPartNo"/>
        </w:rPr>
        <w:lastRenderedPageBreak/>
        <w:t>Part</w:t>
      </w:r>
      <w:r w:rsidR="00335B05" w:rsidRPr="00335B05">
        <w:rPr>
          <w:rStyle w:val="CharPartNo"/>
        </w:rPr>
        <w:t> </w:t>
      </w:r>
      <w:r w:rsidRPr="00335B05">
        <w:rPr>
          <w:rStyle w:val="CharPartNo"/>
        </w:rPr>
        <w:t>4</w:t>
      </w:r>
      <w:r w:rsidRPr="00335B05">
        <w:t>—</w:t>
      </w:r>
      <w:r w:rsidRPr="00335B05">
        <w:rPr>
          <w:rStyle w:val="CharPartText"/>
        </w:rPr>
        <w:t>Transitional arrangements</w:t>
      </w:r>
      <w:bookmarkEnd w:id="24"/>
    </w:p>
    <w:p w:rsidR="005A788C" w:rsidRPr="00335B05" w:rsidRDefault="005A788C" w:rsidP="005A788C">
      <w:pPr>
        <w:pStyle w:val="Header"/>
      </w:pPr>
      <w:r w:rsidRPr="00335B05">
        <w:rPr>
          <w:rStyle w:val="CharDivNo"/>
        </w:rPr>
        <w:t xml:space="preserve"> </w:t>
      </w:r>
      <w:r w:rsidRPr="00335B05">
        <w:rPr>
          <w:rStyle w:val="CharDivText"/>
        </w:rPr>
        <w:t xml:space="preserve"> </w:t>
      </w:r>
    </w:p>
    <w:p w:rsidR="00526607" w:rsidRPr="00335B05" w:rsidRDefault="008D0E54" w:rsidP="00526607">
      <w:pPr>
        <w:pStyle w:val="ActHead5"/>
      </w:pPr>
      <w:bookmarkStart w:id="25" w:name="_Toc465860546"/>
      <w:r w:rsidRPr="00335B05">
        <w:rPr>
          <w:rStyle w:val="CharSectno"/>
        </w:rPr>
        <w:t>19</w:t>
      </w:r>
      <w:r w:rsidR="00526607" w:rsidRPr="00335B05">
        <w:t xml:space="preserve">  Transitional provisions relating to the commencement of th</w:t>
      </w:r>
      <w:r w:rsidR="00733CE5" w:rsidRPr="00335B05">
        <w:t>i</w:t>
      </w:r>
      <w:r w:rsidR="00526607" w:rsidRPr="00335B05">
        <w:t xml:space="preserve">s </w:t>
      </w:r>
      <w:r w:rsidR="00733CE5" w:rsidRPr="00335B05">
        <w:t>instrument</w:t>
      </w:r>
      <w:r w:rsidR="00526607" w:rsidRPr="00335B05">
        <w:t>—applications made before commencement</w:t>
      </w:r>
      <w:bookmarkEnd w:id="25"/>
    </w:p>
    <w:p w:rsidR="00526607" w:rsidRPr="00335B05" w:rsidRDefault="004F41E8" w:rsidP="00526607">
      <w:pPr>
        <w:pStyle w:val="subsection"/>
      </w:pPr>
      <w:r w:rsidRPr="00335B05">
        <w:tab/>
      </w:r>
      <w:r w:rsidR="0015279C" w:rsidRPr="00335B05">
        <w:t>(1)</w:t>
      </w:r>
      <w:r w:rsidRPr="00335B05">
        <w:tab/>
      </w:r>
      <w:r w:rsidR="00526607" w:rsidRPr="00335B05">
        <w:t>This section applies in relation to an application made under the Act</w:t>
      </w:r>
      <w:r w:rsidR="0015279C" w:rsidRPr="00335B05">
        <w:t xml:space="preserve"> and in accordance with the </w:t>
      </w:r>
      <w:r w:rsidR="0015279C" w:rsidRPr="00335B05">
        <w:rPr>
          <w:i/>
        </w:rPr>
        <w:t>Australian Citizenship Regulations</w:t>
      </w:r>
      <w:r w:rsidR="00335B05" w:rsidRPr="00335B05">
        <w:rPr>
          <w:i/>
        </w:rPr>
        <w:t> </w:t>
      </w:r>
      <w:r w:rsidR="0015279C" w:rsidRPr="00335B05">
        <w:rPr>
          <w:i/>
        </w:rPr>
        <w:t>2007</w:t>
      </w:r>
      <w:r w:rsidR="00526607" w:rsidRPr="00335B05">
        <w:t xml:space="preserve"> </w:t>
      </w:r>
      <w:r w:rsidR="001B0B50" w:rsidRPr="00335B05">
        <w:t xml:space="preserve">(the </w:t>
      </w:r>
      <w:r w:rsidR="001B0B50" w:rsidRPr="00335B05">
        <w:rPr>
          <w:b/>
          <w:i/>
        </w:rPr>
        <w:t>old regulations</w:t>
      </w:r>
      <w:r w:rsidR="001B0B50" w:rsidRPr="00335B05">
        <w:t xml:space="preserve">) </w:t>
      </w:r>
      <w:r w:rsidR="00526607" w:rsidRPr="00335B05">
        <w:t xml:space="preserve">before </w:t>
      </w:r>
      <w:r w:rsidR="0015279C" w:rsidRPr="00335B05">
        <w:t>1</w:t>
      </w:r>
      <w:r w:rsidR="00335B05" w:rsidRPr="00335B05">
        <w:t> </w:t>
      </w:r>
      <w:r w:rsidR="0015279C" w:rsidRPr="00335B05">
        <w:t>January 2017.</w:t>
      </w:r>
    </w:p>
    <w:p w:rsidR="0015279C" w:rsidRPr="00335B05" w:rsidRDefault="0015279C" w:rsidP="0015279C">
      <w:pPr>
        <w:pStyle w:val="subsection"/>
      </w:pPr>
      <w:r w:rsidRPr="00335B05">
        <w:tab/>
        <w:t>(2)</w:t>
      </w:r>
      <w:r w:rsidRPr="00335B05">
        <w:tab/>
      </w:r>
      <w:r w:rsidR="00B326D1" w:rsidRPr="00335B05">
        <w:t>T</w:t>
      </w:r>
      <w:r w:rsidRPr="00335B05">
        <w:t>he application is taken, on and after 1</w:t>
      </w:r>
      <w:r w:rsidR="00335B05" w:rsidRPr="00335B05">
        <w:t> </w:t>
      </w:r>
      <w:r w:rsidRPr="00335B05">
        <w:t xml:space="preserve">January 2017, to have been made in accordance with </w:t>
      </w:r>
      <w:r w:rsidR="00733CE5" w:rsidRPr="00335B05">
        <w:t>this instrument</w:t>
      </w:r>
      <w:r w:rsidRPr="00335B05">
        <w:t>.</w:t>
      </w:r>
    </w:p>
    <w:p w:rsidR="007E73CA" w:rsidRPr="00335B05" w:rsidRDefault="007E73CA" w:rsidP="007E73CA">
      <w:pPr>
        <w:pStyle w:val="subsection"/>
      </w:pPr>
      <w:r w:rsidRPr="00335B05">
        <w:tab/>
        <w:t>(3)</w:t>
      </w:r>
      <w:r w:rsidRPr="00335B05">
        <w:tab/>
        <w:t xml:space="preserve">However, the following amounts are to be worked out in accordance with the </w:t>
      </w:r>
      <w:r w:rsidR="001B0B50" w:rsidRPr="00335B05">
        <w:t>old regulations</w:t>
      </w:r>
      <w:r w:rsidRPr="00335B05">
        <w:t xml:space="preserve"> as in force immediately before the start of 1</w:t>
      </w:r>
      <w:r w:rsidR="00335B05" w:rsidRPr="00335B05">
        <w:t> </w:t>
      </w:r>
      <w:r w:rsidRPr="00335B05">
        <w:t>January 2017</w:t>
      </w:r>
      <w:r w:rsidR="0098497B" w:rsidRPr="00335B05">
        <w:t xml:space="preserve"> (subject to any provisions of a transitional nature in those regulations)</w:t>
      </w:r>
      <w:r w:rsidRPr="00335B05">
        <w:t>:</w:t>
      </w:r>
    </w:p>
    <w:p w:rsidR="007E73CA" w:rsidRPr="00335B05" w:rsidRDefault="007E73CA" w:rsidP="007E73CA">
      <w:pPr>
        <w:pStyle w:val="paragraph"/>
      </w:pPr>
      <w:r w:rsidRPr="00335B05">
        <w:tab/>
        <w:t>(a)</w:t>
      </w:r>
      <w:r w:rsidRPr="00335B05">
        <w:tab/>
        <w:t xml:space="preserve">the amount of any fee payable </w:t>
      </w:r>
      <w:r w:rsidR="001B0B50" w:rsidRPr="00335B05">
        <w:t xml:space="preserve">in accordance with </w:t>
      </w:r>
      <w:r w:rsidRPr="00335B05">
        <w:t xml:space="preserve">the </w:t>
      </w:r>
      <w:r w:rsidR="001B0B50" w:rsidRPr="00335B05">
        <w:t>old regulations</w:t>
      </w:r>
      <w:r w:rsidRPr="00335B05">
        <w:t xml:space="preserve"> in relation to the application;</w:t>
      </w:r>
    </w:p>
    <w:p w:rsidR="007E73CA" w:rsidRPr="00335B05" w:rsidRDefault="007E73CA" w:rsidP="007E73CA">
      <w:pPr>
        <w:pStyle w:val="paragraph"/>
      </w:pPr>
      <w:r w:rsidRPr="00335B05">
        <w:tab/>
        <w:t>(b)</w:t>
      </w:r>
      <w:r w:rsidRPr="00335B05">
        <w:tab/>
        <w:t xml:space="preserve">the amount of any refund </w:t>
      </w:r>
      <w:r w:rsidR="001B0B50" w:rsidRPr="00335B05">
        <w:t>of such a fee.</w:t>
      </w:r>
    </w:p>
    <w:p w:rsidR="000045EB" w:rsidRPr="00335B05" w:rsidRDefault="000045EB" w:rsidP="000045EB">
      <w:pPr>
        <w:sectPr w:rsidR="000045EB" w:rsidRPr="00335B05" w:rsidSect="005A034B">
          <w:headerReference w:type="even" r:id="rId23"/>
          <w:headerReference w:type="default" r:id="rId24"/>
          <w:footerReference w:type="even" r:id="rId25"/>
          <w:footerReference w:type="default" r:id="rId26"/>
          <w:footerReference w:type="first" r:id="rId27"/>
          <w:pgSz w:w="11907" w:h="16839" w:code="9"/>
          <w:pgMar w:top="2233" w:right="1797" w:bottom="1440" w:left="1797" w:header="720" w:footer="709" w:gutter="0"/>
          <w:pgNumType w:start="1"/>
          <w:cols w:space="720"/>
          <w:docGrid w:linePitch="299"/>
        </w:sectPr>
      </w:pPr>
    </w:p>
    <w:p w:rsidR="005A788C" w:rsidRPr="00335B05" w:rsidRDefault="005A788C" w:rsidP="005A788C">
      <w:pPr>
        <w:pStyle w:val="ActHead1"/>
      </w:pPr>
      <w:bookmarkStart w:id="27" w:name="_Toc465860547"/>
      <w:r w:rsidRPr="00335B05">
        <w:rPr>
          <w:rStyle w:val="CharChapNo"/>
        </w:rPr>
        <w:lastRenderedPageBreak/>
        <w:t>Schedule</w:t>
      </w:r>
      <w:r w:rsidR="00335B05" w:rsidRPr="00335B05">
        <w:rPr>
          <w:rStyle w:val="CharChapNo"/>
        </w:rPr>
        <w:t> </w:t>
      </w:r>
      <w:r w:rsidRPr="00335B05">
        <w:rPr>
          <w:rStyle w:val="CharChapNo"/>
        </w:rPr>
        <w:t>1</w:t>
      </w:r>
      <w:r w:rsidRPr="00335B05">
        <w:t>—</w:t>
      </w:r>
      <w:r w:rsidR="00540123" w:rsidRPr="00335B05">
        <w:rPr>
          <w:rStyle w:val="CharChapText"/>
        </w:rPr>
        <w:t>Preamble</w:t>
      </w:r>
      <w:r w:rsidRPr="00335B05">
        <w:rPr>
          <w:rStyle w:val="CharChapText"/>
        </w:rPr>
        <w:t xml:space="preserve"> for citizenship ceremony</w:t>
      </w:r>
      <w:bookmarkEnd w:id="27"/>
    </w:p>
    <w:p w:rsidR="005A788C" w:rsidRPr="00335B05" w:rsidRDefault="00657BDB" w:rsidP="005A788C">
      <w:pPr>
        <w:pStyle w:val="notemargin"/>
      </w:pPr>
      <w:r w:rsidRPr="00335B05">
        <w:t>Note:</w:t>
      </w:r>
      <w:r w:rsidRPr="00335B05">
        <w:tab/>
        <w:t>See section</w:t>
      </w:r>
      <w:r w:rsidR="00335B05" w:rsidRPr="00335B05">
        <w:t> </w:t>
      </w:r>
      <w:r w:rsidR="008D0E54" w:rsidRPr="00335B05">
        <w:t>10</w:t>
      </w:r>
      <w:r w:rsidRPr="00335B05">
        <w:t>.</w:t>
      </w:r>
    </w:p>
    <w:p w:rsidR="005A788C" w:rsidRPr="00335B05" w:rsidRDefault="005A788C" w:rsidP="005A788C">
      <w:pPr>
        <w:pStyle w:val="Header"/>
      </w:pPr>
      <w:r w:rsidRPr="00335B05">
        <w:rPr>
          <w:rStyle w:val="CharPartNo"/>
        </w:rPr>
        <w:t xml:space="preserve"> </w:t>
      </w:r>
      <w:r w:rsidRPr="00335B05">
        <w:rPr>
          <w:rStyle w:val="CharPartText"/>
        </w:rPr>
        <w:t xml:space="preserve"> </w:t>
      </w:r>
    </w:p>
    <w:p w:rsidR="00F65F7A" w:rsidRPr="00335B05" w:rsidRDefault="00F65F7A" w:rsidP="00F65F7A">
      <w:pPr>
        <w:pStyle w:val="Header"/>
      </w:pPr>
      <w:r w:rsidRPr="00335B05">
        <w:rPr>
          <w:rStyle w:val="CharDivNo"/>
        </w:rPr>
        <w:t xml:space="preserve"> </w:t>
      </w:r>
      <w:r w:rsidRPr="00335B05">
        <w:rPr>
          <w:rStyle w:val="CharDivText"/>
        </w:rPr>
        <w:t xml:space="preserve"> </w:t>
      </w:r>
    </w:p>
    <w:p w:rsidR="005A788C" w:rsidRPr="00335B05" w:rsidRDefault="005A788C" w:rsidP="005A788C">
      <w:pPr>
        <w:pStyle w:val="subsection"/>
      </w:pPr>
      <w:r w:rsidRPr="00335B05">
        <w:t>Australian citizenship represents full and formal membership of the community of the Commonwealth of Australia, and Australian citizenship is a common bond, involving reciprocal rights and obligations, uniting all Australians, while respecting their diversity.</w:t>
      </w:r>
    </w:p>
    <w:p w:rsidR="005A788C" w:rsidRPr="00335B05" w:rsidRDefault="005A788C" w:rsidP="005A788C">
      <w:pPr>
        <w:pStyle w:val="subsection"/>
      </w:pPr>
      <w:r w:rsidRPr="00335B05">
        <w:t>Persons on whom Australian citizenship is conferred enjoy these rights and undertake to accept these obligations:</w:t>
      </w:r>
    </w:p>
    <w:p w:rsidR="005A788C" w:rsidRPr="00335B05" w:rsidRDefault="005A788C" w:rsidP="00657BDB">
      <w:pPr>
        <w:pStyle w:val="paragraph"/>
      </w:pPr>
      <w:r w:rsidRPr="00335B05">
        <w:tab/>
        <w:t>(a)</w:t>
      </w:r>
      <w:r w:rsidRPr="00335B05">
        <w:tab/>
        <w:t>by pledging loyalty to Australia and its people;</w:t>
      </w:r>
    </w:p>
    <w:p w:rsidR="005A788C" w:rsidRPr="00335B05" w:rsidRDefault="005A788C" w:rsidP="00657BDB">
      <w:pPr>
        <w:pStyle w:val="paragraph"/>
      </w:pPr>
      <w:r w:rsidRPr="00335B05">
        <w:tab/>
        <w:t>(b)</w:t>
      </w:r>
      <w:r w:rsidRPr="00335B05">
        <w:tab/>
        <w:t>by sharing their democratic beliefs;</w:t>
      </w:r>
    </w:p>
    <w:p w:rsidR="005A788C" w:rsidRPr="00335B05" w:rsidRDefault="005A788C" w:rsidP="00657BDB">
      <w:pPr>
        <w:pStyle w:val="paragraph"/>
      </w:pPr>
      <w:r w:rsidRPr="00335B05">
        <w:tab/>
        <w:t>(c)</w:t>
      </w:r>
      <w:r w:rsidRPr="00335B05">
        <w:tab/>
        <w:t>by respecting their rights and liberties; and</w:t>
      </w:r>
    </w:p>
    <w:p w:rsidR="005A788C" w:rsidRPr="00335B05" w:rsidRDefault="005A788C" w:rsidP="00657BDB">
      <w:pPr>
        <w:pStyle w:val="paragraph"/>
      </w:pPr>
      <w:r w:rsidRPr="00335B05">
        <w:tab/>
        <w:t>(d)</w:t>
      </w:r>
      <w:r w:rsidRPr="00335B05">
        <w:tab/>
        <w:t>by upholding and obeying the laws of Australia.</w:t>
      </w:r>
    </w:p>
    <w:p w:rsidR="005A788C" w:rsidRPr="00335B05" w:rsidRDefault="005A788C" w:rsidP="00657BDB">
      <w:pPr>
        <w:pStyle w:val="ActHead1"/>
        <w:pageBreakBefore/>
      </w:pPr>
      <w:bookmarkStart w:id="28" w:name="_Toc465860548"/>
      <w:r w:rsidRPr="00335B05">
        <w:rPr>
          <w:rStyle w:val="CharChapNo"/>
        </w:rPr>
        <w:lastRenderedPageBreak/>
        <w:t>Schedule</w:t>
      </w:r>
      <w:r w:rsidR="00335B05" w:rsidRPr="00335B05">
        <w:rPr>
          <w:rStyle w:val="CharChapNo"/>
        </w:rPr>
        <w:t> </w:t>
      </w:r>
      <w:r w:rsidRPr="00335B05">
        <w:rPr>
          <w:rStyle w:val="CharChapNo"/>
        </w:rPr>
        <w:t>2</w:t>
      </w:r>
      <w:r w:rsidRPr="00335B05">
        <w:t>—</w:t>
      </w:r>
      <w:r w:rsidRPr="00335B05">
        <w:rPr>
          <w:rStyle w:val="CharChapText"/>
        </w:rPr>
        <w:t>Form of notice</w:t>
      </w:r>
      <w:bookmarkEnd w:id="28"/>
    </w:p>
    <w:p w:rsidR="005A788C" w:rsidRPr="00335B05" w:rsidRDefault="00657BDB" w:rsidP="005A788C">
      <w:pPr>
        <w:pStyle w:val="notemargin"/>
      </w:pPr>
      <w:r w:rsidRPr="00335B05">
        <w:t>Note:</w:t>
      </w:r>
      <w:r w:rsidRPr="00335B05">
        <w:tab/>
        <w:t>See section</w:t>
      </w:r>
      <w:r w:rsidR="00335B05" w:rsidRPr="00335B05">
        <w:t> </w:t>
      </w:r>
      <w:r w:rsidR="008D0E54" w:rsidRPr="00335B05">
        <w:t>12</w:t>
      </w:r>
      <w:r w:rsidRPr="00335B05">
        <w:t>.</w:t>
      </w:r>
    </w:p>
    <w:p w:rsidR="005A788C" w:rsidRPr="00335B05" w:rsidRDefault="005A788C" w:rsidP="005A788C">
      <w:pPr>
        <w:pStyle w:val="Header"/>
      </w:pPr>
      <w:r w:rsidRPr="00335B05">
        <w:rPr>
          <w:rStyle w:val="CharPartNo"/>
        </w:rPr>
        <w:t xml:space="preserve"> </w:t>
      </w:r>
      <w:r w:rsidRPr="00335B05">
        <w:rPr>
          <w:rStyle w:val="CharPartText"/>
        </w:rPr>
        <w:t xml:space="preserve"> </w:t>
      </w:r>
    </w:p>
    <w:p w:rsidR="00F65F7A" w:rsidRPr="00335B05" w:rsidRDefault="00F65F7A" w:rsidP="00F65F7A">
      <w:pPr>
        <w:pStyle w:val="Header"/>
      </w:pPr>
      <w:r w:rsidRPr="00335B05">
        <w:rPr>
          <w:rStyle w:val="CharDivNo"/>
        </w:rPr>
        <w:t xml:space="preserve"> </w:t>
      </w:r>
      <w:r w:rsidRPr="00335B05">
        <w:rPr>
          <w:rStyle w:val="CharDivText"/>
        </w:rPr>
        <w:t xml:space="preserve"> </w:t>
      </w:r>
    </w:p>
    <w:p w:rsidR="005A788C" w:rsidRPr="00335B05" w:rsidRDefault="005A788C" w:rsidP="005A788C">
      <w:pPr>
        <w:pStyle w:val="subsection"/>
      </w:pPr>
      <w:r w:rsidRPr="00335B05">
        <w:t>COMMONWEALTH OF AUSTRALIA</w:t>
      </w:r>
    </w:p>
    <w:p w:rsidR="005A788C" w:rsidRPr="00335B05" w:rsidRDefault="005A788C" w:rsidP="005A788C">
      <w:pPr>
        <w:pStyle w:val="subsection"/>
      </w:pPr>
      <w:r w:rsidRPr="00335B05">
        <w:rPr>
          <w:i/>
        </w:rPr>
        <w:tab/>
        <w:t>Australian Citizenship Act 2007</w:t>
      </w:r>
    </w:p>
    <w:p w:rsidR="005A788C" w:rsidRPr="00335B05" w:rsidRDefault="005A788C" w:rsidP="005A788C">
      <w:pPr>
        <w:pStyle w:val="subsection"/>
      </w:pPr>
      <w:r w:rsidRPr="00335B05">
        <w:tab/>
        <w:t>Australian Citizenship</w:t>
      </w:r>
    </w:p>
    <w:p w:rsidR="005A788C" w:rsidRPr="00335B05" w:rsidRDefault="005A788C" w:rsidP="005A788C">
      <w:pPr>
        <w:pStyle w:val="subsection"/>
        <w:rPr>
          <w:i/>
        </w:rPr>
      </w:pPr>
      <w:r w:rsidRPr="00335B05">
        <w:rPr>
          <w:i/>
        </w:rPr>
        <w:tab/>
        <w:t>(full name of citizen)</w:t>
      </w:r>
    </w:p>
    <w:p w:rsidR="005A788C" w:rsidRPr="00335B05" w:rsidRDefault="005A788C" w:rsidP="005A788C">
      <w:pPr>
        <w:pStyle w:val="subsection"/>
      </w:pPr>
      <w:r w:rsidRPr="00335B05">
        <w:tab/>
        <w:t>born on (</w:t>
      </w:r>
      <w:r w:rsidRPr="00335B05">
        <w:rPr>
          <w:i/>
        </w:rPr>
        <w:t>date of citizen’s birth)</w:t>
      </w:r>
    </w:p>
    <w:p w:rsidR="005A788C" w:rsidRPr="00335B05" w:rsidRDefault="005A788C" w:rsidP="005A788C">
      <w:pPr>
        <w:pStyle w:val="subsection"/>
        <w:rPr>
          <w:i/>
        </w:rPr>
      </w:pPr>
      <w:r w:rsidRPr="00335B05">
        <w:t xml:space="preserve">I, the Minister administering the </w:t>
      </w:r>
      <w:r w:rsidRPr="00335B05">
        <w:rPr>
          <w:i/>
        </w:rPr>
        <w:t>Australian Citizenship Act 2007</w:t>
      </w:r>
      <w:r w:rsidRPr="00335B05">
        <w:t>, give notice that the abovenamed is an Australian citizen and that citizenship was acquired on (</w:t>
      </w:r>
      <w:r w:rsidRPr="00335B05">
        <w:rPr>
          <w:i/>
        </w:rPr>
        <w:t>date of acquisition or birth).</w:t>
      </w:r>
    </w:p>
    <w:p w:rsidR="005A788C" w:rsidRPr="00335B05" w:rsidRDefault="005A788C" w:rsidP="005A788C">
      <w:pPr>
        <w:pStyle w:val="subsection"/>
        <w:rPr>
          <w:i/>
        </w:rPr>
      </w:pPr>
      <w:r w:rsidRPr="00335B05">
        <w:rPr>
          <w:i/>
        </w:rPr>
        <w:tab/>
        <w:t>(Signature or printed or stamped signature of the Minister)</w:t>
      </w:r>
    </w:p>
    <w:p w:rsidR="005A788C" w:rsidRPr="00335B05" w:rsidRDefault="005A788C" w:rsidP="005A788C">
      <w:pPr>
        <w:pStyle w:val="subsection"/>
        <w:rPr>
          <w:i/>
        </w:rPr>
      </w:pPr>
      <w:r w:rsidRPr="00335B05">
        <w:rPr>
          <w:i/>
        </w:rPr>
        <w:tab/>
        <w:t xml:space="preserve">MINISTER FOR IMMIGRATION AND </w:t>
      </w:r>
      <w:r w:rsidR="00657BDB" w:rsidRPr="00335B05">
        <w:rPr>
          <w:i/>
        </w:rPr>
        <w:t>BORDER PROTECTION</w:t>
      </w:r>
    </w:p>
    <w:p w:rsidR="005A788C" w:rsidRPr="00335B05" w:rsidRDefault="005A788C" w:rsidP="005A788C">
      <w:pPr>
        <w:pStyle w:val="subsection"/>
        <w:rPr>
          <w:i/>
        </w:rPr>
      </w:pPr>
      <w:r w:rsidRPr="00335B05">
        <w:rPr>
          <w:i/>
        </w:rPr>
        <w:tab/>
        <w:t>(Signature of presiding officer)</w:t>
      </w:r>
    </w:p>
    <w:p w:rsidR="005A788C" w:rsidRPr="00335B05" w:rsidRDefault="005A788C" w:rsidP="005A788C">
      <w:pPr>
        <w:pStyle w:val="subsection"/>
      </w:pPr>
      <w:r w:rsidRPr="00335B05">
        <w:t>Dated:</w:t>
      </w:r>
    </w:p>
    <w:p w:rsidR="005A788C" w:rsidRPr="00335B05" w:rsidRDefault="005A788C" w:rsidP="005A788C">
      <w:pPr>
        <w:pStyle w:val="subsection"/>
      </w:pPr>
      <w:r w:rsidRPr="00335B05">
        <w:tab/>
        <w:t>Evidence No:</w:t>
      </w:r>
    </w:p>
    <w:p w:rsidR="005A788C" w:rsidRPr="00335B05" w:rsidRDefault="005A788C" w:rsidP="00B16128">
      <w:pPr>
        <w:pStyle w:val="ActHead1"/>
        <w:pageBreakBefore/>
      </w:pPr>
      <w:bookmarkStart w:id="29" w:name="_Toc465860549"/>
      <w:r w:rsidRPr="00335B05">
        <w:rPr>
          <w:rStyle w:val="CharChapNo"/>
        </w:rPr>
        <w:lastRenderedPageBreak/>
        <w:t>Schedule</w:t>
      </w:r>
      <w:r w:rsidR="00335B05" w:rsidRPr="00335B05">
        <w:rPr>
          <w:rStyle w:val="CharChapNo"/>
        </w:rPr>
        <w:t> </w:t>
      </w:r>
      <w:r w:rsidRPr="00335B05">
        <w:rPr>
          <w:rStyle w:val="CharChapNo"/>
        </w:rPr>
        <w:t>3</w:t>
      </w:r>
      <w:r w:rsidRPr="00335B05">
        <w:t>—</w:t>
      </w:r>
      <w:r w:rsidRPr="00335B05">
        <w:rPr>
          <w:rStyle w:val="CharChapText"/>
        </w:rPr>
        <w:t>Amounts to accompany applications</w:t>
      </w:r>
      <w:bookmarkEnd w:id="29"/>
    </w:p>
    <w:p w:rsidR="005A788C" w:rsidRPr="00335B05" w:rsidRDefault="00B16128" w:rsidP="005A788C">
      <w:pPr>
        <w:pStyle w:val="notemargin"/>
      </w:pPr>
      <w:r w:rsidRPr="00335B05">
        <w:t>Note:</w:t>
      </w:r>
      <w:r w:rsidRPr="00335B05">
        <w:tab/>
        <w:t xml:space="preserve">See </w:t>
      </w:r>
      <w:r w:rsidR="005A788C" w:rsidRPr="00335B05">
        <w:t>sub</w:t>
      </w:r>
      <w:r w:rsidRPr="00335B05">
        <w:t>section</w:t>
      </w:r>
      <w:r w:rsidR="00335B05" w:rsidRPr="00335B05">
        <w:t> </w:t>
      </w:r>
      <w:r w:rsidR="008D0E54" w:rsidRPr="00335B05">
        <w:t>16</w:t>
      </w:r>
      <w:r w:rsidRPr="00335B05">
        <w:t>(1).</w:t>
      </w:r>
    </w:p>
    <w:p w:rsidR="005A788C" w:rsidRPr="00335B05" w:rsidRDefault="005A788C" w:rsidP="005A788C">
      <w:pPr>
        <w:pStyle w:val="Header"/>
      </w:pPr>
      <w:bookmarkStart w:id="30" w:name="f_Check_Lines_below"/>
      <w:bookmarkEnd w:id="30"/>
      <w:r w:rsidRPr="00335B05">
        <w:rPr>
          <w:rStyle w:val="CharPartNo"/>
        </w:rPr>
        <w:t xml:space="preserve"> </w:t>
      </w:r>
      <w:r w:rsidRPr="00335B05">
        <w:rPr>
          <w:rStyle w:val="CharPartText"/>
        </w:rPr>
        <w:t xml:space="preserve"> </w:t>
      </w:r>
    </w:p>
    <w:p w:rsidR="00F65F7A" w:rsidRPr="00335B05" w:rsidRDefault="00F65F7A" w:rsidP="00F65F7A">
      <w:pPr>
        <w:pStyle w:val="Header"/>
      </w:pPr>
      <w:r w:rsidRPr="00335B05">
        <w:rPr>
          <w:rStyle w:val="CharDivNo"/>
        </w:rPr>
        <w:t xml:space="preserve"> </w:t>
      </w:r>
      <w:r w:rsidRPr="00335B05">
        <w:rPr>
          <w:rStyle w:val="CharDivText"/>
        </w:rPr>
        <w:t xml:space="preserve"> </w:t>
      </w:r>
    </w:p>
    <w:tbl>
      <w:tblPr>
        <w:tblW w:w="4875"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624"/>
        <w:gridCol w:w="4938"/>
        <w:gridCol w:w="2754"/>
      </w:tblGrid>
      <w:tr w:rsidR="00332E84" w:rsidRPr="00335B05" w:rsidTr="00ED5A54">
        <w:trPr>
          <w:tblHeader/>
        </w:trPr>
        <w:tc>
          <w:tcPr>
            <w:tcW w:w="5000" w:type="pct"/>
            <w:gridSpan w:val="3"/>
            <w:tcBorders>
              <w:top w:val="single" w:sz="12" w:space="0" w:color="auto"/>
              <w:bottom w:val="single" w:sz="2" w:space="0" w:color="auto"/>
            </w:tcBorders>
            <w:shd w:val="clear" w:color="auto" w:fill="auto"/>
          </w:tcPr>
          <w:p w:rsidR="00332E84" w:rsidRPr="00335B05" w:rsidRDefault="00332E84" w:rsidP="008879B3">
            <w:pPr>
              <w:pStyle w:val="TableHeading"/>
            </w:pPr>
            <w:r w:rsidRPr="00335B05">
              <w:t>Amounts to accompany applications</w:t>
            </w:r>
          </w:p>
        </w:tc>
      </w:tr>
      <w:tr w:rsidR="00332E84" w:rsidRPr="00335B05" w:rsidTr="00ED5A54">
        <w:trPr>
          <w:tblHeader/>
        </w:trPr>
        <w:tc>
          <w:tcPr>
            <w:tcW w:w="375" w:type="pct"/>
            <w:tcBorders>
              <w:top w:val="single" w:sz="2" w:space="0" w:color="auto"/>
              <w:bottom w:val="single" w:sz="12" w:space="0" w:color="auto"/>
            </w:tcBorders>
            <w:shd w:val="clear" w:color="auto" w:fill="auto"/>
          </w:tcPr>
          <w:p w:rsidR="00332E84" w:rsidRPr="00335B05" w:rsidRDefault="00332E84" w:rsidP="008879B3">
            <w:pPr>
              <w:pStyle w:val="TableHeading"/>
            </w:pPr>
            <w:r w:rsidRPr="00335B05">
              <w:t>Item</w:t>
            </w:r>
          </w:p>
        </w:tc>
        <w:tc>
          <w:tcPr>
            <w:tcW w:w="2969" w:type="pct"/>
            <w:tcBorders>
              <w:top w:val="single" w:sz="2" w:space="0" w:color="auto"/>
              <w:bottom w:val="single" w:sz="12" w:space="0" w:color="auto"/>
            </w:tcBorders>
            <w:shd w:val="clear" w:color="auto" w:fill="auto"/>
          </w:tcPr>
          <w:p w:rsidR="00332E84" w:rsidRPr="00335B05" w:rsidRDefault="00332E84" w:rsidP="008879B3">
            <w:pPr>
              <w:pStyle w:val="TableHeading"/>
            </w:pPr>
            <w:r w:rsidRPr="00335B05">
              <w:t>Column 1</w:t>
            </w:r>
          </w:p>
          <w:p w:rsidR="00332E84" w:rsidRPr="00335B05" w:rsidRDefault="00332E84" w:rsidP="008879B3">
            <w:pPr>
              <w:pStyle w:val="TableHeading"/>
            </w:pPr>
            <w:r w:rsidRPr="00335B05">
              <w:t>Application</w:t>
            </w:r>
          </w:p>
        </w:tc>
        <w:tc>
          <w:tcPr>
            <w:tcW w:w="1656" w:type="pct"/>
            <w:tcBorders>
              <w:top w:val="single" w:sz="2" w:space="0" w:color="auto"/>
              <w:bottom w:val="single" w:sz="12" w:space="0" w:color="auto"/>
            </w:tcBorders>
            <w:shd w:val="clear" w:color="auto" w:fill="auto"/>
          </w:tcPr>
          <w:p w:rsidR="00332E84" w:rsidRPr="00335B05" w:rsidRDefault="00332E84" w:rsidP="008879B3">
            <w:pPr>
              <w:pStyle w:val="TableHeading"/>
            </w:pPr>
            <w:r w:rsidRPr="00335B05">
              <w:t>Column 2</w:t>
            </w:r>
          </w:p>
          <w:p w:rsidR="00332E84" w:rsidRPr="00335B05" w:rsidRDefault="00332E84" w:rsidP="008879B3">
            <w:pPr>
              <w:pStyle w:val="TableHeading"/>
            </w:pPr>
            <w:r w:rsidRPr="00335B05">
              <w:t>Amount</w:t>
            </w:r>
          </w:p>
        </w:tc>
      </w:tr>
      <w:tr w:rsidR="005C18CC" w:rsidRPr="00335B05" w:rsidTr="00ED5A54">
        <w:tc>
          <w:tcPr>
            <w:tcW w:w="375" w:type="pct"/>
            <w:tcBorders>
              <w:top w:val="single" w:sz="12" w:space="0" w:color="auto"/>
            </w:tcBorders>
            <w:shd w:val="clear" w:color="auto" w:fill="auto"/>
          </w:tcPr>
          <w:p w:rsidR="005C18CC" w:rsidRPr="00335B05" w:rsidRDefault="005C18CC" w:rsidP="005C18CC">
            <w:pPr>
              <w:pStyle w:val="Tabletext"/>
            </w:pPr>
            <w:r w:rsidRPr="00335B05">
              <w:t>1</w:t>
            </w:r>
          </w:p>
        </w:tc>
        <w:tc>
          <w:tcPr>
            <w:tcW w:w="2969" w:type="pct"/>
            <w:tcBorders>
              <w:top w:val="single" w:sz="12" w:space="0" w:color="auto"/>
            </w:tcBorders>
            <w:shd w:val="clear" w:color="auto" w:fill="auto"/>
          </w:tcPr>
          <w:p w:rsidR="005C18CC" w:rsidRPr="00335B05" w:rsidRDefault="005C18CC" w:rsidP="005C18CC">
            <w:pPr>
              <w:pStyle w:val="Tabletext"/>
            </w:pPr>
            <w:r w:rsidRPr="00335B05">
              <w:t>Applications made at the same time under section</w:t>
            </w:r>
            <w:r w:rsidR="00335B05" w:rsidRPr="00335B05">
              <w:t> </w:t>
            </w:r>
            <w:r w:rsidRPr="00335B05">
              <w:t>16 of the Act by 2 or more siblings</w:t>
            </w:r>
          </w:p>
        </w:tc>
        <w:tc>
          <w:tcPr>
            <w:tcW w:w="1656" w:type="pct"/>
            <w:tcBorders>
              <w:top w:val="single" w:sz="12" w:space="0" w:color="auto"/>
            </w:tcBorders>
            <w:shd w:val="clear" w:color="auto" w:fill="auto"/>
          </w:tcPr>
          <w:p w:rsidR="005C18CC" w:rsidRPr="00335B05" w:rsidRDefault="005C18CC" w:rsidP="005C18CC">
            <w:pPr>
              <w:pStyle w:val="Tabletext"/>
            </w:pPr>
            <w:r w:rsidRPr="00335B05">
              <w:t>$230 for the application by the first sibling, and $95 for the applications made by the second and subsequent siblings</w:t>
            </w:r>
          </w:p>
        </w:tc>
      </w:tr>
      <w:tr w:rsidR="005C18CC" w:rsidRPr="00335B05" w:rsidTr="00ED5A54">
        <w:tc>
          <w:tcPr>
            <w:tcW w:w="375" w:type="pct"/>
            <w:shd w:val="clear" w:color="auto" w:fill="auto"/>
          </w:tcPr>
          <w:p w:rsidR="005C18CC" w:rsidRPr="00335B05" w:rsidRDefault="005C18CC" w:rsidP="005C18CC">
            <w:pPr>
              <w:pStyle w:val="Tabletext"/>
            </w:pPr>
            <w:r w:rsidRPr="00335B05">
              <w:t>2</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 xml:space="preserve">16 of the Act, </w:t>
            </w:r>
            <w:r w:rsidRPr="00335B05">
              <w:rPr>
                <w:szCs w:val="22"/>
              </w:rPr>
              <w:t xml:space="preserve">other than </w:t>
            </w:r>
            <w:r w:rsidRPr="00335B05">
              <w:t>an application mentioned in item</w:t>
            </w:r>
            <w:r w:rsidR="00335B05" w:rsidRPr="00335B05">
              <w:t> </w:t>
            </w:r>
            <w:r w:rsidRPr="00335B05">
              <w:t>1</w:t>
            </w:r>
          </w:p>
        </w:tc>
        <w:tc>
          <w:tcPr>
            <w:tcW w:w="1656" w:type="pct"/>
            <w:shd w:val="clear" w:color="auto" w:fill="auto"/>
          </w:tcPr>
          <w:p w:rsidR="005C18CC" w:rsidRPr="00335B05" w:rsidRDefault="005C18CC" w:rsidP="005C18CC">
            <w:pPr>
              <w:pStyle w:val="Tabletext"/>
            </w:pPr>
            <w:r w:rsidRPr="00335B05">
              <w:t>$230</w:t>
            </w:r>
          </w:p>
        </w:tc>
      </w:tr>
      <w:tr w:rsidR="005C18CC" w:rsidRPr="00335B05" w:rsidTr="00ED5A54">
        <w:tc>
          <w:tcPr>
            <w:tcW w:w="375" w:type="pct"/>
            <w:shd w:val="clear" w:color="auto" w:fill="auto"/>
          </w:tcPr>
          <w:p w:rsidR="005C18CC" w:rsidRPr="00335B05" w:rsidRDefault="005C18CC" w:rsidP="005C18CC">
            <w:pPr>
              <w:pStyle w:val="Tabletext"/>
            </w:pPr>
            <w:r w:rsidRPr="00335B05">
              <w:t>3</w:t>
            </w:r>
          </w:p>
        </w:tc>
        <w:tc>
          <w:tcPr>
            <w:tcW w:w="2969" w:type="pct"/>
            <w:shd w:val="clear" w:color="auto" w:fill="auto"/>
          </w:tcPr>
          <w:p w:rsidR="005C18CC" w:rsidRPr="00335B05" w:rsidRDefault="005C18CC" w:rsidP="005C18CC">
            <w:pPr>
              <w:pStyle w:val="Tabletext"/>
            </w:pPr>
            <w:r w:rsidRPr="00335B05">
              <w:t>Applications made at the same time under section</w:t>
            </w:r>
            <w:r w:rsidR="00335B05" w:rsidRPr="00335B05">
              <w:t> </w:t>
            </w:r>
            <w:r w:rsidRPr="00335B05">
              <w:t>19C of the Act by 2 or more siblings</w:t>
            </w:r>
          </w:p>
        </w:tc>
        <w:tc>
          <w:tcPr>
            <w:tcW w:w="1656" w:type="pct"/>
            <w:shd w:val="clear" w:color="auto" w:fill="auto"/>
          </w:tcPr>
          <w:p w:rsidR="005C18CC" w:rsidRPr="00335B05" w:rsidRDefault="005C18CC" w:rsidP="005C18CC">
            <w:pPr>
              <w:pStyle w:val="Tabletext"/>
            </w:pPr>
            <w:r w:rsidRPr="00335B05">
              <w:t>$230 for the application by the first sibling, and $95 for the applications made by the second and subsequent siblings</w:t>
            </w:r>
          </w:p>
        </w:tc>
      </w:tr>
      <w:tr w:rsidR="005C18CC" w:rsidRPr="00335B05" w:rsidTr="00ED5A54">
        <w:tc>
          <w:tcPr>
            <w:tcW w:w="375" w:type="pct"/>
            <w:shd w:val="clear" w:color="auto" w:fill="auto"/>
          </w:tcPr>
          <w:p w:rsidR="005C18CC" w:rsidRPr="00335B05" w:rsidRDefault="005C18CC" w:rsidP="005C18CC">
            <w:pPr>
              <w:pStyle w:val="Tabletext"/>
            </w:pPr>
            <w:r w:rsidRPr="00335B05">
              <w:t>4</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19C of the Act, other than an application mentioned in item</w:t>
            </w:r>
            <w:r w:rsidR="00335B05" w:rsidRPr="00335B05">
              <w:t> </w:t>
            </w:r>
            <w:r w:rsidRPr="00335B05">
              <w:t>3</w:t>
            </w:r>
          </w:p>
        </w:tc>
        <w:tc>
          <w:tcPr>
            <w:tcW w:w="1656" w:type="pct"/>
            <w:shd w:val="clear" w:color="auto" w:fill="auto"/>
          </w:tcPr>
          <w:p w:rsidR="005C18CC" w:rsidRPr="00335B05" w:rsidRDefault="005C18CC" w:rsidP="005C18CC">
            <w:pPr>
              <w:pStyle w:val="Tabletext"/>
            </w:pPr>
            <w:r w:rsidRPr="00335B05">
              <w:t>$230</w:t>
            </w:r>
          </w:p>
        </w:tc>
      </w:tr>
      <w:tr w:rsidR="005C18CC" w:rsidRPr="00335B05" w:rsidTr="00ED5A54">
        <w:tc>
          <w:tcPr>
            <w:tcW w:w="375" w:type="pct"/>
            <w:shd w:val="clear" w:color="auto" w:fill="auto"/>
          </w:tcPr>
          <w:p w:rsidR="005C18CC" w:rsidRPr="00335B05" w:rsidRDefault="005C18CC" w:rsidP="005C18CC">
            <w:pPr>
              <w:pStyle w:val="Tabletext"/>
            </w:pPr>
            <w:r w:rsidRPr="00335B05">
              <w:t>5</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 the applicant has completed at least 90 days service in the permanent forces of the Commonwealth or 90 days National Service under section</w:t>
            </w:r>
            <w:r w:rsidR="00335B05" w:rsidRPr="00335B05">
              <w:t> </w:t>
            </w:r>
            <w:r w:rsidRPr="00335B05">
              <w:t xml:space="preserve">26 of the </w:t>
            </w:r>
            <w:r w:rsidRPr="00335B05">
              <w:rPr>
                <w:i/>
              </w:rPr>
              <w:t xml:space="preserve">National Service Act 1951 </w:t>
            </w:r>
            <w:r w:rsidRPr="00335B05">
              <w:t>as in force at any time before 26</w:t>
            </w:r>
            <w:r w:rsidR="00335B05" w:rsidRPr="00335B05">
              <w:t> </w:t>
            </w:r>
            <w:r w:rsidRPr="00335B05">
              <w:t>November 1964</w:t>
            </w:r>
          </w:p>
        </w:tc>
        <w:tc>
          <w:tcPr>
            <w:tcW w:w="1656" w:type="pct"/>
            <w:shd w:val="clear" w:color="auto" w:fill="auto"/>
          </w:tcPr>
          <w:p w:rsidR="005C18CC" w:rsidRPr="00335B05" w:rsidRDefault="005C18CC" w:rsidP="005C18CC">
            <w:pPr>
              <w:pStyle w:val="Tabletext"/>
            </w:pPr>
            <w:r w:rsidRPr="00335B05">
              <w:t>Nil</w:t>
            </w:r>
          </w:p>
        </w:tc>
      </w:tr>
      <w:tr w:rsidR="005C18CC" w:rsidRPr="00335B05" w:rsidTr="00ED5A54">
        <w:tc>
          <w:tcPr>
            <w:tcW w:w="375" w:type="pct"/>
            <w:shd w:val="clear" w:color="auto" w:fill="auto"/>
          </w:tcPr>
          <w:p w:rsidR="005C18CC" w:rsidRPr="00335B05" w:rsidRDefault="005C18CC" w:rsidP="005C18CC">
            <w:pPr>
              <w:pStyle w:val="Tabletext"/>
            </w:pPr>
            <w:r w:rsidRPr="00335B05">
              <w:t>6</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 the applicant entered Australia from the United Kingdom or Malta between 22</w:t>
            </w:r>
            <w:r w:rsidR="00335B05" w:rsidRPr="00335B05">
              <w:t> </w:t>
            </w:r>
            <w:r w:rsidRPr="00335B05">
              <w:t>September 1947 and 31</w:t>
            </w:r>
            <w:r w:rsidR="00335B05" w:rsidRPr="00335B05">
              <w:t> </w:t>
            </w:r>
            <w:r w:rsidRPr="00335B05">
              <w:t xml:space="preserve">December 1967 inclusive, and was a ward of the Minister under the </w:t>
            </w:r>
            <w:r w:rsidRPr="00335B05">
              <w:rPr>
                <w:i/>
              </w:rPr>
              <w:t>Immigration (Guardianship of Children) Act 1946</w:t>
            </w:r>
          </w:p>
        </w:tc>
        <w:tc>
          <w:tcPr>
            <w:tcW w:w="1656" w:type="pct"/>
            <w:shd w:val="clear" w:color="auto" w:fill="auto"/>
          </w:tcPr>
          <w:p w:rsidR="005C18CC" w:rsidRPr="00335B05" w:rsidRDefault="005C18CC" w:rsidP="005C18CC">
            <w:pPr>
              <w:pStyle w:val="Tabletext"/>
            </w:pPr>
            <w:r w:rsidRPr="00335B05">
              <w:t>Nil</w:t>
            </w:r>
          </w:p>
        </w:tc>
      </w:tr>
      <w:tr w:rsidR="005C18CC" w:rsidRPr="00335B05" w:rsidTr="00ED5A54">
        <w:tc>
          <w:tcPr>
            <w:tcW w:w="375" w:type="pct"/>
            <w:shd w:val="clear" w:color="auto" w:fill="auto"/>
          </w:tcPr>
          <w:p w:rsidR="005C18CC" w:rsidRPr="00335B05" w:rsidRDefault="005C18CC" w:rsidP="005C18CC">
            <w:pPr>
              <w:pStyle w:val="Tabletext"/>
            </w:pPr>
            <w:r w:rsidRPr="00335B05">
              <w:t>7</w:t>
            </w:r>
          </w:p>
        </w:tc>
        <w:tc>
          <w:tcPr>
            <w:tcW w:w="2969" w:type="pct"/>
            <w:shd w:val="clear" w:color="auto" w:fill="auto"/>
          </w:tcPr>
          <w:p w:rsidR="005C18CC" w:rsidRPr="00335B05" w:rsidRDefault="005C18CC" w:rsidP="005C18CC">
            <w:pPr>
              <w:pStyle w:val="Tabletext"/>
            </w:pPr>
            <w:r w:rsidRPr="00335B05">
              <w:t xml:space="preserve">An application (the </w:t>
            </w:r>
            <w:r w:rsidRPr="00335B05">
              <w:rPr>
                <w:b/>
                <w:i/>
              </w:rPr>
              <w:t>new application</w:t>
            </w:r>
            <w:r w:rsidRPr="00335B05">
              <w:t>) under section</w:t>
            </w:r>
            <w:r w:rsidR="00335B05" w:rsidRPr="00335B05">
              <w:t> </w:t>
            </w:r>
            <w:r w:rsidRPr="00335B05">
              <w:t>21 of the Act if:</w:t>
            </w:r>
          </w:p>
          <w:p w:rsidR="005C18CC" w:rsidRPr="00335B05" w:rsidRDefault="005C18CC" w:rsidP="005C18CC">
            <w:pPr>
              <w:pStyle w:val="Tablea"/>
            </w:pPr>
            <w:r w:rsidRPr="00335B05">
              <w:t>(a) the applicant claims eligibility on the</w:t>
            </w:r>
            <w:r w:rsidR="00F65F7A" w:rsidRPr="00335B05">
              <w:t xml:space="preserve"> </w:t>
            </w:r>
            <w:r w:rsidRPr="00335B05">
              <w:t>basis of the criteria in subsection</w:t>
            </w:r>
            <w:r w:rsidR="00335B05" w:rsidRPr="00335B05">
              <w:t> </w:t>
            </w:r>
            <w:r w:rsidRPr="00335B05">
              <w:t>21(3) or (4) of the Act; and</w:t>
            </w:r>
          </w:p>
          <w:p w:rsidR="005C18CC" w:rsidRPr="00335B05" w:rsidRDefault="005C18CC" w:rsidP="000F412B">
            <w:pPr>
              <w:pStyle w:val="Tablea"/>
            </w:pPr>
            <w:r w:rsidRPr="00335B05">
              <w:rPr>
                <w:szCs w:val="22"/>
              </w:rPr>
              <w:t xml:space="preserve">(b) the applicant previously made an application (the </w:t>
            </w:r>
            <w:r w:rsidRPr="00335B05">
              <w:rPr>
                <w:b/>
                <w:i/>
                <w:szCs w:val="22"/>
              </w:rPr>
              <w:t>old application</w:t>
            </w:r>
            <w:r w:rsidRPr="00335B05">
              <w:rPr>
                <w:szCs w:val="22"/>
              </w:rPr>
              <w:t>) under</w:t>
            </w:r>
            <w:r w:rsidR="000F412B" w:rsidRPr="00335B05">
              <w:rPr>
                <w:szCs w:val="22"/>
              </w:rPr>
              <w:t xml:space="preserve"> </w:t>
            </w:r>
            <w:r w:rsidRPr="00335B05">
              <w:t>section</w:t>
            </w:r>
            <w:r w:rsidR="00335B05" w:rsidRPr="00335B05">
              <w:t> </w:t>
            </w:r>
            <w:r w:rsidRPr="00335B05">
              <w:t>21 of the Act; and</w:t>
            </w:r>
          </w:p>
          <w:p w:rsidR="005C18CC" w:rsidRPr="00335B05" w:rsidRDefault="005C18CC" w:rsidP="005C18CC">
            <w:pPr>
              <w:pStyle w:val="Tablea"/>
            </w:pPr>
            <w:r w:rsidRPr="00335B05">
              <w:rPr>
                <w:color w:val="000000"/>
              </w:rPr>
              <w:t>(c) after considering the old application, the Minister refused to approve the person becoming an Australian citizen only because the Minister was not satisfied that the applicant met the residence requirement set out in:</w:t>
            </w:r>
          </w:p>
          <w:p w:rsidR="005C18CC" w:rsidRPr="00335B05" w:rsidRDefault="005C18CC" w:rsidP="005C18CC">
            <w:pPr>
              <w:pStyle w:val="Tablei"/>
            </w:pPr>
            <w:r w:rsidRPr="00335B05">
              <w:t>(i) subsection</w:t>
            </w:r>
            <w:r w:rsidR="00335B05" w:rsidRPr="00335B05">
              <w:t> </w:t>
            </w:r>
            <w:r w:rsidRPr="00335B05">
              <w:t>22(1) of the Act; or</w:t>
            </w:r>
          </w:p>
          <w:p w:rsidR="005C18CC" w:rsidRPr="00335B05" w:rsidRDefault="005C18CC" w:rsidP="005C18CC">
            <w:pPr>
              <w:pStyle w:val="Tablei"/>
            </w:pPr>
            <w:r w:rsidRPr="00335B05">
              <w:t>(</w:t>
            </w:r>
            <w:r w:rsidR="000F412B" w:rsidRPr="00335B05">
              <w:t>ii</w:t>
            </w:r>
            <w:r w:rsidRPr="00335B05">
              <w:t>) paragraph</w:t>
            </w:r>
            <w:r w:rsidR="00335B05" w:rsidRPr="00335B05">
              <w:t> </w:t>
            </w:r>
            <w:r w:rsidRPr="00335B05">
              <w:t>22A(1)(c), (d), (f) or (g) of the Act; or</w:t>
            </w:r>
          </w:p>
          <w:p w:rsidR="005C18CC" w:rsidRPr="00335B05" w:rsidRDefault="005C18CC" w:rsidP="005C18CC">
            <w:pPr>
              <w:pStyle w:val="Tablei"/>
            </w:pPr>
            <w:r w:rsidRPr="00335B05">
              <w:t>(</w:t>
            </w:r>
            <w:r w:rsidR="000F412B" w:rsidRPr="00335B05">
              <w:t>i</w:t>
            </w:r>
            <w:r w:rsidR="004C59EA" w:rsidRPr="00335B05">
              <w:t>ii</w:t>
            </w:r>
            <w:r w:rsidRPr="00335B05">
              <w:t>) paragraph</w:t>
            </w:r>
            <w:r w:rsidR="00335B05" w:rsidRPr="00335B05">
              <w:t> </w:t>
            </w:r>
            <w:r w:rsidRPr="00335B05">
              <w:t>22B(1)(c), (d), (f) or (g) of the Act; and</w:t>
            </w:r>
          </w:p>
          <w:p w:rsidR="000F412B" w:rsidRPr="00335B05" w:rsidRDefault="000F412B" w:rsidP="005C18CC">
            <w:pPr>
              <w:pStyle w:val="Tablea"/>
            </w:pPr>
            <w:r w:rsidRPr="00335B05">
              <w:t xml:space="preserve">(d) the applicant made the new application during the period beginning </w:t>
            </w:r>
            <w:r w:rsidR="004C59EA" w:rsidRPr="00335B05">
              <w:t>on</w:t>
            </w:r>
            <w:r w:rsidRPr="00335B05">
              <w:t xml:space="preserve"> the day of the refusal and ending at the earlier of:</w:t>
            </w:r>
          </w:p>
          <w:p w:rsidR="000F412B" w:rsidRPr="00335B05" w:rsidRDefault="000F412B" w:rsidP="000F412B">
            <w:pPr>
              <w:pStyle w:val="Tablei"/>
            </w:pPr>
            <w:r w:rsidRPr="00335B05">
              <w:t xml:space="preserve">(i) the end of 3 months after the </w:t>
            </w:r>
            <w:r w:rsidR="004C59EA" w:rsidRPr="00335B05">
              <w:t xml:space="preserve">applicant </w:t>
            </w:r>
            <w:r w:rsidRPr="00335B05">
              <w:t>first became able to meet the residence requirement; and</w:t>
            </w:r>
          </w:p>
          <w:p w:rsidR="005C18CC" w:rsidRPr="00335B05" w:rsidRDefault="000F412B" w:rsidP="00E44868">
            <w:pPr>
              <w:pStyle w:val="Tablei"/>
            </w:pPr>
            <w:r w:rsidRPr="00335B05">
              <w:lastRenderedPageBreak/>
              <w:t xml:space="preserve">(ii) </w:t>
            </w:r>
            <w:r w:rsidR="00E44868" w:rsidRPr="00335B05">
              <w:t>the end of 1 year</w:t>
            </w:r>
            <w:r w:rsidRPr="00335B05">
              <w:t xml:space="preserve"> after the day of the refusal</w:t>
            </w:r>
          </w:p>
        </w:tc>
        <w:tc>
          <w:tcPr>
            <w:tcW w:w="1656" w:type="pct"/>
            <w:shd w:val="clear" w:color="auto" w:fill="auto"/>
          </w:tcPr>
          <w:p w:rsidR="005C18CC" w:rsidRPr="00335B05" w:rsidRDefault="005C18CC" w:rsidP="005C18CC">
            <w:pPr>
              <w:pStyle w:val="Tabletext"/>
            </w:pPr>
            <w:r w:rsidRPr="00335B05">
              <w:lastRenderedPageBreak/>
              <w:t>Nil</w:t>
            </w:r>
          </w:p>
        </w:tc>
      </w:tr>
      <w:tr w:rsidR="005C18CC" w:rsidRPr="00335B05" w:rsidTr="00ED5A54">
        <w:tc>
          <w:tcPr>
            <w:tcW w:w="375" w:type="pct"/>
            <w:shd w:val="clear" w:color="auto" w:fill="auto"/>
          </w:tcPr>
          <w:p w:rsidR="005C18CC" w:rsidRPr="00335B05" w:rsidRDefault="005C18CC" w:rsidP="005C18CC">
            <w:pPr>
              <w:pStyle w:val="Tabletext"/>
            </w:pPr>
            <w:r w:rsidRPr="00335B05">
              <w:lastRenderedPageBreak/>
              <w:t>8</w:t>
            </w:r>
          </w:p>
        </w:tc>
        <w:tc>
          <w:tcPr>
            <w:tcW w:w="2969" w:type="pct"/>
            <w:shd w:val="clear" w:color="auto" w:fill="auto"/>
          </w:tcPr>
          <w:p w:rsidR="005C18CC" w:rsidRPr="00335B05" w:rsidRDefault="005C18CC" w:rsidP="005C18CC">
            <w:pPr>
              <w:pStyle w:val="Tabletext"/>
            </w:pPr>
            <w:r w:rsidRPr="00335B05">
              <w:t xml:space="preserve">An application (the </w:t>
            </w:r>
            <w:r w:rsidRPr="00335B05">
              <w:rPr>
                <w:b/>
                <w:i/>
              </w:rPr>
              <w:t>new application</w:t>
            </w:r>
            <w:r w:rsidRPr="00335B05">
              <w:t>) under section</w:t>
            </w:r>
            <w:r w:rsidR="00335B05" w:rsidRPr="00335B05">
              <w:t> </w:t>
            </w:r>
            <w:r w:rsidRPr="00335B05">
              <w:t>21 of the Act if:</w:t>
            </w:r>
          </w:p>
          <w:p w:rsidR="005C18CC" w:rsidRPr="00335B05" w:rsidRDefault="005C18CC" w:rsidP="005C18CC">
            <w:pPr>
              <w:pStyle w:val="Tablea"/>
            </w:pPr>
            <w:r w:rsidRPr="00335B05">
              <w:rPr>
                <w:color w:val="000000"/>
              </w:rPr>
              <w:t>(a) the applicant claims eligibility on the</w:t>
            </w:r>
            <w:r w:rsidR="00F65F7A" w:rsidRPr="00335B05">
              <w:rPr>
                <w:color w:val="000000"/>
              </w:rPr>
              <w:t xml:space="preserve"> </w:t>
            </w:r>
            <w:r w:rsidRPr="00335B05">
              <w:rPr>
                <w:color w:val="000000"/>
              </w:rPr>
              <w:t>basis of the criteria in subsection</w:t>
            </w:r>
            <w:r w:rsidR="00335B05" w:rsidRPr="00335B05">
              <w:rPr>
                <w:color w:val="000000"/>
              </w:rPr>
              <w:t> </w:t>
            </w:r>
            <w:r w:rsidRPr="00335B05">
              <w:rPr>
                <w:color w:val="000000"/>
              </w:rPr>
              <w:t>21(2) of the Act; and</w:t>
            </w:r>
          </w:p>
          <w:p w:rsidR="005C18CC" w:rsidRPr="00335B05" w:rsidRDefault="005C18CC" w:rsidP="005C18CC">
            <w:pPr>
              <w:pStyle w:val="Tablea"/>
            </w:pPr>
            <w:r w:rsidRPr="00335B05">
              <w:t xml:space="preserve">(b) the applicant previously made an application (the </w:t>
            </w:r>
            <w:r w:rsidRPr="00335B05">
              <w:rPr>
                <w:b/>
                <w:i/>
              </w:rPr>
              <w:t>old application</w:t>
            </w:r>
            <w:r w:rsidRPr="00335B05">
              <w:t>)</w:t>
            </w:r>
            <w:r w:rsidR="00A02965" w:rsidRPr="00335B05">
              <w:t xml:space="preserve"> </w:t>
            </w:r>
            <w:r w:rsidR="00A02965" w:rsidRPr="00335B05">
              <w:rPr>
                <w:szCs w:val="22"/>
              </w:rPr>
              <w:t xml:space="preserve">under </w:t>
            </w:r>
            <w:r w:rsidR="00A02965" w:rsidRPr="00335B05">
              <w:t>section</w:t>
            </w:r>
            <w:r w:rsidR="00335B05" w:rsidRPr="00335B05">
              <w:t> </w:t>
            </w:r>
            <w:r w:rsidR="00A02965" w:rsidRPr="00335B05">
              <w:t>21 of the Act</w:t>
            </w:r>
            <w:r w:rsidRPr="00335B05">
              <w:t xml:space="preserve"> on or after 1</w:t>
            </w:r>
            <w:r w:rsidR="00335B05" w:rsidRPr="00335B05">
              <w:t> </w:t>
            </w:r>
            <w:r w:rsidRPr="00335B05">
              <w:t>October 2007; and</w:t>
            </w:r>
          </w:p>
          <w:p w:rsidR="005C18CC" w:rsidRPr="00335B05" w:rsidRDefault="005C18CC" w:rsidP="005C18CC">
            <w:pPr>
              <w:pStyle w:val="Tablea"/>
            </w:pPr>
            <w:r w:rsidRPr="00335B05">
              <w:t>(c) under the old application, the applicant claimed eligibility on the</w:t>
            </w:r>
            <w:r w:rsidR="00F65F7A" w:rsidRPr="00335B05">
              <w:t xml:space="preserve"> </w:t>
            </w:r>
            <w:r w:rsidRPr="00335B05">
              <w:t>basis of the criteria in subsection</w:t>
            </w:r>
            <w:r w:rsidR="00335B05" w:rsidRPr="00335B05">
              <w:t> </w:t>
            </w:r>
            <w:r w:rsidRPr="00335B05">
              <w:t>21(2) of the Act; and</w:t>
            </w:r>
          </w:p>
          <w:p w:rsidR="005C18CC" w:rsidRPr="00335B05" w:rsidRDefault="005C18CC" w:rsidP="005C18CC">
            <w:pPr>
              <w:pStyle w:val="Tablea"/>
              <w:keepNext/>
              <w:keepLines/>
            </w:pPr>
            <w:r w:rsidRPr="00335B05">
              <w:t>(d) after considering the old application, the Minister refused to approve the person becoming an Australian citizen only because the Minister was not satisfied that the applicant met the residence requirement set out in:</w:t>
            </w:r>
          </w:p>
          <w:p w:rsidR="005C18CC" w:rsidRPr="00335B05" w:rsidRDefault="005C18CC" w:rsidP="005C18CC">
            <w:pPr>
              <w:pStyle w:val="Tablei"/>
              <w:keepNext/>
              <w:keepLines/>
            </w:pPr>
            <w:r w:rsidRPr="00335B05">
              <w:rPr>
                <w:color w:val="000000"/>
              </w:rPr>
              <w:t>(i) subsection</w:t>
            </w:r>
            <w:r w:rsidR="00335B05" w:rsidRPr="00335B05">
              <w:rPr>
                <w:color w:val="000000"/>
              </w:rPr>
              <w:t> </w:t>
            </w:r>
            <w:r w:rsidRPr="00335B05">
              <w:rPr>
                <w:color w:val="000000"/>
              </w:rPr>
              <w:t>22(1) of the Act; or</w:t>
            </w:r>
          </w:p>
          <w:p w:rsidR="005C18CC" w:rsidRPr="00335B05" w:rsidRDefault="005C18CC" w:rsidP="005C18CC">
            <w:pPr>
              <w:pStyle w:val="Tablei"/>
              <w:keepNext/>
              <w:keepLines/>
            </w:pPr>
            <w:r w:rsidRPr="00335B05">
              <w:t>(ii) paragraph</w:t>
            </w:r>
            <w:r w:rsidR="00335B05" w:rsidRPr="00335B05">
              <w:t> </w:t>
            </w:r>
            <w:r w:rsidRPr="00335B05">
              <w:t>22A(1)(c), (d), (f) or (g) of the Act; or</w:t>
            </w:r>
          </w:p>
          <w:p w:rsidR="005C18CC" w:rsidRPr="00335B05" w:rsidRDefault="005C18CC" w:rsidP="005C18CC">
            <w:pPr>
              <w:pStyle w:val="Tablei"/>
              <w:keepNext/>
              <w:keepLines/>
            </w:pPr>
            <w:r w:rsidRPr="00335B05">
              <w:t>(i</w:t>
            </w:r>
            <w:r w:rsidR="004C59EA" w:rsidRPr="00335B05">
              <w:t>ii</w:t>
            </w:r>
            <w:r w:rsidRPr="00335B05">
              <w:t>) paragraph</w:t>
            </w:r>
            <w:r w:rsidR="00335B05" w:rsidRPr="00335B05">
              <w:t> </w:t>
            </w:r>
            <w:r w:rsidRPr="00335B05">
              <w:t>22B(1)(c), (d),( f) or (g) of the Act; and</w:t>
            </w:r>
          </w:p>
          <w:p w:rsidR="004C59EA" w:rsidRPr="00335B05" w:rsidRDefault="004C59EA" w:rsidP="004C59EA">
            <w:pPr>
              <w:pStyle w:val="Tablea"/>
            </w:pPr>
            <w:r w:rsidRPr="00335B05">
              <w:t>(e) the applicant made the new application during the period beginning on the day of the refusal and ending at the earlier of:</w:t>
            </w:r>
          </w:p>
          <w:p w:rsidR="004C59EA" w:rsidRPr="00335B05" w:rsidRDefault="004C59EA" w:rsidP="004C59EA">
            <w:pPr>
              <w:pStyle w:val="Tablei"/>
            </w:pPr>
            <w:r w:rsidRPr="00335B05">
              <w:t>(i) the end of 3 months after the applicant first became able to meet the residence requirement; and</w:t>
            </w:r>
          </w:p>
          <w:p w:rsidR="005C18CC" w:rsidRPr="00335B05" w:rsidRDefault="004C59EA" w:rsidP="00E44868">
            <w:pPr>
              <w:pStyle w:val="Tablei"/>
            </w:pPr>
            <w:r w:rsidRPr="00335B05">
              <w:t xml:space="preserve">(ii) </w:t>
            </w:r>
            <w:r w:rsidR="00E44868" w:rsidRPr="00335B05">
              <w:t>the end of 1 year</w:t>
            </w:r>
            <w:r w:rsidRPr="00335B05">
              <w:t xml:space="preserve"> after the day of the refusal</w:t>
            </w:r>
          </w:p>
        </w:tc>
        <w:tc>
          <w:tcPr>
            <w:tcW w:w="1656" w:type="pct"/>
            <w:shd w:val="clear" w:color="auto" w:fill="auto"/>
          </w:tcPr>
          <w:p w:rsidR="005C18CC" w:rsidRPr="00335B05" w:rsidRDefault="005C18CC" w:rsidP="005C18CC">
            <w:pPr>
              <w:pStyle w:val="Tabletext"/>
            </w:pPr>
            <w:r w:rsidRPr="00335B05">
              <w:t>Nil</w:t>
            </w:r>
          </w:p>
        </w:tc>
      </w:tr>
      <w:tr w:rsidR="005C18CC" w:rsidRPr="00335B05" w:rsidTr="00ED5A54">
        <w:tc>
          <w:tcPr>
            <w:tcW w:w="375" w:type="pct"/>
            <w:shd w:val="clear" w:color="auto" w:fill="auto"/>
          </w:tcPr>
          <w:p w:rsidR="005C18CC" w:rsidRPr="00335B05" w:rsidRDefault="005C18CC" w:rsidP="005C18CC">
            <w:pPr>
              <w:pStyle w:val="Tabletext"/>
            </w:pPr>
            <w:r w:rsidRPr="00335B05">
              <w:t>9</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 the applicant has applied under subsection</w:t>
            </w:r>
            <w:r w:rsidR="00335B05" w:rsidRPr="00335B05">
              <w:t> </w:t>
            </w:r>
            <w:r w:rsidRPr="00335B05">
              <w:t>21(8) of the Act (statelessness)</w:t>
            </w:r>
          </w:p>
        </w:tc>
        <w:tc>
          <w:tcPr>
            <w:tcW w:w="1656" w:type="pct"/>
            <w:shd w:val="clear" w:color="auto" w:fill="auto"/>
          </w:tcPr>
          <w:p w:rsidR="005C18CC" w:rsidRPr="00335B05" w:rsidRDefault="005C18CC" w:rsidP="005C18CC">
            <w:pPr>
              <w:pStyle w:val="Tabletext"/>
            </w:pPr>
            <w:r w:rsidRPr="00335B05">
              <w:t>Nil</w:t>
            </w:r>
          </w:p>
        </w:tc>
      </w:tr>
      <w:tr w:rsidR="005C18CC" w:rsidRPr="00335B05" w:rsidTr="00ED5A54">
        <w:tc>
          <w:tcPr>
            <w:tcW w:w="375" w:type="pct"/>
            <w:shd w:val="clear" w:color="auto" w:fill="auto"/>
          </w:tcPr>
          <w:p w:rsidR="005C18CC" w:rsidRPr="00335B05" w:rsidRDefault="005C18CC" w:rsidP="005C18CC">
            <w:pPr>
              <w:pStyle w:val="Tabletext"/>
            </w:pPr>
            <w:r w:rsidRPr="00335B05">
              <w:t>10</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 the applicant:</w:t>
            </w:r>
          </w:p>
          <w:p w:rsidR="005C18CC" w:rsidRPr="00335B05" w:rsidRDefault="005C18CC" w:rsidP="005C18CC">
            <w:pPr>
              <w:pStyle w:val="Tablea"/>
            </w:pPr>
            <w:r w:rsidRPr="00335B05">
              <w:t>(a) holds:</w:t>
            </w:r>
          </w:p>
          <w:p w:rsidR="005C18CC" w:rsidRPr="00335B05" w:rsidRDefault="005C18CC" w:rsidP="005C18CC">
            <w:pPr>
              <w:pStyle w:val="Tablei"/>
            </w:pPr>
            <w:r w:rsidRPr="00335B05">
              <w:t xml:space="preserve">(i) a health care card </w:t>
            </w:r>
            <w:r w:rsidR="004C59EA" w:rsidRPr="00335B05">
              <w:t xml:space="preserve">issued by the </w:t>
            </w:r>
            <w:r w:rsidR="008D0E54" w:rsidRPr="00335B05">
              <w:t xml:space="preserve">Human Services </w:t>
            </w:r>
            <w:r w:rsidR="004C59EA" w:rsidRPr="00335B05">
              <w:t xml:space="preserve">Department and endorsed by that Department with </w:t>
            </w:r>
            <w:r w:rsidRPr="00335B05">
              <w:t>one of the following codes: PA; WA; or</w:t>
            </w:r>
          </w:p>
          <w:p w:rsidR="005C18CC" w:rsidRPr="00335B05" w:rsidRDefault="005C18CC" w:rsidP="005C18CC">
            <w:pPr>
              <w:pStyle w:val="Tablei"/>
            </w:pPr>
            <w:r w:rsidRPr="00335B05">
              <w:t xml:space="preserve">(ii) a pensioner concession card issued by the </w:t>
            </w:r>
            <w:r w:rsidR="004C59EA" w:rsidRPr="00335B05">
              <w:t xml:space="preserve">Human Services </w:t>
            </w:r>
            <w:r w:rsidR="008D0E54" w:rsidRPr="00335B05">
              <w:t xml:space="preserve">Department </w:t>
            </w:r>
            <w:r w:rsidR="004C59EA" w:rsidRPr="00335B05">
              <w:t xml:space="preserve">and endorsed by that Department </w:t>
            </w:r>
            <w:r w:rsidRPr="00335B05">
              <w:t xml:space="preserve">with one of the following codes: AGE; AGE BLIND; CAR; DSP; NSA; PPP; PTA; SAL; SPL; </w:t>
            </w:r>
            <w:r w:rsidR="004C59EA" w:rsidRPr="00335B05">
              <w:t xml:space="preserve">WAL; </w:t>
            </w:r>
            <w:r w:rsidRPr="00335B05">
              <w:t>WDA; WFA; WFD; WFW; WID; YAL; and</w:t>
            </w:r>
          </w:p>
          <w:p w:rsidR="005C18CC" w:rsidRPr="00335B05" w:rsidRDefault="005C18CC" w:rsidP="005C18CC">
            <w:pPr>
              <w:pStyle w:val="Tablea"/>
            </w:pPr>
            <w:r w:rsidRPr="00335B05">
              <w:t>(b) does not claim eligibility on the basis of the criteria in subsection</w:t>
            </w:r>
            <w:r w:rsidR="00335B05" w:rsidRPr="00335B05">
              <w:t> </w:t>
            </w:r>
            <w:r w:rsidRPr="00335B05">
              <w:t>21(2) of the Act</w:t>
            </w:r>
          </w:p>
        </w:tc>
        <w:tc>
          <w:tcPr>
            <w:tcW w:w="1656" w:type="pct"/>
            <w:shd w:val="clear" w:color="auto" w:fill="auto"/>
          </w:tcPr>
          <w:p w:rsidR="005C18CC" w:rsidRPr="00335B05" w:rsidRDefault="005C18CC" w:rsidP="005C18CC">
            <w:pPr>
              <w:pStyle w:val="Tabletext"/>
            </w:pPr>
            <w:r w:rsidRPr="00335B05">
              <w:t>$20</w:t>
            </w:r>
          </w:p>
        </w:tc>
      </w:tr>
      <w:tr w:rsidR="005C18CC" w:rsidRPr="00335B05" w:rsidTr="00ED5A54">
        <w:tc>
          <w:tcPr>
            <w:tcW w:w="375" w:type="pct"/>
            <w:shd w:val="clear" w:color="auto" w:fill="auto"/>
          </w:tcPr>
          <w:p w:rsidR="005C18CC" w:rsidRPr="00335B05" w:rsidRDefault="005C18CC" w:rsidP="005C18CC">
            <w:pPr>
              <w:pStyle w:val="Tabletext"/>
            </w:pPr>
            <w:r w:rsidRPr="00335B05">
              <w:t>11</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 the applicant:</w:t>
            </w:r>
          </w:p>
          <w:p w:rsidR="005C18CC" w:rsidRPr="00335B05" w:rsidRDefault="005C18CC" w:rsidP="005C18CC">
            <w:pPr>
              <w:pStyle w:val="Tablea"/>
            </w:pPr>
            <w:r w:rsidRPr="00335B05">
              <w:rPr>
                <w:color w:val="000000"/>
              </w:rPr>
              <w:t>(a) holds a pensioner concession card</w:t>
            </w:r>
            <w:r w:rsidR="004C59EA" w:rsidRPr="00335B05">
              <w:rPr>
                <w:color w:val="000000"/>
              </w:rPr>
              <w:t xml:space="preserve"> issued by the Human Services </w:t>
            </w:r>
            <w:r w:rsidR="008D0E54" w:rsidRPr="00335B05">
              <w:rPr>
                <w:color w:val="000000"/>
              </w:rPr>
              <w:t xml:space="preserve">Department </w:t>
            </w:r>
            <w:r w:rsidR="004C59EA" w:rsidRPr="00335B05">
              <w:rPr>
                <w:color w:val="000000"/>
              </w:rPr>
              <w:t>and endorsed by that Department</w:t>
            </w:r>
            <w:r w:rsidRPr="00335B05">
              <w:rPr>
                <w:color w:val="000000"/>
              </w:rPr>
              <w:t xml:space="preserve"> with the code PPS; and</w:t>
            </w:r>
          </w:p>
          <w:p w:rsidR="005C18CC" w:rsidRPr="00335B05" w:rsidRDefault="005C18CC" w:rsidP="005C18CC">
            <w:pPr>
              <w:pStyle w:val="Tablea"/>
            </w:pPr>
            <w:r w:rsidRPr="00335B05">
              <w:lastRenderedPageBreak/>
              <w:t>(b) produces evidence that the applicant is over 60 years of age; and</w:t>
            </w:r>
          </w:p>
          <w:p w:rsidR="005C18CC" w:rsidRPr="00335B05" w:rsidRDefault="005C18CC" w:rsidP="005C18CC">
            <w:pPr>
              <w:pStyle w:val="Tablea"/>
            </w:pPr>
            <w:r w:rsidRPr="00335B05">
              <w:t>(c) has been in receipt of PPS for at least 9</w:t>
            </w:r>
            <w:r w:rsidR="00F65F7A" w:rsidRPr="00335B05">
              <w:t xml:space="preserve"> </w:t>
            </w:r>
            <w:r w:rsidRPr="00335B05">
              <w:t>months; and</w:t>
            </w:r>
          </w:p>
          <w:p w:rsidR="005C18CC" w:rsidRPr="00335B05" w:rsidRDefault="005C18CC" w:rsidP="005C18CC">
            <w:pPr>
              <w:pStyle w:val="Tablea"/>
            </w:pPr>
            <w:r w:rsidRPr="00335B05">
              <w:t>(d) does not claim eligibility on the basis of the criteria in subsection</w:t>
            </w:r>
            <w:r w:rsidR="00335B05" w:rsidRPr="00335B05">
              <w:t> </w:t>
            </w:r>
            <w:r w:rsidRPr="00335B05">
              <w:t>21(2) of the Act</w:t>
            </w:r>
          </w:p>
        </w:tc>
        <w:tc>
          <w:tcPr>
            <w:tcW w:w="1656" w:type="pct"/>
            <w:shd w:val="clear" w:color="auto" w:fill="auto"/>
          </w:tcPr>
          <w:p w:rsidR="005C18CC" w:rsidRPr="00335B05" w:rsidRDefault="005C18CC" w:rsidP="005C18CC">
            <w:pPr>
              <w:pStyle w:val="Tabletext"/>
            </w:pPr>
            <w:r w:rsidRPr="00335B05">
              <w:lastRenderedPageBreak/>
              <w:t>$20</w:t>
            </w:r>
          </w:p>
        </w:tc>
      </w:tr>
      <w:tr w:rsidR="005C18CC" w:rsidRPr="00335B05" w:rsidTr="00ED5A54">
        <w:tc>
          <w:tcPr>
            <w:tcW w:w="375" w:type="pct"/>
            <w:shd w:val="clear" w:color="auto" w:fill="auto"/>
          </w:tcPr>
          <w:p w:rsidR="005C18CC" w:rsidRPr="00335B05" w:rsidRDefault="005C18CC" w:rsidP="005C18CC">
            <w:pPr>
              <w:pStyle w:val="Tabletext"/>
            </w:pPr>
            <w:r w:rsidRPr="00335B05">
              <w:lastRenderedPageBreak/>
              <w:t>12</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 the applicant:</w:t>
            </w:r>
          </w:p>
          <w:p w:rsidR="005C18CC" w:rsidRPr="00335B05" w:rsidRDefault="005C18CC" w:rsidP="005C18CC">
            <w:pPr>
              <w:pStyle w:val="Tablea"/>
            </w:pPr>
            <w:r w:rsidRPr="00335B05">
              <w:t xml:space="preserve">(a) holds a pensioner concession card </w:t>
            </w:r>
            <w:r w:rsidR="00A448B7" w:rsidRPr="00335B05">
              <w:t xml:space="preserve">issued by the </w:t>
            </w:r>
            <w:r w:rsidRPr="00335B05">
              <w:t>Veterans’ Affairs</w:t>
            </w:r>
            <w:r w:rsidR="00A448B7" w:rsidRPr="00335B05">
              <w:t xml:space="preserve"> </w:t>
            </w:r>
            <w:r w:rsidR="008D0E54" w:rsidRPr="00335B05">
              <w:t xml:space="preserve">Department </w:t>
            </w:r>
            <w:r w:rsidR="00A448B7" w:rsidRPr="00335B05">
              <w:t>and endorsed by that Department</w:t>
            </w:r>
            <w:r w:rsidRPr="00335B05">
              <w:t>:</w:t>
            </w:r>
          </w:p>
          <w:p w:rsidR="005C18CC" w:rsidRPr="00335B05" w:rsidRDefault="005C18CC" w:rsidP="005C18CC">
            <w:pPr>
              <w:pStyle w:val="Tablei"/>
            </w:pPr>
            <w:r w:rsidRPr="00335B05">
              <w:t>(i) for an Age Service, Invalidity Service, or Partner Service pension; or</w:t>
            </w:r>
          </w:p>
          <w:p w:rsidR="005C18CC" w:rsidRPr="00335B05" w:rsidRDefault="005C18CC" w:rsidP="005C18CC">
            <w:pPr>
              <w:pStyle w:val="Tablei"/>
            </w:pPr>
            <w:r w:rsidRPr="00335B05">
              <w:t>(ii) for an Income Support Supplement; or</w:t>
            </w:r>
          </w:p>
          <w:p w:rsidR="005C18CC" w:rsidRPr="00335B05" w:rsidRDefault="005C18CC" w:rsidP="005C18CC">
            <w:pPr>
              <w:pStyle w:val="Tablei"/>
            </w:pPr>
            <w:r w:rsidRPr="00335B05">
              <w:t>(iii) with the code AGE; and</w:t>
            </w:r>
          </w:p>
          <w:p w:rsidR="005C18CC" w:rsidRPr="00335B05" w:rsidRDefault="005C18CC" w:rsidP="005C18CC">
            <w:pPr>
              <w:pStyle w:val="Tablea"/>
            </w:pPr>
            <w:r w:rsidRPr="00335B05">
              <w:t>(b) does not claim eligibility on the basis of the criteria in subsection</w:t>
            </w:r>
            <w:r w:rsidR="00335B05" w:rsidRPr="00335B05">
              <w:t> </w:t>
            </w:r>
            <w:r w:rsidRPr="00335B05">
              <w:t>21(2) of the Act</w:t>
            </w:r>
          </w:p>
        </w:tc>
        <w:tc>
          <w:tcPr>
            <w:tcW w:w="1656" w:type="pct"/>
            <w:shd w:val="clear" w:color="auto" w:fill="auto"/>
          </w:tcPr>
          <w:p w:rsidR="005C18CC" w:rsidRPr="00335B05" w:rsidRDefault="005C18CC" w:rsidP="005C18CC">
            <w:pPr>
              <w:pStyle w:val="Tabletext"/>
            </w:pPr>
            <w:r w:rsidRPr="00335B05">
              <w:t>$20</w:t>
            </w:r>
          </w:p>
        </w:tc>
      </w:tr>
      <w:tr w:rsidR="005C18CC" w:rsidRPr="00335B05" w:rsidTr="00ED5A54">
        <w:tc>
          <w:tcPr>
            <w:tcW w:w="375" w:type="pct"/>
            <w:shd w:val="clear" w:color="auto" w:fill="auto"/>
          </w:tcPr>
          <w:p w:rsidR="005C18CC" w:rsidRPr="00335B05" w:rsidRDefault="005C18CC" w:rsidP="005C18CC">
            <w:pPr>
              <w:pStyle w:val="Tabletext"/>
            </w:pPr>
            <w:r w:rsidRPr="00335B05">
              <w:t>13</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if:</w:t>
            </w:r>
          </w:p>
          <w:p w:rsidR="005C18CC" w:rsidRPr="00335B05" w:rsidRDefault="005C18CC" w:rsidP="005C18CC">
            <w:pPr>
              <w:pStyle w:val="Tablea"/>
            </w:pPr>
            <w:r w:rsidRPr="00335B05">
              <w:rPr>
                <w:color w:val="000000"/>
              </w:rPr>
              <w:t>(a) the applicant claims eligibility on the</w:t>
            </w:r>
            <w:r w:rsidR="00F65F7A" w:rsidRPr="00335B05">
              <w:rPr>
                <w:color w:val="000000"/>
              </w:rPr>
              <w:t xml:space="preserve"> </w:t>
            </w:r>
            <w:r w:rsidRPr="00335B05">
              <w:rPr>
                <w:color w:val="000000"/>
              </w:rPr>
              <w:t>basis of the criteria in subsection</w:t>
            </w:r>
            <w:r w:rsidR="00335B05" w:rsidRPr="00335B05">
              <w:rPr>
                <w:color w:val="000000"/>
              </w:rPr>
              <w:t> </w:t>
            </w:r>
            <w:r w:rsidRPr="00335B05">
              <w:rPr>
                <w:color w:val="000000"/>
              </w:rPr>
              <w:t>21(2) of the Act; and</w:t>
            </w:r>
          </w:p>
          <w:p w:rsidR="005C18CC" w:rsidRPr="00335B05" w:rsidRDefault="005C18CC" w:rsidP="005C18CC">
            <w:pPr>
              <w:pStyle w:val="Tablea"/>
              <w:rPr>
                <w:color w:val="000000"/>
              </w:rPr>
            </w:pPr>
            <w:r w:rsidRPr="00335B05">
              <w:t>(</w:t>
            </w:r>
            <w:r w:rsidRPr="00335B05">
              <w:rPr>
                <w:color w:val="000000"/>
              </w:rPr>
              <w:t>b) either of the following provisions applies to the applicant:</w:t>
            </w:r>
          </w:p>
          <w:p w:rsidR="005C18CC" w:rsidRPr="00335B05" w:rsidRDefault="005C18CC" w:rsidP="005C18CC">
            <w:pPr>
              <w:pStyle w:val="Tablei"/>
            </w:pPr>
            <w:r w:rsidRPr="00335B05">
              <w:t xml:space="preserve">(i) </w:t>
            </w:r>
            <w:r w:rsidR="00335B05" w:rsidRPr="00335B05">
              <w:t>paragraph (</w:t>
            </w:r>
            <w:r w:rsidRPr="00335B05">
              <w:t>a) of item</w:t>
            </w:r>
            <w:r w:rsidR="00335B05" w:rsidRPr="00335B05">
              <w:t> </w:t>
            </w:r>
            <w:r w:rsidRPr="00335B05">
              <w:t>10;</w:t>
            </w:r>
          </w:p>
          <w:p w:rsidR="005C18CC" w:rsidRPr="00335B05" w:rsidRDefault="005C18CC" w:rsidP="005C18CC">
            <w:pPr>
              <w:pStyle w:val="Tablei"/>
            </w:pPr>
            <w:r w:rsidRPr="00335B05">
              <w:t xml:space="preserve">(ii) </w:t>
            </w:r>
            <w:r w:rsidR="00335B05" w:rsidRPr="00335B05">
              <w:t>paragraph (</w:t>
            </w:r>
            <w:r w:rsidRPr="00335B05">
              <w:t>a) of item</w:t>
            </w:r>
            <w:r w:rsidR="00335B05" w:rsidRPr="00335B05">
              <w:t> </w:t>
            </w:r>
            <w:r w:rsidRPr="00335B05">
              <w:t>12</w:t>
            </w:r>
          </w:p>
        </w:tc>
        <w:tc>
          <w:tcPr>
            <w:tcW w:w="1656" w:type="pct"/>
            <w:shd w:val="clear" w:color="auto" w:fill="auto"/>
          </w:tcPr>
          <w:p w:rsidR="005C18CC" w:rsidRPr="00335B05" w:rsidRDefault="005C18CC" w:rsidP="005C18CC">
            <w:pPr>
              <w:pStyle w:val="Tabletext"/>
            </w:pPr>
            <w:r w:rsidRPr="00335B05">
              <w:t>$40</w:t>
            </w:r>
          </w:p>
        </w:tc>
      </w:tr>
      <w:tr w:rsidR="005C18CC" w:rsidRPr="00335B05" w:rsidTr="00ED5A54">
        <w:tc>
          <w:tcPr>
            <w:tcW w:w="375" w:type="pct"/>
            <w:shd w:val="clear" w:color="auto" w:fill="auto"/>
          </w:tcPr>
          <w:p w:rsidR="005C18CC" w:rsidRPr="00335B05" w:rsidRDefault="005C18CC" w:rsidP="005C18CC">
            <w:pPr>
              <w:pStyle w:val="Tabletext"/>
            </w:pPr>
            <w:r w:rsidRPr="00335B05">
              <w:t>14</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other than an application mentioned in items</w:t>
            </w:r>
            <w:r w:rsidR="00335B05" w:rsidRPr="00335B05">
              <w:t> </w:t>
            </w:r>
            <w:r w:rsidRPr="00335B05">
              <w:t>5 to 13 or items</w:t>
            </w:r>
            <w:r w:rsidR="00335B05" w:rsidRPr="00335B05">
              <w:t> </w:t>
            </w:r>
            <w:r w:rsidRPr="00335B05">
              <w:t>15 to 18, if the applicant claims eligibility on the basis of the criteria in subsection</w:t>
            </w:r>
            <w:r w:rsidR="00335B05" w:rsidRPr="00335B05">
              <w:t> </w:t>
            </w:r>
            <w:r w:rsidRPr="00335B05">
              <w:t>21(2) of the Act</w:t>
            </w:r>
          </w:p>
        </w:tc>
        <w:tc>
          <w:tcPr>
            <w:tcW w:w="1656" w:type="pct"/>
            <w:shd w:val="clear" w:color="auto" w:fill="auto"/>
          </w:tcPr>
          <w:p w:rsidR="005C18CC" w:rsidRPr="00335B05" w:rsidRDefault="005C18CC" w:rsidP="005C18CC">
            <w:pPr>
              <w:pStyle w:val="Tabletext"/>
            </w:pPr>
            <w:r w:rsidRPr="00335B05">
              <w:t>$285</w:t>
            </w:r>
          </w:p>
        </w:tc>
      </w:tr>
      <w:tr w:rsidR="005C18CC" w:rsidRPr="00335B05" w:rsidTr="00ED5A54">
        <w:tc>
          <w:tcPr>
            <w:tcW w:w="375" w:type="pct"/>
            <w:shd w:val="clear" w:color="auto" w:fill="auto"/>
          </w:tcPr>
          <w:p w:rsidR="005C18CC" w:rsidRPr="00335B05" w:rsidRDefault="005C18CC" w:rsidP="005C18CC">
            <w:pPr>
              <w:pStyle w:val="Tabletext"/>
            </w:pPr>
            <w:r w:rsidRPr="00335B05">
              <w:t>15</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by a child, under the age of 16, who applies for citizenship at the same time, and on the same form, as a responsible parent</w:t>
            </w:r>
          </w:p>
        </w:tc>
        <w:tc>
          <w:tcPr>
            <w:tcW w:w="1656" w:type="pct"/>
            <w:shd w:val="clear" w:color="auto" w:fill="auto"/>
          </w:tcPr>
          <w:p w:rsidR="005C18CC" w:rsidRPr="00335B05" w:rsidRDefault="005C18CC" w:rsidP="005C18CC">
            <w:pPr>
              <w:pStyle w:val="Tabletext"/>
            </w:pPr>
            <w:r w:rsidRPr="00335B05">
              <w:t>Nil</w:t>
            </w:r>
          </w:p>
        </w:tc>
      </w:tr>
      <w:tr w:rsidR="005C18CC" w:rsidRPr="00335B05" w:rsidTr="00ED5A54">
        <w:tc>
          <w:tcPr>
            <w:tcW w:w="375" w:type="pct"/>
            <w:shd w:val="clear" w:color="auto" w:fill="auto"/>
          </w:tcPr>
          <w:p w:rsidR="005C18CC" w:rsidRPr="00335B05" w:rsidRDefault="005C18CC" w:rsidP="005C18CC">
            <w:pPr>
              <w:pStyle w:val="Tabletext"/>
            </w:pPr>
            <w:r w:rsidRPr="00335B05">
              <w:t>16</w:t>
            </w:r>
          </w:p>
        </w:tc>
        <w:tc>
          <w:tcPr>
            <w:tcW w:w="2969" w:type="pct"/>
            <w:shd w:val="clear" w:color="auto" w:fill="auto"/>
          </w:tcPr>
          <w:p w:rsidR="005C18CC" w:rsidRPr="00335B05" w:rsidRDefault="005C18CC" w:rsidP="005C18CC">
            <w:pPr>
              <w:pStyle w:val="Tabletext"/>
            </w:pPr>
            <w:r w:rsidRPr="00335B05">
              <w:t>An application under section</w:t>
            </w:r>
            <w:r w:rsidR="00335B05" w:rsidRPr="00335B05">
              <w:t> </w:t>
            </w:r>
            <w:r w:rsidRPr="00335B05">
              <w:t>21 of the Act, other than an application mentioned in items</w:t>
            </w:r>
            <w:r w:rsidR="00335B05" w:rsidRPr="00335B05">
              <w:t> </w:t>
            </w:r>
            <w:r w:rsidRPr="00335B05">
              <w:t>5 to 15 or items</w:t>
            </w:r>
            <w:r w:rsidR="00335B05" w:rsidRPr="00335B05">
              <w:t> </w:t>
            </w:r>
            <w:r w:rsidRPr="00335B05">
              <w:t>17 and 18</w:t>
            </w:r>
          </w:p>
        </w:tc>
        <w:tc>
          <w:tcPr>
            <w:tcW w:w="1656" w:type="pct"/>
            <w:shd w:val="clear" w:color="auto" w:fill="auto"/>
          </w:tcPr>
          <w:p w:rsidR="005C18CC" w:rsidRPr="00335B05" w:rsidRDefault="005C18CC" w:rsidP="005C18CC">
            <w:pPr>
              <w:pStyle w:val="Tabletext"/>
            </w:pPr>
            <w:r w:rsidRPr="00335B05">
              <w:t>$180</w:t>
            </w:r>
          </w:p>
        </w:tc>
      </w:tr>
      <w:tr w:rsidR="005C18CC" w:rsidRPr="00335B05" w:rsidTr="00ED5A54">
        <w:tc>
          <w:tcPr>
            <w:tcW w:w="375" w:type="pct"/>
            <w:shd w:val="clear" w:color="auto" w:fill="auto"/>
          </w:tcPr>
          <w:p w:rsidR="005C18CC" w:rsidRPr="00335B05" w:rsidRDefault="005C18CC" w:rsidP="005C18CC">
            <w:pPr>
              <w:pStyle w:val="Tabletext"/>
            </w:pPr>
            <w:r w:rsidRPr="00335B05">
              <w:t>17</w:t>
            </w:r>
          </w:p>
        </w:tc>
        <w:tc>
          <w:tcPr>
            <w:tcW w:w="2969" w:type="pct"/>
            <w:shd w:val="clear" w:color="auto" w:fill="auto"/>
          </w:tcPr>
          <w:p w:rsidR="005C18CC" w:rsidRPr="00335B05" w:rsidRDefault="005C18CC" w:rsidP="005C18CC">
            <w:pPr>
              <w:pStyle w:val="Tabletext"/>
            </w:pPr>
            <w:r w:rsidRPr="00335B05">
              <w:t xml:space="preserve">An application (the </w:t>
            </w:r>
            <w:r w:rsidRPr="00335B05">
              <w:rPr>
                <w:b/>
                <w:i/>
              </w:rPr>
              <w:t>new application</w:t>
            </w:r>
            <w:r w:rsidRPr="00335B05">
              <w:t>) under section</w:t>
            </w:r>
            <w:r w:rsidR="00335B05" w:rsidRPr="00335B05">
              <w:t> </w:t>
            </w:r>
            <w:r w:rsidRPr="00335B05">
              <w:t>21 of the Act, other than an application mentioned in item</w:t>
            </w:r>
            <w:r w:rsidR="00335B05" w:rsidRPr="00335B05">
              <w:t> </w:t>
            </w:r>
            <w:r w:rsidRPr="00335B05">
              <w:t>5, 6, 8, 13 or 18, if:</w:t>
            </w:r>
          </w:p>
          <w:p w:rsidR="005C18CC" w:rsidRPr="00335B05" w:rsidRDefault="005C18CC" w:rsidP="005C18CC">
            <w:pPr>
              <w:pStyle w:val="Tablea"/>
            </w:pPr>
            <w:r w:rsidRPr="00335B05">
              <w:t>(a) the applicant claims eligibility on the</w:t>
            </w:r>
            <w:r w:rsidR="00F65F7A" w:rsidRPr="00335B05">
              <w:t xml:space="preserve"> </w:t>
            </w:r>
            <w:r w:rsidRPr="00335B05">
              <w:t>basis of the criteria in subsection</w:t>
            </w:r>
            <w:r w:rsidR="00335B05" w:rsidRPr="00335B05">
              <w:t> </w:t>
            </w:r>
            <w:r w:rsidRPr="00335B05">
              <w:t>21(2) of the Act; and</w:t>
            </w:r>
          </w:p>
          <w:p w:rsidR="005C18CC" w:rsidRPr="00335B05" w:rsidRDefault="005C18CC" w:rsidP="005C18CC">
            <w:pPr>
              <w:pStyle w:val="Tablea"/>
              <w:rPr>
                <w:color w:val="000000"/>
              </w:rPr>
            </w:pPr>
            <w:r w:rsidRPr="00335B05">
              <w:rPr>
                <w:color w:val="000000"/>
              </w:rPr>
              <w:t xml:space="preserve">(b) </w:t>
            </w:r>
            <w:r w:rsidRPr="00335B05">
              <w:t xml:space="preserve">the applicant previously made an application (the </w:t>
            </w:r>
            <w:r w:rsidRPr="00335B05">
              <w:rPr>
                <w:b/>
                <w:bCs/>
                <w:i/>
                <w:iCs/>
              </w:rPr>
              <w:t>old application</w:t>
            </w:r>
            <w:r w:rsidRPr="00335B05">
              <w:t>) on or after 1</w:t>
            </w:r>
            <w:r w:rsidR="00335B05" w:rsidRPr="00335B05">
              <w:t> </w:t>
            </w:r>
            <w:r w:rsidRPr="00335B05">
              <w:t>October 2007; and</w:t>
            </w:r>
          </w:p>
          <w:p w:rsidR="005C18CC" w:rsidRPr="00335B05" w:rsidRDefault="005C18CC" w:rsidP="005C18CC">
            <w:pPr>
              <w:pStyle w:val="Tablea"/>
            </w:pPr>
            <w:r w:rsidRPr="00335B05">
              <w:t>(c) under the old application, the applicant sat a test as described in paragraph</w:t>
            </w:r>
            <w:r w:rsidR="00335B05" w:rsidRPr="00335B05">
              <w:t> </w:t>
            </w:r>
            <w:r w:rsidRPr="00335B05">
              <w:t>21(2A)(a) of the Act; and</w:t>
            </w:r>
          </w:p>
          <w:p w:rsidR="005C18CC" w:rsidRPr="00335B05" w:rsidRDefault="005C18CC" w:rsidP="005C18CC">
            <w:pPr>
              <w:pStyle w:val="Tablea"/>
            </w:pPr>
            <w:r w:rsidRPr="00335B05">
              <w:t>(d) either of the following provisions applies to the applicant:</w:t>
            </w:r>
          </w:p>
          <w:p w:rsidR="005C18CC" w:rsidRPr="00335B05" w:rsidRDefault="005C18CC" w:rsidP="005C18CC">
            <w:pPr>
              <w:pStyle w:val="Tablei"/>
            </w:pPr>
            <w:r w:rsidRPr="00335B05">
              <w:t xml:space="preserve">(i) </w:t>
            </w:r>
            <w:r w:rsidR="00335B05" w:rsidRPr="00335B05">
              <w:t>paragraph (</w:t>
            </w:r>
            <w:r w:rsidRPr="00335B05">
              <w:t>a) of item</w:t>
            </w:r>
            <w:r w:rsidR="00335B05" w:rsidRPr="00335B05">
              <w:t> </w:t>
            </w:r>
            <w:r w:rsidRPr="00335B05">
              <w:t>10;</w:t>
            </w:r>
          </w:p>
          <w:p w:rsidR="005C18CC" w:rsidRPr="00335B05" w:rsidRDefault="005C18CC" w:rsidP="005C18CC">
            <w:pPr>
              <w:pStyle w:val="Tablei"/>
            </w:pPr>
            <w:r w:rsidRPr="00335B05">
              <w:t xml:space="preserve">(ii) </w:t>
            </w:r>
            <w:r w:rsidR="00335B05" w:rsidRPr="00335B05">
              <w:t>paragraph (</w:t>
            </w:r>
            <w:r w:rsidRPr="00335B05">
              <w:t>a) of item</w:t>
            </w:r>
            <w:r w:rsidR="00335B05" w:rsidRPr="00335B05">
              <w:t> </w:t>
            </w:r>
            <w:r w:rsidRPr="00335B05">
              <w:t>12</w:t>
            </w:r>
          </w:p>
        </w:tc>
        <w:tc>
          <w:tcPr>
            <w:tcW w:w="1656" w:type="pct"/>
            <w:shd w:val="clear" w:color="auto" w:fill="auto"/>
          </w:tcPr>
          <w:p w:rsidR="005C18CC" w:rsidRPr="00335B05" w:rsidRDefault="005C18CC" w:rsidP="005C18CC">
            <w:pPr>
              <w:pStyle w:val="Tabletext"/>
            </w:pPr>
            <w:r w:rsidRPr="00335B05">
              <w:t>$20</w:t>
            </w:r>
          </w:p>
        </w:tc>
      </w:tr>
      <w:tr w:rsidR="005C18CC" w:rsidRPr="00335B05" w:rsidTr="00ED5A54">
        <w:tc>
          <w:tcPr>
            <w:tcW w:w="375" w:type="pct"/>
            <w:shd w:val="clear" w:color="auto" w:fill="auto"/>
          </w:tcPr>
          <w:p w:rsidR="005C18CC" w:rsidRPr="00335B05" w:rsidRDefault="005C18CC" w:rsidP="005C18CC">
            <w:pPr>
              <w:pStyle w:val="Tabletext"/>
            </w:pPr>
            <w:r w:rsidRPr="00335B05">
              <w:t>18</w:t>
            </w:r>
          </w:p>
        </w:tc>
        <w:tc>
          <w:tcPr>
            <w:tcW w:w="2969" w:type="pct"/>
            <w:shd w:val="clear" w:color="auto" w:fill="auto"/>
          </w:tcPr>
          <w:p w:rsidR="005C18CC" w:rsidRPr="00335B05" w:rsidRDefault="005C18CC" w:rsidP="005C18CC">
            <w:pPr>
              <w:pStyle w:val="Tabletext"/>
            </w:pPr>
            <w:r w:rsidRPr="00335B05">
              <w:t xml:space="preserve">An application (the </w:t>
            </w:r>
            <w:r w:rsidRPr="00335B05">
              <w:rPr>
                <w:b/>
                <w:i/>
              </w:rPr>
              <w:t>new application</w:t>
            </w:r>
            <w:r w:rsidRPr="00335B05">
              <w:t>) under section</w:t>
            </w:r>
            <w:r w:rsidR="00335B05" w:rsidRPr="00335B05">
              <w:t> </w:t>
            </w:r>
            <w:r w:rsidRPr="00335B05">
              <w:t xml:space="preserve">21 of </w:t>
            </w:r>
            <w:r w:rsidRPr="00335B05">
              <w:lastRenderedPageBreak/>
              <w:t>the Act, other than an application mentioned in item</w:t>
            </w:r>
            <w:r w:rsidR="00335B05" w:rsidRPr="00335B05">
              <w:t> </w:t>
            </w:r>
            <w:r w:rsidRPr="00335B05">
              <w:t>5, 6, 8, 13 or 17, if:</w:t>
            </w:r>
          </w:p>
          <w:p w:rsidR="005C18CC" w:rsidRPr="00335B05" w:rsidRDefault="005C18CC" w:rsidP="005C18CC">
            <w:pPr>
              <w:pStyle w:val="Tablea"/>
            </w:pPr>
            <w:r w:rsidRPr="00335B05">
              <w:t>(a) the applicant claims eligibility on the</w:t>
            </w:r>
            <w:r w:rsidR="00F65F7A" w:rsidRPr="00335B05">
              <w:t xml:space="preserve"> </w:t>
            </w:r>
            <w:r w:rsidRPr="00335B05">
              <w:t>basis of the criteria in subsection</w:t>
            </w:r>
            <w:r w:rsidR="00335B05" w:rsidRPr="00335B05">
              <w:t> </w:t>
            </w:r>
            <w:r w:rsidRPr="00335B05">
              <w:t>21(2) of the Act; and</w:t>
            </w:r>
          </w:p>
          <w:p w:rsidR="005C18CC" w:rsidRPr="00335B05" w:rsidRDefault="005C18CC" w:rsidP="005C18CC">
            <w:pPr>
              <w:pStyle w:val="Tablea"/>
            </w:pPr>
            <w:r w:rsidRPr="00335B05">
              <w:t xml:space="preserve">(b) the applicant previously made an application (the </w:t>
            </w:r>
            <w:r w:rsidRPr="00335B05">
              <w:rPr>
                <w:b/>
                <w:bCs/>
                <w:i/>
                <w:iCs/>
              </w:rPr>
              <w:t>old application</w:t>
            </w:r>
            <w:r w:rsidRPr="00335B05">
              <w:t>) on or after 1</w:t>
            </w:r>
            <w:r w:rsidR="00335B05" w:rsidRPr="00335B05">
              <w:t> </w:t>
            </w:r>
            <w:r w:rsidRPr="00335B05">
              <w:t>October 2007; and</w:t>
            </w:r>
          </w:p>
          <w:p w:rsidR="005C18CC" w:rsidRPr="00335B05" w:rsidRDefault="005C18CC" w:rsidP="005C18CC">
            <w:pPr>
              <w:pStyle w:val="Tablea"/>
            </w:pPr>
            <w:r w:rsidRPr="00335B05">
              <w:t>(c) under the old application, the applicant sat a test as described in paragraph</w:t>
            </w:r>
            <w:r w:rsidR="00335B05" w:rsidRPr="00335B05">
              <w:t> </w:t>
            </w:r>
            <w:r w:rsidRPr="00335B05">
              <w:t>21(2A)(a) of the Act</w:t>
            </w:r>
          </w:p>
        </w:tc>
        <w:tc>
          <w:tcPr>
            <w:tcW w:w="1656" w:type="pct"/>
            <w:shd w:val="clear" w:color="auto" w:fill="auto"/>
          </w:tcPr>
          <w:p w:rsidR="005C18CC" w:rsidRPr="00335B05" w:rsidRDefault="005C18CC" w:rsidP="005C18CC">
            <w:pPr>
              <w:pStyle w:val="Tabletext"/>
            </w:pPr>
            <w:r w:rsidRPr="00335B05">
              <w:lastRenderedPageBreak/>
              <w:t>$180</w:t>
            </w:r>
          </w:p>
        </w:tc>
      </w:tr>
      <w:tr w:rsidR="005C18CC" w:rsidRPr="00335B05" w:rsidTr="00ED5A54">
        <w:tc>
          <w:tcPr>
            <w:tcW w:w="375" w:type="pct"/>
            <w:shd w:val="clear" w:color="auto" w:fill="auto"/>
          </w:tcPr>
          <w:p w:rsidR="005C18CC" w:rsidRPr="00335B05" w:rsidRDefault="005C18CC" w:rsidP="005C18CC">
            <w:pPr>
              <w:pStyle w:val="Tabletext"/>
            </w:pPr>
            <w:r w:rsidRPr="00335B05">
              <w:lastRenderedPageBreak/>
              <w:t>19</w:t>
            </w:r>
          </w:p>
        </w:tc>
        <w:tc>
          <w:tcPr>
            <w:tcW w:w="2969" w:type="pct"/>
            <w:shd w:val="clear" w:color="auto" w:fill="auto"/>
          </w:tcPr>
          <w:p w:rsidR="005C18CC" w:rsidRPr="00335B05" w:rsidRDefault="00FB0E8B" w:rsidP="005C18CC">
            <w:pPr>
              <w:pStyle w:val="Tabletext"/>
            </w:pPr>
            <w:r w:rsidRPr="00335B05">
              <w:t>An application under section</w:t>
            </w:r>
            <w:r w:rsidR="00335B05" w:rsidRPr="00335B05">
              <w:t> </w:t>
            </w:r>
            <w:r w:rsidRPr="00335B05">
              <w:t>29 of the Act by a child, under the age of 16, who makes an application at the same time and on the same form as a responsible parent</w:t>
            </w:r>
          </w:p>
        </w:tc>
        <w:tc>
          <w:tcPr>
            <w:tcW w:w="1656" w:type="pct"/>
            <w:shd w:val="clear" w:color="auto" w:fill="auto"/>
          </w:tcPr>
          <w:p w:rsidR="005C18CC" w:rsidRPr="00335B05" w:rsidRDefault="00FB0E8B" w:rsidP="005C18CC">
            <w:pPr>
              <w:pStyle w:val="Tabletext"/>
            </w:pPr>
            <w:r w:rsidRPr="00335B05">
              <w:t>Nil</w:t>
            </w:r>
          </w:p>
        </w:tc>
      </w:tr>
      <w:tr w:rsidR="005C18CC" w:rsidRPr="00335B05" w:rsidTr="00ED5A54">
        <w:tc>
          <w:tcPr>
            <w:tcW w:w="375" w:type="pct"/>
            <w:shd w:val="clear" w:color="auto" w:fill="auto"/>
          </w:tcPr>
          <w:p w:rsidR="005C18CC" w:rsidRPr="00335B05" w:rsidRDefault="005C18CC" w:rsidP="005C18CC">
            <w:pPr>
              <w:pStyle w:val="Tabletext"/>
            </w:pPr>
            <w:r w:rsidRPr="00335B05">
              <w:t>20</w:t>
            </w:r>
          </w:p>
        </w:tc>
        <w:tc>
          <w:tcPr>
            <w:tcW w:w="2969" w:type="pct"/>
            <w:shd w:val="clear" w:color="auto" w:fill="auto"/>
          </w:tcPr>
          <w:p w:rsidR="005C18CC" w:rsidRPr="00335B05" w:rsidRDefault="00FB0E8B" w:rsidP="005C18CC">
            <w:pPr>
              <w:pStyle w:val="Tabletext"/>
            </w:pPr>
            <w:r w:rsidRPr="00335B05">
              <w:t>An application under section</w:t>
            </w:r>
            <w:r w:rsidR="00335B05" w:rsidRPr="00335B05">
              <w:t> </w:t>
            </w:r>
            <w:r w:rsidRPr="00335B05">
              <w:t>29 of the Act, other than an application mentioned in item</w:t>
            </w:r>
            <w:r w:rsidR="00335B05" w:rsidRPr="00335B05">
              <w:t> </w:t>
            </w:r>
            <w:r w:rsidRPr="00335B05">
              <w:t>19</w:t>
            </w:r>
          </w:p>
        </w:tc>
        <w:tc>
          <w:tcPr>
            <w:tcW w:w="1656" w:type="pct"/>
            <w:shd w:val="clear" w:color="auto" w:fill="auto"/>
          </w:tcPr>
          <w:p w:rsidR="005C18CC" w:rsidRPr="00335B05" w:rsidRDefault="00FB0E8B" w:rsidP="005C18CC">
            <w:pPr>
              <w:pStyle w:val="Tabletext"/>
            </w:pPr>
            <w:r w:rsidRPr="00335B05">
              <w:t>$210</w:t>
            </w:r>
          </w:p>
        </w:tc>
      </w:tr>
      <w:tr w:rsidR="005C18CC" w:rsidRPr="00335B05" w:rsidTr="00ED5A54">
        <w:tc>
          <w:tcPr>
            <w:tcW w:w="375" w:type="pct"/>
            <w:shd w:val="clear" w:color="auto" w:fill="auto"/>
          </w:tcPr>
          <w:p w:rsidR="005C18CC" w:rsidRPr="00335B05" w:rsidRDefault="005C18CC" w:rsidP="005C18CC">
            <w:pPr>
              <w:pStyle w:val="Tabletext"/>
            </w:pPr>
            <w:r w:rsidRPr="00335B05">
              <w:t>21</w:t>
            </w:r>
          </w:p>
        </w:tc>
        <w:tc>
          <w:tcPr>
            <w:tcW w:w="2969" w:type="pct"/>
            <w:shd w:val="clear" w:color="auto" w:fill="auto"/>
          </w:tcPr>
          <w:p w:rsidR="005C18CC" w:rsidRPr="00335B05" w:rsidRDefault="00FB0E8B" w:rsidP="005C18CC">
            <w:pPr>
              <w:pStyle w:val="Tabletext"/>
            </w:pPr>
            <w:r w:rsidRPr="00335B05">
              <w:t>An application under section</w:t>
            </w:r>
            <w:r w:rsidR="00335B05" w:rsidRPr="00335B05">
              <w:t> </w:t>
            </w:r>
            <w:r w:rsidRPr="00335B05">
              <w:t>33 of the Act</w:t>
            </w:r>
          </w:p>
        </w:tc>
        <w:tc>
          <w:tcPr>
            <w:tcW w:w="1656" w:type="pct"/>
            <w:shd w:val="clear" w:color="auto" w:fill="auto"/>
          </w:tcPr>
          <w:p w:rsidR="005C18CC" w:rsidRPr="00335B05" w:rsidRDefault="00FB0E8B" w:rsidP="005C18CC">
            <w:pPr>
              <w:pStyle w:val="Tabletext"/>
            </w:pPr>
            <w:r w:rsidRPr="00335B05">
              <w:t>$205</w:t>
            </w:r>
          </w:p>
        </w:tc>
      </w:tr>
      <w:tr w:rsidR="005C18CC" w:rsidRPr="00335B05" w:rsidTr="00ED5A54">
        <w:tc>
          <w:tcPr>
            <w:tcW w:w="375" w:type="pct"/>
            <w:shd w:val="clear" w:color="auto" w:fill="auto"/>
          </w:tcPr>
          <w:p w:rsidR="005C18CC" w:rsidRPr="00335B05" w:rsidRDefault="005C18CC" w:rsidP="005C18CC">
            <w:pPr>
              <w:pStyle w:val="Tabletext"/>
            </w:pPr>
            <w:r w:rsidRPr="00335B05">
              <w:t>22</w:t>
            </w:r>
          </w:p>
        </w:tc>
        <w:tc>
          <w:tcPr>
            <w:tcW w:w="2969" w:type="pct"/>
            <w:shd w:val="clear" w:color="auto" w:fill="auto"/>
          </w:tcPr>
          <w:p w:rsidR="005C18CC" w:rsidRPr="00335B05" w:rsidRDefault="00FB0E8B" w:rsidP="005C18CC">
            <w:pPr>
              <w:pStyle w:val="Tabletext"/>
            </w:pPr>
            <w:r w:rsidRPr="00335B05">
              <w:t>An application under section</w:t>
            </w:r>
            <w:r w:rsidR="00335B05" w:rsidRPr="00335B05">
              <w:t> </w:t>
            </w:r>
            <w:r w:rsidRPr="00335B05">
              <w:t>37 of the Act that is made at the same time and on the same form as an application under section</w:t>
            </w:r>
            <w:r w:rsidR="00335B05" w:rsidRPr="00335B05">
              <w:t> </w:t>
            </w:r>
            <w:r w:rsidRPr="00335B05">
              <w:t>21 or</w:t>
            </w:r>
            <w:r w:rsidR="00F65F7A" w:rsidRPr="00335B05">
              <w:t xml:space="preserve"> </w:t>
            </w:r>
            <w:r w:rsidRPr="00335B05">
              <w:t>29 of the Act</w:t>
            </w:r>
          </w:p>
        </w:tc>
        <w:tc>
          <w:tcPr>
            <w:tcW w:w="1656" w:type="pct"/>
            <w:shd w:val="clear" w:color="auto" w:fill="auto"/>
          </w:tcPr>
          <w:p w:rsidR="005C18CC" w:rsidRPr="00335B05" w:rsidRDefault="00FB0E8B" w:rsidP="005C18CC">
            <w:pPr>
              <w:pStyle w:val="Tabletext"/>
            </w:pPr>
            <w:r w:rsidRPr="00335B05">
              <w:t>Nil</w:t>
            </w:r>
          </w:p>
        </w:tc>
      </w:tr>
      <w:tr w:rsidR="005C18CC" w:rsidRPr="00335B05" w:rsidTr="00ED5A54">
        <w:tc>
          <w:tcPr>
            <w:tcW w:w="375" w:type="pct"/>
            <w:tcBorders>
              <w:bottom w:val="single" w:sz="2" w:space="0" w:color="auto"/>
            </w:tcBorders>
            <w:shd w:val="clear" w:color="auto" w:fill="auto"/>
          </w:tcPr>
          <w:p w:rsidR="005C18CC" w:rsidRPr="00335B05" w:rsidRDefault="005C18CC" w:rsidP="005C18CC">
            <w:pPr>
              <w:pStyle w:val="Tabletext"/>
            </w:pPr>
            <w:r w:rsidRPr="00335B05">
              <w:t>23</w:t>
            </w:r>
          </w:p>
        </w:tc>
        <w:tc>
          <w:tcPr>
            <w:tcW w:w="2969" w:type="pct"/>
            <w:tcBorders>
              <w:bottom w:val="single" w:sz="2" w:space="0" w:color="auto"/>
            </w:tcBorders>
            <w:shd w:val="clear" w:color="auto" w:fill="auto"/>
          </w:tcPr>
          <w:p w:rsidR="005C18CC" w:rsidRPr="00335B05" w:rsidRDefault="00FB0E8B" w:rsidP="0065003A">
            <w:pPr>
              <w:pStyle w:val="Tabletext"/>
            </w:pPr>
            <w:r w:rsidRPr="00335B05">
              <w:t>An application in accordance with section</w:t>
            </w:r>
            <w:r w:rsidR="00335B05" w:rsidRPr="00335B05">
              <w:t> </w:t>
            </w:r>
            <w:r w:rsidRPr="00335B05">
              <w:t>37 of the Act to which section</w:t>
            </w:r>
            <w:r w:rsidR="00335B05" w:rsidRPr="00335B05">
              <w:t> </w:t>
            </w:r>
            <w:r w:rsidR="008D0E54" w:rsidRPr="00335B05">
              <w:t>15</w:t>
            </w:r>
            <w:r w:rsidRPr="00335B05">
              <w:t xml:space="preserve"> of th</w:t>
            </w:r>
            <w:r w:rsidR="0065003A" w:rsidRPr="00335B05">
              <w:t>i</w:t>
            </w:r>
            <w:r w:rsidRPr="00335B05">
              <w:t xml:space="preserve">s </w:t>
            </w:r>
            <w:r w:rsidR="0065003A" w:rsidRPr="00335B05">
              <w:t>regulation</w:t>
            </w:r>
            <w:r w:rsidRPr="00335B05">
              <w:t xml:space="preserve"> applies</w:t>
            </w:r>
          </w:p>
        </w:tc>
        <w:tc>
          <w:tcPr>
            <w:tcW w:w="1656" w:type="pct"/>
            <w:tcBorders>
              <w:bottom w:val="single" w:sz="2" w:space="0" w:color="auto"/>
            </w:tcBorders>
            <w:shd w:val="clear" w:color="auto" w:fill="auto"/>
          </w:tcPr>
          <w:p w:rsidR="005C18CC" w:rsidRPr="00335B05" w:rsidRDefault="00FB0E8B" w:rsidP="005C18CC">
            <w:pPr>
              <w:pStyle w:val="Tabletext"/>
            </w:pPr>
            <w:r w:rsidRPr="00335B05">
              <w:t>Nil</w:t>
            </w:r>
          </w:p>
        </w:tc>
      </w:tr>
      <w:tr w:rsidR="005C18CC" w:rsidRPr="00335B05" w:rsidTr="00ED5A54">
        <w:tc>
          <w:tcPr>
            <w:tcW w:w="375" w:type="pct"/>
            <w:tcBorders>
              <w:top w:val="single" w:sz="2" w:space="0" w:color="auto"/>
              <w:bottom w:val="single" w:sz="12" w:space="0" w:color="auto"/>
            </w:tcBorders>
            <w:shd w:val="clear" w:color="auto" w:fill="auto"/>
          </w:tcPr>
          <w:p w:rsidR="005C18CC" w:rsidRPr="00335B05" w:rsidRDefault="005C18CC" w:rsidP="005C18CC">
            <w:pPr>
              <w:pStyle w:val="Tabletext"/>
            </w:pPr>
            <w:r w:rsidRPr="00335B05">
              <w:t>24</w:t>
            </w:r>
          </w:p>
        </w:tc>
        <w:tc>
          <w:tcPr>
            <w:tcW w:w="2969" w:type="pct"/>
            <w:tcBorders>
              <w:top w:val="single" w:sz="2" w:space="0" w:color="auto"/>
              <w:bottom w:val="single" w:sz="12" w:space="0" w:color="auto"/>
            </w:tcBorders>
            <w:shd w:val="clear" w:color="auto" w:fill="auto"/>
          </w:tcPr>
          <w:p w:rsidR="005C18CC" w:rsidRPr="00335B05" w:rsidRDefault="00FB0E8B" w:rsidP="005C18CC">
            <w:pPr>
              <w:pStyle w:val="Tabletext"/>
            </w:pPr>
            <w:r w:rsidRPr="00335B05">
              <w:t>An application under section</w:t>
            </w:r>
            <w:r w:rsidR="00335B05" w:rsidRPr="00335B05">
              <w:t> </w:t>
            </w:r>
            <w:r w:rsidRPr="00335B05">
              <w:t>37 of the Act, other than an application mentioned in item</w:t>
            </w:r>
            <w:r w:rsidR="00335B05" w:rsidRPr="00335B05">
              <w:t> </w:t>
            </w:r>
            <w:r w:rsidRPr="00335B05">
              <w:t>22 or 23</w:t>
            </w:r>
          </w:p>
        </w:tc>
        <w:tc>
          <w:tcPr>
            <w:tcW w:w="1656" w:type="pct"/>
            <w:tcBorders>
              <w:top w:val="single" w:sz="2" w:space="0" w:color="auto"/>
              <w:bottom w:val="single" w:sz="12" w:space="0" w:color="auto"/>
            </w:tcBorders>
            <w:shd w:val="clear" w:color="auto" w:fill="auto"/>
          </w:tcPr>
          <w:p w:rsidR="005C18CC" w:rsidRPr="00335B05" w:rsidRDefault="00FB0E8B" w:rsidP="005C18CC">
            <w:pPr>
              <w:pStyle w:val="Tabletext"/>
            </w:pPr>
            <w:r w:rsidRPr="00335B05">
              <w:t>$190</w:t>
            </w:r>
          </w:p>
        </w:tc>
      </w:tr>
    </w:tbl>
    <w:p w:rsidR="00F00CF6" w:rsidRPr="00335B05" w:rsidRDefault="00F00CF6" w:rsidP="00F00CF6">
      <w:pPr>
        <w:sectPr w:rsidR="00F00CF6" w:rsidRPr="00335B05" w:rsidSect="005A034B">
          <w:headerReference w:type="even" r:id="rId28"/>
          <w:headerReference w:type="default" r:id="rId29"/>
          <w:footerReference w:type="even" r:id="rId30"/>
          <w:footerReference w:type="default" r:id="rId31"/>
          <w:headerReference w:type="first" r:id="rId32"/>
          <w:footerReference w:type="first" r:id="rId33"/>
          <w:pgSz w:w="11907" w:h="16839" w:code="9"/>
          <w:pgMar w:top="2233" w:right="1797" w:bottom="1440" w:left="1797" w:header="720" w:footer="709" w:gutter="0"/>
          <w:cols w:space="720"/>
          <w:docGrid w:linePitch="299"/>
        </w:sectPr>
      </w:pPr>
    </w:p>
    <w:p w:rsidR="00F00CF6" w:rsidRPr="00335B05" w:rsidRDefault="00F00CF6" w:rsidP="00F00CF6">
      <w:pPr>
        <w:pStyle w:val="ActHead6"/>
      </w:pPr>
      <w:bookmarkStart w:id="31" w:name="_Toc465860550"/>
      <w:bookmarkStart w:id="32" w:name="opcAmSched"/>
      <w:bookmarkStart w:id="33" w:name="opcCurrentFind"/>
      <w:r w:rsidRPr="00335B05">
        <w:rPr>
          <w:rStyle w:val="CharAmSchNo"/>
        </w:rPr>
        <w:lastRenderedPageBreak/>
        <w:t>Schedule</w:t>
      </w:r>
      <w:r w:rsidR="00335B05" w:rsidRPr="00335B05">
        <w:rPr>
          <w:rStyle w:val="CharAmSchNo"/>
        </w:rPr>
        <w:t> </w:t>
      </w:r>
      <w:r w:rsidRPr="00335B05">
        <w:rPr>
          <w:rStyle w:val="CharAmSchNo"/>
        </w:rPr>
        <w:t>4</w:t>
      </w:r>
      <w:r w:rsidRPr="00335B05">
        <w:t>—</w:t>
      </w:r>
      <w:r w:rsidRPr="00335B05">
        <w:rPr>
          <w:rStyle w:val="CharAmSchText"/>
        </w:rPr>
        <w:t>Repeals</w:t>
      </w:r>
      <w:bookmarkEnd w:id="31"/>
    </w:p>
    <w:bookmarkEnd w:id="32"/>
    <w:bookmarkEnd w:id="33"/>
    <w:p w:rsidR="00F00CF6" w:rsidRPr="00335B05" w:rsidRDefault="00F00CF6">
      <w:pPr>
        <w:pStyle w:val="Header"/>
      </w:pPr>
      <w:r w:rsidRPr="00335B05">
        <w:rPr>
          <w:rStyle w:val="CharAmPartNo"/>
        </w:rPr>
        <w:t xml:space="preserve"> </w:t>
      </w:r>
      <w:r w:rsidRPr="00335B05">
        <w:rPr>
          <w:rStyle w:val="CharAmPartText"/>
        </w:rPr>
        <w:t xml:space="preserve"> </w:t>
      </w:r>
    </w:p>
    <w:p w:rsidR="00F00CF6" w:rsidRPr="00335B05" w:rsidRDefault="00F00CF6" w:rsidP="00F00CF6">
      <w:pPr>
        <w:pStyle w:val="ActHead9"/>
      </w:pPr>
      <w:bookmarkStart w:id="34" w:name="_Toc465860551"/>
      <w:r w:rsidRPr="00335B05">
        <w:t>Australian Citizenship Regulations</w:t>
      </w:r>
      <w:r w:rsidR="00335B05" w:rsidRPr="00335B05">
        <w:t> </w:t>
      </w:r>
      <w:r w:rsidRPr="00335B05">
        <w:t>2007</w:t>
      </w:r>
      <w:bookmarkEnd w:id="34"/>
    </w:p>
    <w:p w:rsidR="00F00CF6" w:rsidRPr="00335B05" w:rsidRDefault="00F00CF6" w:rsidP="008D0E54">
      <w:pPr>
        <w:pStyle w:val="ItemHead"/>
      </w:pPr>
      <w:r w:rsidRPr="00335B05">
        <w:t>1  The whole of the Regulations</w:t>
      </w:r>
    </w:p>
    <w:p w:rsidR="00F00CF6" w:rsidRPr="00335B05" w:rsidRDefault="00F00CF6" w:rsidP="00F00CF6">
      <w:pPr>
        <w:pStyle w:val="Item"/>
      </w:pPr>
      <w:r w:rsidRPr="00335B05">
        <w:t>Repeal the Regulations.</w:t>
      </w:r>
    </w:p>
    <w:p w:rsidR="00F00CF6" w:rsidRPr="00335B05" w:rsidRDefault="00F00CF6">
      <w:pPr>
        <w:sectPr w:rsidR="00F00CF6" w:rsidRPr="00335B05" w:rsidSect="005A034B">
          <w:headerReference w:type="even" r:id="rId34"/>
          <w:headerReference w:type="default" r:id="rId35"/>
          <w:footerReference w:type="even" r:id="rId36"/>
          <w:footerReference w:type="default" r:id="rId37"/>
          <w:headerReference w:type="first" r:id="rId38"/>
          <w:footerReference w:type="first" r:id="rId39"/>
          <w:pgSz w:w="11907" w:h="16839" w:code="9"/>
          <w:pgMar w:top="2233" w:right="1797" w:bottom="1440" w:left="1797" w:header="720" w:footer="709" w:gutter="0"/>
          <w:cols w:space="720"/>
          <w:docGrid w:linePitch="299"/>
        </w:sectPr>
      </w:pPr>
    </w:p>
    <w:p w:rsidR="00F00CF6" w:rsidRPr="00335B05" w:rsidRDefault="00F00CF6" w:rsidP="00E032B3"/>
    <w:sectPr w:rsidR="00F00CF6" w:rsidRPr="00335B05" w:rsidSect="005A034B">
      <w:headerReference w:type="even" r:id="rId40"/>
      <w:headerReference w:type="default" r:id="rId41"/>
      <w:footerReference w:type="even" r:id="rId42"/>
      <w:footerReference w:type="default" r:id="rId43"/>
      <w:headerReference w:type="first" r:id="rId44"/>
      <w:footerReference w:type="first" r:id="rId45"/>
      <w:type w:val="continuous"/>
      <w:pgSz w:w="11907" w:h="1683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35" w:rsidRDefault="00416D35" w:rsidP="00715914">
      <w:pPr>
        <w:spacing w:line="240" w:lineRule="auto"/>
      </w:pPr>
      <w:r>
        <w:separator/>
      </w:r>
    </w:p>
  </w:endnote>
  <w:endnote w:type="continuationSeparator" w:id="0">
    <w:p w:rsidR="00416D35" w:rsidRDefault="00416D3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embedRegular r:id="rId1" w:subsetted="1" w:fontKey="{7C1BC475-2A89-47F7-9A49-F167D67423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5A034B" w:rsidRDefault="00E1244F" w:rsidP="005A034B">
    <w:pPr>
      <w:pStyle w:val="Footer"/>
      <w:tabs>
        <w:tab w:val="clear" w:pos="4153"/>
        <w:tab w:val="clear" w:pos="8306"/>
        <w:tab w:val="center" w:pos="4150"/>
        <w:tab w:val="right" w:pos="8307"/>
      </w:tabs>
      <w:spacing w:before="120"/>
      <w:rPr>
        <w:i/>
        <w:sz w:val="18"/>
      </w:rPr>
    </w:pPr>
    <w:r w:rsidRPr="005A034B">
      <w:rPr>
        <w:i/>
        <w:sz w:val="18"/>
      </w:rPr>
      <w:t xml:space="preserve"> </w:t>
    </w:r>
    <w:r w:rsidR="005A034B" w:rsidRPr="005A034B">
      <w:rPr>
        <w:i/>
        <w:sz w:val="18"/>
      </w:rPr>
      <w:t>OPC62061 -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2B0EA5" w:rsidRDefault="00E1244F" w:rsidP="00E124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E1244F" w:rsidTr="00B57E95">
      <w:tc>
        <w:tcPr>
          <w:tcW w:w="1383" w:type="dxa"/>
        </w:tcPr>
        <w:p w:rsidR="00E1244F" w:rsidRDefault="00E1244F" w:rsidP="00B57E9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35099">
            <w:rPr>
              <w:i/>
              <w:sz w:val="18"/>
            </w:rPr>
            <w:t>No. , 2016</w:t>
          </w:r>
          <w:r w:rsidRPr="007A1328">
            <w:rPr>
              <w:i/>
              <w:sz w:val="18"/>
            </w:rPr>
            <w:fldChar w:fldCharType="end"/>
          </w:r>
        </w:p>
      </w:tc>
      <w:tc>
        <w:tcPr>
          <w:tcW w:w="5387" w:type="dxa"/>
        </w:tcPr>
        <w:p w:rsidR="00E1244F" w:rsidRDefault="00E1244F" w:rsidP="00B57E9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5099">
            <w:rPr>
              <w:i/>
              <w:sz w:val="18"/>
            </w:rPr>
            <w:t>Australian Citizenship Regulation 2016</w:t>
          </w:r>
          <w:r w:rsidRPr="007A1328">
            <w:rPr>
              <w:i/>
              <w:sz w:val="18"/>
            </w:rPr>
            <w:fldChar w:fldCharType="end"/>
          </w:r>
        </w:p>
      </w:tc>
      <w:tc>
        <w:tcPr>
          <w:tcW w:w="533" w:type="dxa"/>
        </w:tcPr>
        <w:p w:rsidR="00E1244F" w:rsidRDefault="00E1244F" w:rsidP="00B57E9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26BF">
            <w:rPr>
              <w:i/>
              <w:noProof/>
              <w:sz w:val="18"/>
            </w:rPr>
            <w:t>15</w:t>
          </w:r>
          <w:r w:rsidRPr="00ED79B6">
            <w:rPr>
              <w:i/>
              <w:sz w:val="18"/>
            </w:rPr>
            <w:fldChar w:fldCharType="end"/>
          </w:r>
        </w:p>
      </w:tc>
    </w:tr>
  </w:tbl>
  <w:p w:rsidR="00E1244F" w:rsidRPr="00ED79B6" w:rsidRDefault="005A034B" w:rsidP="005A034B">
    <w:pPr>
      <w:rPr>
        <w:i/>
        <w:sz w:val="18"/>
      </w:rPr>
    </w:pPr>
    <w:r w:rsidRPr="005A034B">
      <w:rPr>
        <w:rFonts w:cs="Times New Roman"/>
        <w:i/>
        <w:sz w:val="18"/>
      </w:rPr>
      <w:t>OPC62061 -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ED79B6" w:rsidRDefault="00E1244F" w:rsidP="00E1244F">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5A034B" w:rsidRDefault="00E1244F" w:rsidP="00E1244F">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1244F" w:rsidRPr="005A034B" w:rsidTr="00B57E95">
      <w:tc>
        <w:tcPr>
          <w:tcW w:w="533" w:type="dxa"/>
        </w:tcPr>
        <w:p w:rsidR="00E1244F" w:rsidRPr="005A034B" w:rsidRDefault="00E1244F" w:rsidP="00B57E95">
          <w:pPr>
            <w:spacing w:line="0" w:lineRule="atLeast"/>
            <w:rPr>
              <w:rFonts w:cs="Times New Roman"/>
              <w:i/>
              <w:sz w:val="18"/>
            </w:rPr>
          </w:pPr>
          <w:r w:rsidRPr="005A034B">
            <w:rPr>
              <w:rFonts w:cs="Times New Roman"/>
              <w:i/>
              <w:sz w:val="18"/>
            </w:rPr>
            <w:fldChar w:fldCharType="begin"/>
          </w:r>
          <w:r w:rsidRPr="005A034B">
            <w:rPr>
              <w:rFonts w:cs="Times New Roman"/>
              <w:i/>
              <w:sz w:val="18"/>
            </w:rPr>
            <w:instrText xml:space="preserve"> PAGE </w:instrText>
          </w:r>
          <w:r w:rsidRPr="005A034B">
            <w:rPr>
              <w:rFonts w:cs="Times New Roman"/>
              <w:i/>
              <w:sz w:val="18"/>
            </w:rPr>
            <w:fldChar w:fldCharType="separate"/>
          </w:r>
          <w:r w:rsidR="00EC45E3">
            <w:rPr>
              <w:rFonts w:cs="Times New Roman"/>
              <w:i/>
              <w:noProof/>
              <w:sz w:val="18"/>
            </w:rPr>
            <w:t>17</w:t>
          </w:r>
          <w:r w:rsidRPr="005A034B">
            <w:rPr>
              <w:rFonts w:cs="Times New Roman"/>
              <w:i/>
              <w:sz w:val="18"/>
            </w:rPr>
            <w:fldChar w:fldCharType="end"/>
          </w:r>
        </w:p>
      </w:tc>
      <w:tc>
        <w:tcPr>
          <w:tcW w:w="5387" w:type="dxa"/>
        </w:tcPr>
        <w:p w:rsidR="00E1244F" w:rsidRPr="005A034B" w:rsidRDefault="00E1244F" w:rsidP="00B57E95">
          <w:pPr>
            <w:spacing w:line="0" w:lineRule="atLeast"/>
            <w:jc w:val="center"/>
            <w:rPr>
              <w:rFonts w:cs="Times New Roman"/>
              <w:i/>
              <w:sz w:val="18"/>
            </w:rPr>
          </w:pPr>
          <w:r w:rsidRPr="005A034B">
            <w:rPr>
              <w:rFonts w:cs="Times New Roman"/>
              <w:i/>
              <w:sz w:val="18"/>
            </w:rPr>
            <w:fldChar w:fldCharType="begin"/>
          </w:r>
          <w:r w:rsidRPr="005A034B">
            <w:rPr>
              <w:rFonts w:cs="Times New Roman"/>
              <w:i/>
              <w:sz w:val="18"/>
            </w:rPr>
            <w:instrText xml:space="preserve"> DOCPROPERTY ShortT </w:instrText>
          </w:r>
          <w:r w:rsidRPr="005A034B">
            <w:rPr>
              <w:rFonts w:cs="Times New Roman"/>
              <w:i/>
              <w:sz w:val="18"/>
            </w:rPr>
            <w:fldChar w:fldCharType="separate"/>
          </w:r>
          <w:r w:rsidR="00B35099">
            <w:rPr>
              <w:rFonts w:cs="Times New Roman"/>
              <w:i/>
              <w:sz w:val="18"/>
            </w:rPr>
            <w:t>Australian Citizenship Regulation 2016</w:t>
          </w:r>
          <w:r w:rsidRPr="005A034B">
            <w:rPr>
              <w:rFonts w:cs="Times New Roman"/>
              <w:i/>
              <w:sz w:val="18"/>
            </w:rPr>
            <w:fldChar w:fldCharType="end"/>
          </w:r>
        </w:p>
      </w:tc>
      <w:tc>
        <w:tcPr>
          <w:tcW w:w="1383" w:type="dxa"/>
        </w:tcPr>
        <w:p w:rsidR="00E1244F" w:rsidRPr="005A034B" w:rsidRDefault="00E1244F" w:rsidP="00B57E95">
          <w:pPr>
            <w:spacing w:line="0" w:lineRule="atLeast"/>
            <w:jc w:val="right"/>
            <w:rPr>
              <w:rFonts w:cs="Times New Roman"/>
              <w:i/>
              <w:sz w:val="18"/>
            </w:rPr>
          </w:pPr>
          <w:r w:rsidRPr="005A034B">
            <w:rPr>
              <w:rFonts w:cs="Times New Roman"/>
              <w:i/>
              <w:sz w:val="18"/>
            </w:rPr>
            <w:fldChar w:fldCharType="begin"/>
          </w:r>
          <w:r w:rsidRPr="005A034B">
            <w:rPr>
              <w:rFonts w:cs="Times New Roman"/>
              <w:i/>
              <w:sz w:val="18"/>
            </w:rPr>
            <w:instrText xml:space="preserve"> DOCPROPERTY ActNo </w:instrText>
          </w:r>
          <w:r w:rsidRPr="005A034B">
            <w:rPr>
              <w:rFonts w:cs="Times New Roman"/>
              <w:i/>
              <w:sz w:val="18"/>
            </w:rPr>
            <w:fldChar w:fldCharType="separate"/>
          </w:r>
          <w:r w:rsidR="00B35099">
            <w:rPr>
              <w:rFonts w:cs="Times New Roman"/>
              <w:i/>
              <w:sz w:val="18"/>
            </w:rPr>
            <w:t>No. , 2016</w:t>
          </w:r>
          <w:r w:rsidRPr="005A034B">
            <w:rPr>
              <w:rFonts w:cs="Times New Roman"/>
              <w:i/>
              <w:sz w:val="18"/>
            </w:rPr>
            <w:fldChar w:fldCharType="end"/>
          </w:r>
        </w:p>
      </w:tc>
    </w:tr>
  </w:tbl>
  <w:p w:rsidR="00E1244F" w:rsidRPr="005A034B" w:rsidRDefault="005A034B" w:rsidP="005A034B">
    <w:pPr>
      <w:rPr>
        <w:rFonts w:cs="Times New Roman"/>
        <w:i/>
        <w:sz w:val="18"/>
      </w:rPr>
    </w:pPr>
    <w:r w:rsidRPr="005A034B">
      <w:rPr>
        <w:rFonts w:cs="Times New Roman"/>
        <w:i/>
        <w:sz w:val="18"/>
      </w:rPr>
      <w:t>OPC62061 -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2B0EA5" w:rsidRDefault="00E1244F" w:rsidP="00E124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E1244F" w:rsidTr="00B57E95">
      <w:tc>
        <w:tcPr>
          <w:tcW w:w="1383" w:type="dxa"/>
        </w:tcPr>
        <w:p w:rsidR="00E1244F" w:rsidRDefault="00E1244F" w:rsidP="00B57E9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35099">
            <w:rPr>
              <w:i/>
              <w:sz w:val="18"/>
            </w:rPr>
            <w:t>No. , 2016</w:t>
          </w:r>
          <w:r w:rsidRPr="007A1328">
            <w:rPr>
              <w:i/>
              <w:sz w:val="18"/>
            </w:rPr>
            <w:fldChar w:fldCharType="end"/>
          </w:r>
        </w:p>
      </w:tc>
      <w:tc>
        <w:tcPr>
          <w:tcW w:w="5387" w:type="dxa"/>
        </w:tcPr>
        <w:p w:rsidR="00E1244F" w:rsidRDefault="00E1244F" w:rsidP="00B57E9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5099">
            <w:rPr>
              <w:i/>
              <w:sz w:val="18"/>
            </w:rPr>
            <w:t>Australian Citizenship Regulation 2016</w:t>
          </w:r>
          <w:r w:rsidRPr="007A1328">
            <w:rPr>
              <w:i/>
              <w:sz w:val="18"/>
            </w:rPr>
            <w:fldChar w:fldCharType="end"/>
          </w:r>
        </w:p>
      </w:tc>
      <w:tc>
        <w:tcPr>
          <w:tcW w:w="533" w:type="dxa"/>
        </w:tcPr>
        <w:p w:rsidR="00E1244F" w:rsidRDefault="00E1244F" w:rsidP="00B57E9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26BF">
            <w:rPr>
              <w:i/>
              <w:noProof/>
              <w:sz w:val="18"/>
            </w:rPr>
            <w:t>17</w:t>
          </w:r>
          <w:r w:rsidRPr="00ED79B6">
            <w:rPr>
              <w:i/>
              <w:sz w:val="18"/>
            </w:rPr>
            <w:fldChar w:fldCharType="end"/>
          </w:r>
        </w:p>
      </w:tc>
    </w:tr>
  </w:tbl>
  <w:p w:rsidR="00E1244F" w:rsidRPr="00ED79B6" w:rsidRDefault="005A034B" w:rsidP="005A034B">
    <w:pPr>
      <w:rPr>
        <w:i/>
        <w:sz w:val="18"/>
      </w:rPr>
    </w:pPr>
    <w:r w:rsidRPr="005A034B">
      <w:rPr>
        <w:rFonts w:cs="Times New Roman"/>
        <w:i/>
        <w:sz w:val="18"/>
      </w:rPr>
      <w:t>OPC62061 -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ED79B6" w:rsidRDefault="00E1244F" w:rsidP="00E1244F">
    <w:pPr>
      <w:pStyle w:val="Footer"/>
      <w:tabs>
        <w:tab w:val="clear" w:pos="4153"/>
        <w:tab w:val="clear" w:pos="8306"/>
        <w:tab w:val="center" w:pos="4150"/>
        <w:tab w:val="right" w:pos="8307"/>
      </w:tabs>
      <w:spacing w:before="1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5A034B" w:rsidRDefault="00E1244F" w:rsidP="00E1244F">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1244F" w:rsidRPr="005A034B" w:rsidTr="00B57E95">
      <w:tc>
        <w:tcPr>
          <w:tcW w:w="533" w:type="dxa"/>
        </w:tcPr>
        <w:p w:rsidR="00E1244F" w:rsidRPr="005A034B" w:rsidRDefault="00E1244F" w:rsidP="00B57E95">
          <w:pPr>
            <w:spacing w:line="0" w:lineRule="atLeast"/>
            <w:rPr>
              <w:rFonts w:cs="Times New Roman"/>
              <w:i/>
              <w:sz w:val="18"/>
            </w:rPr>
          </w:pPr>
          <w:r w:rsidRPr="005A034B">
            <w:rPr>
              <w:rFonts w:cs="Times New Roman"/>
              <w:i/>
              <w:sz w:val="18"/>
            </w:rPr>
            <w:fldChar w:fldCharType="begin"/>
          </w:r>
          <w:r w:rsidRPr="005A034B">
            <w:rPr>
              <w:rFonts w:cs="Times New Roman"/>
              <w:i/>
              <w:sz w:val="18"/>
            </w:rPr>
            <w:instrText xml:space="preserve"> PAGE </w:instrText>
          </w:r>
          <w:r w:rsidRPr="005A034B">
            <w:rPr>
              <w:rFonts w:cs="Times New Roman"/>
              <w:i/>
              <w:sz w:val="18"/>
            </w:rPr>
            <w:fldChar w:fldCharType="separate"/>
          </w:r>
          <w:r w:rsidR="00EC45E3">
            <w:rPr>
              <w:rFonts w:cs="Times New Roman"/>
              <w:i/>
              <w:noProof/>
              <w:sz w:val="18"/>
            </w:rPr>
            <w:t>17</w:t>
          </w:r>
          <w:r w:rsidRPr="005A034B">
            <w:rPr>
              <w:rFonts w:cs="Times New Roman"/>
              <w:i/>
              <w:sz w:val="18"/>
            </w:rPr>
            <w:fldChar w:fldCharType="end"/>
          </w:r>
        </w:p>
      </w:tc>
      <w:tc>
        <w:tcPr>
          <w:tcW w:w="5387" w:type="dxa"/>
        </w:tcPr>
        <w:p w:rsidR="00E1244F" w:rsidRPr="005A034B" w:rsidRDefault="00E1244F" w:rsidP="00B57E95">
          <w:pPr>
            <w:spacing w:line="0" w:lineRule="atLeast"/>
            <w:jc w:val="center"/>
            <w:rPr>
              <w:rFonts w:cs="Times New Roman"/>
              <w:i/>
              <w:sz w:val="18"/>
            </w:rPr>
          </w:pPr>
          <w:r w:rsidRPr="005A034B">
            <w:rPr>
              <w:rFonts w:cs="Times New Roman"/>
              <w:i/>
              <w:sz w:val="18"/>
            </w:rPr>
            <w:fldChar w:fldCharType="begin"/>
          </w:r>
          <w:r w:rsidRPr="005A034B">
            <w:rPr>
              <w:rFonts w:cs="Times New Roman"/>
              <w:i/>
              <w:sz w:val="18"/>
            </w:rPr>
            <w:instrText xml:space="preserve"> DOCPROPERTY ShortT </w:instrText>
          </w:r>
          <w:r w:rsidRPr="005A034B">
            <w:rPr>
              <w:rFonts w:cs="Times New Roman"/>
              <w:i/>
              <w:sz w:val="18"/>
            </w:rPr>
            <w:fldChar w:fldCharType="separate"/>
          </w:r>
          <w:r w:rsidR="00B35099">
            <w:rPr>
              <w:rFonts w:cs="Times New Roman"/>
              <w:i/>
              <w:sz w:val="18"/>
            </w:rPr>
            <w:t>Australian Citizenship Regulation 2016</w:t>
          </w:r>
          <w:r w:rsidRPr="005A034B">
            <w:rPr>
              <w:rFonts w:cs="Times New Roman"/>
              <w:i/>
              <w:sz w:val="18"/>
            </w:rPr>
            <w:fldChar w:fldCharType="end"/>
          </w:r>
        </w:p>
      </w:tc>
      <w:tc>
        <w:tcPr>
          <w:tcW w:w="1383" w:type="dxa"/>
        </w:tcPr>
        <w:p w:rsidR="00E1244F" w:rsidRPr="005A034B" w:rsidRDefault="00E1244F" w:rsidP="00B57E95">
          <w:pPr>
            <w:spacing w:line="0" w:lineRule="atLeast"/>
            <w:jc w:val="right"/>
            <w:rPr>
              <w:rFonts w:cs="Times New Roman"/>
              <w:i/>
              <w:sz w:val="18"/>
            </w:rPr>
          </w:pPr>
          <w:r w:rsidRPr="005A034B">
            <w:rPr>
              <w:rFonts w:cs="Times New Roman"/>
              <w:i/>
              <w:sz w:val="18"/>
            </w:rPr>
            <w:fldChar w:fldCharType="begin"/>
          </w:r>
          <w:r w:rsidRPr="005A034B">
            <w:rPr>
              <w:rFonts w:cs="Times New Roman"/>
              <w:i/>
              <w:sz w:val="18"/>
            </w:rPr>
            <w:instrText xml:space="preserve"> DOCPROPERTY ActNo </w:instrText>
          </w:r>
          <w:r w:rsidRPr="005A034B">
            <w:rPr>
              <w:rFonts w:cs="Times New Roman"/>
              <w:i/>
              <w:sz w:val="18"/>
            </w:rPr>
            <w:fldChar w:fldCharType="separate"/>
          </w:r>
          <w:r w:rsidR="00B35099">
            <w:rPr>
              <w:rFonts w:cs="Times New Roman"/>
              <w:i/>
              <w:sz w:val="18"/>
            </w:rPr>
            <w:t>No. , 2016</w:t>
          </w:r>
          <w:r w:rsidRPr="005A034B">
            <w:rPr>
              <w:rFonts w:cs="Times New Roman"/>
              <w:i/>
              <w:sz w:val="18"/>
            </w:rPr>
            <w:fldChar w:fldCharType="end"/>
          </w:r>
        </w:p>
      </w:tc>
    </w:tr>
  </w:tbl>
  <w:p w:rsidR="00E1244F" w:rsidRPr="005A034B" w:rsidRDefault="005A034B" w:rsidP="005A034B">
    <w:pPr>
      <w:rPr>
        <w:rFonts w:cs="Times New Roman"/>
        <w:i/>
        <w:sz w:val="18"/>
      </w:rPr>
    </w:pPr>
    <w:r w:rsidRPr="005A034B">
      <w:rPr>
        <w:rFonts w:cs="Times New Roman"/>
        <w:i/>
        <w:sz w:val="18"/>
      </w:rPr>
      <w:t>OPC62061 - 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2B0EA5" w:rsidRDefault="00E1244F" w:rsidP="00E124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E1244F" w:rsidTr="00B57E95">
      <w:tc>
        <w:tcPr>
          <w:tcW w:w="1383" w:type="dxa"/>
        </w:tcPr>
        <w:p w:rsidR="00E1244F" w:rsidRDefault="00E1244F" w:rsidP="00B57E9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35099">
            <w:rPr>
              <w:i/>
              <w:sz w:val="18"/>
            </w:rPr>
            <w:t>No. , 2016</w:t>
          </w:r>
          <w:r w:rsidRPr="007A1328">
            <w:rPr>
              <w:i/>
              <w:sz w:val="18"/>
            </w:rPr>
            <w:fldChar w:fldCharType="end"/>
          </w:r>
        </w:p>
      </w:tc>
      <w:tc>
        <w:tcPr>
          <w:tcW w:w="5387" w:type="dxa"/>
        </w:tcPr>
        <w:p w:rsidR="00E1244F" w:rsidRDefault="00E1244F" w:rsidP="00B57E9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5099">
            <w:rPr>
              <w:i/>
              <w:sz w:val="18"/>
            </w:rPr>
            <w:t>Australian Citizenship Regulation 2016</w:t>
          </w:r>
          <w:r w:rsidRPr="007A1328">
            <w:rPr>
              <w:i/>
              <w:sz w:val="18"/>
            </w:rPr>
            <w:fldChar w:fldCharType="end"/>
          </w:r>
        </w:p>
      </w:tc>
      <w:tc>
        <w:tcPr>
          <w:tcW w:w="533" w:type="dxa"/>
        </w:tcPr>
        <w:p w:rsidR="00E1244F" w:rsidRDefault="00E1244F" w:rsidP="00B57E9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C45E3">
            <w:rPr>
              <w:i/>
              <w:noProof/>
              <w:sz w:val="18"/>
            </w:rPr>
            <w:t>17</w:t>
          </w:r>
          <w:r w:rsidRPr="00ED79B6">
            <w:rPr>
              <w:i/>
              <w:sz w:val="18"/>
            </w:rPr>
            <w:fldChar w:fldCharType="end"/>
          </w:r>
        </w:p>
      </w:tc>
    </w:tr>
  </w:tbl>
  <w:p w:rsidR="00E1244F" w:rsidRPr="00ED79B6" w:rsidRDefault="005A034B" w:rsidP="005A034B">
    <w:pPr>
      <w:rPr>
        <w:i/>
        <w:sz w:val="18"/>
      </w:rPr>
    </w:pPr>
    <w:r w:rsidRPr="005A034B">
      <w:rPr>
        <w:rFonts w:cs="Times New Roman"/>
        <w:i/>
        <w:sz w:val="18"/>
      </w:rPr>
      <w:t>OPC62061 - B</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ED79B6" w:rsidRDefault="00E1244F" w:rsidP="00E1244F">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Default="00E1244F" w:rsidP="00E1244F">
    <w:pPr>
      <w:pStyle w:val="Footer"/>
    </w:pPr>
  </w:p>
  <w:p w:rsidR="00E1244F" w:rsidRPr="00E44C17" w:rsidRDefault="005A034B" w:rsidP="005A034B">
    <w:pPr>
      <w:pStyle w:val="Footer"/>
    </w:pPr>
    <w:r w:rsidRPr="005A034B">
      <w:rPr>
        <w:i/>
        <w:sz w:val="18"/>
      </w:rPr>
      <w:t>OPC62061 -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ED79B6" w:rsidRDefault="00E1244F" w:rsidP="00E1244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5A034B" w:rsidRDefault="00E1244F" w:rsidP="00E1244F">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1244F" w:rsidRPr="005A034B" w:rsidTr="00B57E95">
      <w:tc>
        <w:tcPr>
          <w:tcW w:w="533" w:type="dxa"/>
        </w:tcPr>
        <w:p w:rsidR="00E1244F" w:rsidRPr="005A034B" w:rsidRDefault="00E1244F" w:rsidP="00B57E95">
          <w:pPr>
            <w:spacing w:line="0" w:lineRule="atLeast"/>
            <w:rPr>
              <w:rFonts w:cs="Times New Roman"/>
              <w:i/>
              <w:sz w:val="18"/>
            </w:rPr>
          </w:pPr>
          <w:r w:rsidRPr="005A034B">
            <w:rPr>
              <w:rFonts w:cs="Times New Roman"/>
              <w:i/>
              <w:sz w:val="18"/>
            </w:rPr>
            <w:fldChar w:fldCharType="begin"/>
          </w:r>
          <w:r w:rsidRPr="005A034B">
            <w:rPr>
              <w:rFonts w:cs="Times New Roman"/>
              <w:i/>
              <w:sz w:val="18"/>
            </w:rPr>
            <w:instrText xml:space="preserve"> PAGE </w:instrText>
          </w:r>
          <w:r w:rsidRPr="005A034B">
            <w:rPr>
              <w:rFonts w:cs="Times New Roman"/>
              <w:i/>
              <w:sz w:val="18"/>
            </w:rPr>
            <w:fldChar w:fldCharType="separate"/>
          </w:r>
          <w:r w:rsidR="00EC45E3">
            <w:rPr>
              <w:rFonts w:cs="Times New Roman"/>
              <w:i/>
              <w:noProof/>
              <w:sz w:val="18"/>
            </w:rPr>
            <w:t>xvii</w:t>
          </w:r>
          <w:r w:rsidRPr="005A034B">
            <w:rPr>
              <w:rFonts w:cs="Times New Roman"/>
              <w:i/>
              <w:sz w:val="18"/>
            </w:rPr>
            <w:fldChar w:fldCharType="end"/>
          </w:r>
        </w:p>
      </w:tc>
      <w:tc>
        <w:tcPr>
          <w:tcW w:w="5387" w:type="dxa"/>
        </w:tcPr>
        <w:p w:rsidR="00E1244F" w:rsidRPr="005A034B" w:rsidRDefault="00E1244F" w:rsidP="00B57E95">
          <w:pPr>
            <w:spacing w:line="0" w:lineRule="atLeast"/>
            <w:jc w:val="center"/>
            <w:rPr>
              <w:rFonts w:cs="Times New Roman"/>
              <w:i/>
              <w:sz w:val="18"/>
            </w:rPr>
          </w:pPr>
          <w:r w:rsidRPr="005A034B">
            <w:rPr>
              <w:rFonts w:cs="Times New Roman"/>
              <w:i/>
              <w:sz w:val="18"/>
            </w:rPr>
            <w:fldChar w:fldCharType="begin"/>
          </w:r>
          <w:r w:rsidRPr="005A034B">
            <w:rPr>
              <w:rFonts w:cs="Times New Roman"/>
              <w:i/>
              <w:sz w:val="18"/>
            </w:rPr>
            <w:instrText xml:space="preserve"> DOCPROPERTY ShortT </w:instrText>
          </w:r>
          <w:r w:rsidRPr="005A034B">
            <w:rPr>
              <w:rFonts w:cs="Times New Roman"/>
              <w:i/>
              <w:sz w:val="18"/>
            </w:rPr>
            <w:fldChar w:fldCharType="separate"/>
          </w:r>
          <w:r w:rsidR="00B35099">
            <w:rPr>
              <w:rFonts w:cs="Times New Roman"/>
              <w:i/>
              <w:sz w:val="18"/>
            </w:rPr>
            <w:t>Australian Citizenship Regulation 2016</w:t>
          </w:r>
          <w:r w:rsidRPr="005A034B">
            <w:rPr>
              <w:rFonts w:cs="Times New Roman"/>
              <w:i/>
              <w:sz w:val="18"/>
            </w:rPr>
            <w:fldChar w:fldCharType="end"/>
          </w:r>
        </w:p>
      </w:tc>
      <w:tc>
        <w:tcPr>
          <w:tcW w:w="1383" w:type="dxa"/>
        </w:tcPr>
        <w:p w:rsidR="00E1244F" w:rsidRPr="005A034B" w:rsidRDefault="00E1244F" w:rsidP="00B57E95">
          <w:pPr>
            <w:spacing w:line="0" w:lineRule="atLeast"/>
            <w:jc w:val="right"/>
            <w:rPr>
              <w:rFonts w:cs="Times New Roman"/>
              <w:i/>
              <w:sz w:val="18"/>
            </w:rPr>
          </w:pPr>
          <w:r w:rsidRPr="005A034B">
            <w:rPr>
              <w:rFonts w:cs="Times New Roman"/>
              <w:i/>
              <w:sz w:val="18"/>
            </w:rPr>
            <w:fldChar w:fldCharType="begin"/>
          </w:r>
          <w:r w:rsidRPr="005A034B">
            <w:rPr>
              <w:rFonts w:cs="Times New Roman"/>
              <w:i/>
              <w:sz w:val="18"/>
            </w:rPr>
            <w:instrText xml:space="preserve"> DOCPROPERTY ActNo </w:instrText>
          </w:r>
          <w:r w:rsidRPr="005A034B">
            <w:rPr>
              <w:rFonts w:cs="Times New Roman"/>
              <w:i/>
              <w:sz w:val="18"/>
            </w:rPr>
            <w:fldChar w:fldCharType="separate"/>
          </w:r>
          <w:r w:rsidR="00B35099">
            <w:rPr>
              <w:rFonts w:cs="Times New Roman"/>
              <w:i/>
              <w:sz w:val="18"/>
            </w:rPr>
            <w:t>No. , 2016</w:t>
          </w:r>
          <w:r w:rsidRPr="005A034B">
            <w:rPr>
              <w:rFonts w:cs="Times New Roman"/>
              <w:i/>
              <w:sz w:val="18"/>
            </w:rPr>
            <w:fldChar w:fldCharType="end"/>
          </w:r>
        </w:p>
      </w:tc>
    </w:tr>
  </w:tbl>
  <w:p w:rsidR="00E1244F" w:rsidRPr="005A034B" w:rsidRDefault="005A034B" w:rsidP="005A034B">
    <w:pPr>
      <w:rPr>
        <w:rFonts w:cs="Times New Roman"/>
        <w:i/>
        <w:sz w:val="18"/>
      </w:rPr>
    </w:pPr>
    <w:r w:rsidRPr="005A034B">
      <w:rPr>
        <w:rFonts w:cs="Times New Roman"/>
        <w:i/>
        <w:sz w:val="18"/>
      </w:rPr>
      <w:t>OPC62061 -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2B0EA5" w:rsidRDefault="00E1244F" w:rsidP="00E124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E1244F" w:rsidTr="00B57E95">
      <w:tc>
        <w:tcPr>
          <w:tcW w:w="1383" w:type="dxa"/>
        </w:tcPr>
        <w:p w:rsidR="00E1244F" w:rsidRDefault="00E1244F" w:rsidP="00B57E95">
          <w:pPr>
            <w:spacing w:line="0" w:lineRule="atLeast"/>
            <w:rPr>
              <w:sz w:val="18"/>
            </w:rPr>
          </w:pPr>
        </w:p>
      </w:tc>
      <w:tc>
        <w:tcPr>
          <w:tcW w:w="5387" w:type="dxa"/>
        </w:tcPr>
        <w:p w:rsidR="00E1244F" w:rsidRDefault="00E1244F" w:rsidP="00B57E9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5099">
            <w:rPr>
              <w:i/>
              <w:sz w:val="18"/>
            </w:rPr>
            <w:t>Australian Citizenship Regulation 2016</w:t>
          </w:r>
          <w:r w:rsidRPr="007A1328">
            <w:rPr>
              <w:i/>
              <w:sz w:val="18"/>
            </w:rPr>
            <w:fldChar w:fldCharType="end"/>
          </w:r>
        </w:p>
      </w:tc>
      <w:tc>
        <w:tcPr>
          <w:tcW w:w="533" w:type="dxa"/>
        </w:tcPr>
        <w:p w:rsidR="00E1244F" w:rsidRDefault="00E1244F" w:rsidP="00B57E9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26BF">
            <w:rPr>
              <w:i/>
              <w:noProof/>
              <w:sz w:val="18"/>
            </w:rPr>
            <w:t>i</w:t>
          </w:r>
          <w:r w:rsidRPr="00ED79B6">
            <w:rPr>
              <w:i/>
              <w:sz w:val="18"/>
            </w:rPr>
            <w:fldChar w:fldCharType="end"/>
          </w:r>
        </w:p>
      </w:tc>
    </w:tr>
  </w:tbl>
  <w:p w:rsidR="00E1244F" w:rsidRPr="00ED79B6" w:rsidRDefault="005A034B" w:rsidP="005A034B">
    <w:pPr>
      <w:rPr>
        <w:i/>
        <w:sz w:val="18"/>
      </w:rPr>
    </w:pPr>
    <w:r w:rsidRPr="005A034B">
      <w:rPr>
        <w:rFonts w:cs="Times New Roman"/>
        <w:i/>
        <w:sz w:val="18"/>
      </w:rPr>
      <w:t>OPC62061 -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5A034B" w:rsidRDefault="00E1244F" w:rsidP="00E1244F">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1244F" w:rsidRPr="005A034B" w:rsidTr="00B57E95">
      <w:tc>
        <w:tcPr>
          <w:tcW w:w="533" w:type="dxa"/>
        </w:tcPr>
        <w:p w:rsidR="00E1244F" w:rsidRPr="005A034B" w:rsidRDefault="00E1244F" w:rsidP="00B57E95">
          <w:pPr>
            <w:spacing w:line="0" w:lineRule="atLeast"/>
            <w:rPr>
              <w:rFonts w:cs="Times New Roman"/>
              <w:i/>
              <w:sz w:val="18"/>
            </w:rPr>
          </w:pPr>
          <w:r w:rsidRPr="005A034B">
            <w:rPr>
              <w:rFonts w:cs="Times New Roman"/>
              <w:i/>
              <w:sz w:val="18"/>
            </w:rPr>
            <w:fldChar w:fldCharType="begin"/>
          </w:r>
          <w:r w:rsidRPr="005A034B">
            <w:rPr>
              <w:rFonts w:cs="Times New Roman"/>
              <w:i/>
              <w:sz w:val="18"/>
            </w:rPr>
            <w:instrText xml:space="preserve"> PAGE </w:instrText>
          </w:r>
          <w:r w:rsidRPr="005A034B">
            <w:rPr>
              <w:rFonts w:cs="Times New Roman"/>
              <w:i/>
              <w:sz w:val="18"/>
            </w:rPr>
            <w:fldChar w:fldCharType="separate"/>
          </w:r>
          <w:r w:rsidR="003026BF">
            <w:rPr>
              <w:rFonts w:cs="Times New Roman"/>
              <w:i/>
              <w:noProof/>
              <w:sz w:val="18"/>
            </w:rPr>
            <w:t>2</w:t>
          </w:r>
          <w:r w:rsidRPr="005A034B">
            <w:rPr>
              <w:rFonts w:cs="Times New Roman"/>
              <w:i/>
              <w:sz w:val="18"/>
            </w:rPr>
            <w:fldChar w:fldCharType="end"/>
          </w:r>
        </w:p>
      </w:tc>
      <w:tc>
        <w:tcPr>
          <w:tcW w:w="5387" w:type="dxa"/>
        </w:tcPr>
        <w:p w:rsidR="00E1244F" w:rsidRPr="005A034B" w:rsidRDefault="00E1244F" w:rsidP="00B57E95">
          <w:pPr>
            <w:spacing w:line="0" w:lineRule="atLeast"/>
            <w:jc w:val="center"/>
            <w:rPr>
              <w:rFonts w:cs="Times New Roman"/>
              <w:i/>
              <w:sz w:val="18"/>
            </w:rPr>
          </w:pPr>
          <w:r w:rsidRPr="005A034B">
            <w:rPr>
              <w:rFonts w:cs="Times New Roman"/>
              <w:i/>
              <w:sz w:val="18"/>
            </w:rPr>
            <w:fldChar w:fldCharType="begin"/>
          </w:r>
          <w:r w:rsidRPr="005A034B">
            <w:rPr>
              <w:rFonts w:cs="Times New Roman"/>
              <w:i/>
              <w:sz w:val="18"/>
            </w:rPr>
            <w:instrText xml:space="preserve"> DOCPROPERTY ShortT </w:instrText>
          </w:r>
          <w:r w:rsidRPr="005A034B">
            <w:rPr>
              <w:rFonts w:cs="Times New Roman"/>
              <w:i/>
              <w:sz w:val="18"/>
            </w:rPr>
            <w:fldChar w:fldCharType="separate"/>
          </w:r>
          <w:r w:rsidR="00B35099">
            <w:rPr>
              <w:rFonts w:cs="Times New Roman"/>
              <w:i/>
              <w:sz w:val="18"/>
            </w:rPr>
            <w:t>Australian Citizenship Regulation 2016</w:t>
          </w:r>
          <w:r w:rsidRPr="005A034B">
            <w:rPr>
              <w:rFonts w:cs="Times New Roman"/>
              <w:i/>
              <w:sz w:val="18"/>
            </w:rPr>
            <w:fldChar w:fldCharType="end"/>
          </w:r>
        </w:p>
      </w:tc>
      <w:tc>
        <w:tcPr>
          <w:tcW w:w="1383" w:type="dxa"/>
        </w:tcPr>
        <w:p w:rsidR="00E1244F" w:rsidRPr="005A034B" w:rsidRDefault="00E1244F" w:rsidP="00B57E95">
          <w:pPr>
            <w:spacing w:line="0" w:lineRule="atLeast"/>
            <w:jc w:val="right"/>
            <w:rPr>
              <w:rFonts w:cs="Times New Roman"/>
              <w:i/>
              <w:sz w:val="18"/>
            </w:rPr>
          </w:pPr>
          <w:bookmarkStart w:id="26" w:name="_GoBack"/>
          <w:bookmarkEnd w:id="26"/>
        </w:p>
      </w:tc>
    </w:tr>
  </w:tbl>
  <w:p w:rsidR="00E1244F" w:rsidRPr="005A034B" w:rsidRDefault="005A034B" w:rsidP="005A034B">
    <w:pPr>
      <w:rPr>
        <w:rFonts w:cs="Times New Roman"/>
        <w:i/>
        <w:sz w:val="18"/>
      </w:rPr>
    </w:pPr>
    <w:r w:rsidRPr="005A034B">
      <w:rPr>
        <w:rFonts w:cs="Times New Roman"/>
        <w:i/>
        <w:sz w:val="18"/>
      </w:rPr>
      <w:t>OPC62061 -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2B0EA5" w:rsidRDefault="00E1244F" w:rsidP="00E124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E1244F" w:rsidTr="00B57E95">
      <w:tc>
        <w:tcPr>
          <w:tcW w:w="1383" w:type="dxa"/>
        </w:tcPr>
        <w:p w:rsidR="00E1244F" w:rsidRDefault="00E1244F" w:rsidP="00B57E95">
          <w:pPr>
            <w:spacing w:line="0" w:lineRule="atLeast"/>
            <w:rPr>
              <w:sz w:val="18"/>
            </w:rPr>
          </w:pPr>
        </w:p>
      </w:tc>
      <w:tc>
        <w:tcPr>
          <w:tcW w:w="5387" w:type="dxa"/>
        </w:tcPr>
        <w:p w:rsidR="00E1244F" w:rsidRDefault="00E1244F" w:rsidP="00B57E9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35099">
            <w:rPr>
              <w:i/>
              <w:sz w:val="18"/>
            </w:rPr>
            <w:t>Australian Citizenship Regulation 2016</w:t>
          </w:r>
          <w:r w:rsidRPr="007A1328">
            <w:rPr>
              <w:i/>
              <w:sz w:val="18"/>
            </w:rPr>
            <w:fldChar w:fldCharType="end"/>
          </w:r>
        </w:p>
      </w:tc>
      <w:tc>
        <w:tcPr>
          <w:tcW w:w="533" w:type="dxa"/>
        </w:tcPr>
        <w:p w:rsidR="00E1244F" w:rsidRDefault="00E1244F" w:rsidP="00B57E9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26BF">
            <w:rPr>
              <w:i/>
              <w:noProof/>
              <w:sz w:val="18"/>
            </w:rPr>
            <w:t>9</w:t>
          </w:r>
          <w:r w:rsidRPr="00ED79B6">
            <w:rPr>
              <w:i/>
              <w:sz w:val="18"/>
            </w:rPr>
            <w:fldChar w:fldCharType="end"/>
          </w:r>
        </w:p>
      </w:tc>
    </w:tr>
  </w:tbl>
  <w:p w:rsidR="00E1244F" w:rsidRPr="00ED79B6" w:rsidRDefault="005A034B" w:rsidP="005A034B">
    <w:pPr>
      <w:rPr>
        <w:i/>
        <w:sz w:val="18"/>
      </w:rPr>
    </w:pPr>
    <w:r w:rsidRPr="005A034B">
      <w:rPr>
        <w:rFonts w:cs="Times New Roman"/>
        <w:i/>
        <w:sz w:val="18"/>
      </w:rPr>
      <w:t>OPC62061 -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ED79B6" w:rsidRDefault="00E1244F" w:rsidP="00E1244F">
    <w:pPr>
      <w:pStyle w:val="Footer"/>
      <w:tabs>
        <w:tab w:val="clear" w:pos="4153"/>
        <w:tab w:val="clear" w:pos="8306"/>
        <w:tab w:val="center" w:pos="4150"/>
        <w:tab w:val="right" w:pos="8307"/>
      </w:tabs>
      <w:spacing w:before="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4F" w:rsidRPr="005A034B" w:rsidRDefault="00E1244F" w:rsidP="00E1244F">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E1244F" w:rsidRPr="005A034B" w:rsidTr="00B57E95">
      <w:tc>
        <w:tcPr>
          <w:tcW w:w="533" w:type="dxa"/>
        </w:tcPr>
        <w:p w:rsidR="00E1244F" w:rsidRPr="005A034B" w:rsidRDefault="00E1244F" w:rsidP="00B57E95">
          <w:pPr>
            <w:spacing w:line="0" w:lineRule="atLeast"/>
            <w:rPr>
              <w:rFonts w:cs="Times New Roman"/>
              <w:i/>
              <w:sz w:val="18"/>
            </w:rPr>
          </w:pPr>
          <w:r w:rsidRPr="005A034B">
            <w:rPr>
              <w:rFonts w:cs="Times New Roman"/>
              <w:i/>
              <w:sz w:val="18"/>
            </w:rPr>
            <w:fldChar w:fldCharType="begin"/>
          </w:r>
          <w:r w:rsidRPr="005A034B">
            <w:rPr>
              <w:rFonts w:cs="Times New Roman"/>
              <w:i/>
              <w:sz w:val="18"/>
            </w:rPr>
            <w:instrText xml:space="preserve"> PAGE </w:instrText>
          </w:r>
          <w:r w:rsidRPr="005A034B">
            <w:rPr>
              <w:rFonts w:cs="Times New Roman"/>
              <w:i/>
              <w:sz w:val="18"/>
            </w:rPr>
            <w:fldChar w:fldCharType="separate"/>
          </w:r>
          <w:r w:rsidR="003026BF">
            <w:rPr>
              <w:rFonts w:cs="Times New Roman"/>
              <w:i/>
              <w:noProof/>
              <w:sz w:val="18"/>
            </w:rPr>
            <w:t>16</w:t>
          </w:r>
          <w:r w:rsidRPr="005A034B">
            <w:rPr>
              <w:rFonts w:cs="Times New Roman"/>
              <w:i/>
              <w:sz w:val="18"/>
            </w:rPr>
            <w:fldChar w:fldCharType="end"/>
          </w:r>
        </w:p>
      </w:tc>
      <w:tc>
        <w:tcPr>
          <w:tcW w:w="5387" w:type="dxa"/>
        </w:tcPr>
        <w:p w:rsidR="00E1244F" w:rsidRPr="005A034B" w:rsidRDefault="00E1244F" w:rsidP="00B57E95">
          <w:pPr>
            <w:spacing w:line="0" w:lineRule="atLeast"/>
            <w:jc w:val="center"/>
            <w:rPr>
              <w:rFonts w:cs="Times New Roman"/>
              <w:i/>
              <w:sz w:val="18"/>
            </w:rPr>
          </w:pPr>
          <w:r w:rsidRPr="005A034B">
            <w:rPr>
              <w:rFonts w:cs="Times New Roman"/>
              <w:i/>
              <w:sz w:val="18"/>
            </w:rPr>
            <w:fldChar w:fldCharType="begin"/>
          </w:r>
          <w:r w:rsidRPr="005A034B">
            <w:rPr>
              <w:rFonts w:cs="Times New Roman"/>
              <w:i/>
              <w:sz w:val="18"/>
            </w:rPr>
            <w:instrText xml:space="preserve"> DOCPROPERTY ShortT </w:instrText>
          </w:r>
          <w:r w:rsidRPr="005A034B">
            <w:rPr>
              <w:rFonts w:cs="Times New Roman"/>
              <w:i/>
              <w:sz w:val="18"/>
            </w:rPr>
            <w:fldChar w:fldCharType="separate"/>
          </w:r>
          <w:r w:rsidR="00B35099">
            <w:rPr>
              <w:rFonts w:cs="Times New Roman"/>
              <w:i/>
              <w:sz w:val="18"/>
            </w:rPr>
            <w:t>Australian Citizenship Regulation 2016</w:t>
          </w:r>
          <w:r w:rsidRPr="005A034B">
            <w:rPr>
              <w:rFonts w:cs="Times New Roman"/>
              <w:i/>
              <w:sz w:val="18"/>
            </w:rPr>
            <w:fldChar w:fldCharType="end"/>
          </w:r>
        </w:p>
      </w:tc>
      <w:tc>
        <w:tcPr>
          <w:tcW w:w="1383" w:type="dxa"/>
        </w:tcPr>
        <w:p w:rsidR="00E1244F" w:rsidRPr="005A034B" w:rsidRDefault="00E1244F" w:rsidP="00B57E95">
          <w:pPr>
            <w:spacing w:line="0" w:lineRule="atLeast"/>
            <w:jc w:val="right"/>
            <w:rPr>
              <w:rFonts w:cs="Times New Roman"/>
              <w:i/>
              <w:sz w:val="18"/>
            </w:rPr>
          </w:pPr>
          <w:r w:rsidRPr="005A034B">
            <w:rPr>
              <w:rFonts w:cs="Times New Roman"/>
              <w:i/>
              <w:sz w:val="18"/>
            </w:rPr>
            <w:fldChar w:fldCharType="begin"/>
          </w:r>
          <w:r w:rsidRPr="005A034B">
            <w:rPr>
              <w:rFonts w:cs="Times New Roman"/>
              <w:i/>
              <w:sz w:val="18"/>
            </w:rPr>
            <w:instrText xml:space="preserve"> DOCPROPERTY ActNo </w:instrText>
          </w:r>
          <w:r w:rsidRPr="005A034B">
            <w:rPr>
              <w:rFonts w:cs="Times New Roman"/>
              <w:i/>
              <w:sz w:val="18"/>
            </w:rPr>
            <w:fldChar w:fldCharType="separate"/>
          </w:r>
          <w:r w:rsidR="00B35099">
            <w:rPr>
              <w:rFonts w:cs="Times New Roman"/>
              <w:i/>
              <w:sz w:val="18"/>
            </w:rPr>
            <w:t>No. , 2016</w:t>
          </w:r>
          <w:r w:rsidRPr="005A034B">
            <w:rPr>
              <w:rFonts w:cs="Times New Roman"/>
              <w:i/>
              <w:sz w:val="18"/>
            </w:rPr>
            <w:fldChar w:fldCharType="end"/>
          </w:r>
        </w:p>
      </w:tc>
    </w:tr>
  </w:tbl>
  <w:p w:rsidR="00E1244F" w:rsidRPr="005A034B" w:rsidRDefault="005A034B" w:rsidP="005A034B">
    <w:pPr>
      <w:rPr>
        <w:rFonts w:cs="Times New Roman"/>
        <w:i/>
        <w:sz w:val="18"/>
      </w:rPr>
    </w:pPr>
    <w:r w:rsidRPr="005A034B">
      <w:rPr>
        <w:rFonts w:cs="Times New Roman"/>
        <w:i/>
        <w:sz w:val="18"/>
      </w:rPr>
      <w:t>OPC62061 -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35" w:rsidRDefault="00416D35" w:rsidP="00715914">
      <w:pPr>
        <w:spacing w:line="240" w:lineRule="auto"/>
      </w:pPr>
      <w:r>
        <w:separator/>
      </w:r>
    </w:p>
  </w:footnote>
  <w:footnote w:type="continuationSeparator" w:id="0">
    <w:p w:rsidR="00416D35" w:rsidRDefault="00416D3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5F1388" w:rsidRDefault="00416D35"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8A2C51" w:rsidRDefault="00416D35">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3026BF">
      <w:rPr>
        <w:noProof/>
        <w:sz w:val="20"/>
      </w:rPr>
      <w:t>Amounts to accompany applications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3026BF">
      <w:rPr>
        <w:b/>
        <w:noProof/>
        <w:sz w:val="20"/>
      </w:rPr>
      <w:t>Schedule 3</w:t>
    </w:r>
    <w:r w:rsidRPr="008A2C51">
      <w:rPr>
        <w:b/>
        <w:sz w:val="20"/>
      </w:rPr>
      <w:fldChar w:fldCharType="end"/>
    </w:r>
  </w:p>
  <w:p w:rsidR="00416D35" w:rsidRPr="008A2C51" w:rsidRDefault="00416D35">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416D35" w:rsidRPr="008A2C51" w:rsidRDefault="00416D35" w:rsidP="00F00CF6">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pPr>
      <w:rPr>
        <w:sz w:val="20"/>
      </w:rPr>
    </w:pPr>
    <w:r>
      <w:rPr>
        <w:b/>
        <w:sz w:val="20"/>
      </w:rPr>
      <w:fldChar w:fldCharType="begin"/>
    </w:r>
    <w:r>
      <w:rPr>
        <w:b/>
        <w:sz w:val="20"/>
      </w:rPr>
      <w:instrText xml:space="preserve"> STYLEREF CharAmSchNo </w:instrText>
    </w:r>
    <w:r>
      <w:rPr>
        <w:b/>
        <w:sz w:val="20"/>
      </w:rPr>
      <w:fldChar w:fldCharType="separate"/>
    </w:r>
    <w:r w:rsidR="00B35099">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B35099">
      <w:rPr>
        <w:noProof/>
        <w:sz w:val="20"/>
      </w:rPr>
      <w:t>Repeals</w:t>
    </w:r>
    <w:r>
      <w:rPr>
        <w:sz w:val="20"/>
      </w:rPr>
      <w:fldChar w:fldCharType="end"/>
    </w:r>
  </w:p>
  <w:p w:rsidR="00416D35" w:rsidRDefault="00416D3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416D35" w:rsidRDefault="00416D35" w:rsidP="00F00CF6">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pPr>
      <w:jc w:val="right"/>
      <w:rPr>
        <w:sz w:val="20"/>
      </w:rPr>
    </w:pPr>
    <w:r>
      <w:rPr>
        <w:sz w:val="20"/>
      </w:rPr>
      <w:fldChar w:fldCharType="begin"/>
    </w:r>
    <w:r>
      <w:rPr>
        <w:sz w:val="20"/>
      </w:rPr>
      <w:instrText xml:space="preserve"> STYLEREF CharAmSchText </w:instrText>
    </w:r>
    <w:r>
      <w:rPr>
        <w:sz w:val="20"/>
      </w:rPr>
      <w:fldChar w:fldCharType="separate"/>
    </w:r>
    <w:r w:rsidR="003026BF">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026BF">
      <w:rPr>
        <w:b/>
        <w:noProof/>
        <w:sz w:val="20"/>
      </w:rPr>
      <w:t>Schedule 4</w:t>
    </w:r>
    <w:r>
      <w:rPr>
        <w:b/>
        <w:sz w:val="20"/>
      </w:rPr>
      <w:fldChar w:fldCharType="end"/>
    </w:r>
  </w:p>
  <w:p w:rsidR="00416D35" w:rsidRDefault="00416D3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416D35" w:rsidRDefault="00416D35" w:rsidP="00F00CF6">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35099">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35099">
      <w:rPr>
        <w:noProof/>
        <w:sz w:val="20"/>
      </w:rPr>
      <w:t>Amounts to accompany applications</w:t>
    </w:r>
    <w:r>
      <w:rPr>
        <w:sz w:val="20"/>
      </w:rPr>
      <w:fldChar w:fldCharType="end"/>
    </w:r>
  </w:p>
  <w:p w:rsidR="00416D35" w:rsidRDefault="00416D3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16D35" w:rsidRPr="007A1328" w:rsidRDefault="00416D3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16D35" w:rsidRPr="007A1328" w:rsidRDefault="00416D35" w:rsidP="00715914">
    <w:pPr>
      <w:rPr>
        <w:b/>
        <w:sz w:val="24"/>
      </w:rPr>
    </w:pPr>
  </w:p>
  <w:p w:rsidR="00416D35" w:rsidRPr="007A1328" w:rsidRDefault="00416D35" w:rsidP="00F00CF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3509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35099">
      <w:rPr>
        <w:noProof/>
        <w:sz w:val="24"/>
      </w:rPr>
      <w:t>19</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7A1328" w:rsidRDefault="00416D3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35099">
      <w:rPr>
        <w:noProof/>
        <w:sz w:val="20"/>
      </w:rPr>
      <w:t>Amounts to accompany applications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35099">
      <w:rPr>
        <w:b/>
        <w:noProof/>
        <w:sz w:val="20"/>
      </w:rPr>
      <w:t>Schedule 3</w:t>
    </w:r>
    <w:r>
      <w:rPr>
        <w:b/>
        <w:sz w:val="20"/>
      </w:rPr>
      <w:fldChar w:fldCharType="end"/>
    </w:r>
  </w:p>
  <w:p w:rsidR="00416D35" w:rsidRPr="007A1328" w:rsidRDefault="00416D3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16D35" w:rsidRPr="007A1328" w:rsidRDefault="00416D3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16D35" w:rsidRPr="007A1328" w:rsidRDefault="00416D35" w:rsidP="00715914">
    <w:pPr>
      <w:jc w:val="right"/>
      <w:rPr>
        <w:b/>
        <w:sz w:val="24"/>
      </w:rPr>
    </w:pPr>
  </w:p>
  <w:p w:rsidR="00416D35" w:rsidRPr="007A1328" w:rsidRDefault="00416D35" w:rsidP="00F00CF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3509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35099">
      <w:rPr>
        <w:noProof/>
        <w:sz w:val="24"/>
      </w:rPr>
      <w:t>19</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7A1328" w:rsidRDefault="00416D35"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5F1388" w:rsidRDefault="00416D35"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5F1388" w:rsidRDefault="00416D3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ED79B6" w:rsidRDefault="00416D35"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ED79B6" w:rsidRDefault="00416D35"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ED79B6" w:rsidRDefault="00416D3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Pr="008A2C51" w:rsidRDefault="00416D35" w:rsidP="00120A02">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416D35" w:rsidRPr="008A2C51" w:rsidRDefault="00416D35" w:rsidP="00120A02">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3026BF">
      <w:rPr>
        <w:rFonts w:eastAsia="Calibri"/>
        <w:b/>
        <w:noProof/>
        <w:sz w:val="20"/>
      </w:rPr>
      <w:t>Part 1</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3026BF">
      <w:rPr>
        <w:rFonts w:eastAsia="Calibri"/>
        <w:noProof/>
        <w:sz w:val="20"/>
      </w:rPr>
      <w:t>Preliminary</w:t>
    </w:r>
    <w:r w:rsidRPr="008A2C51">
      <w:rPr>
        <w:rFonts w:eastAsia="Calibri"/>
        <w:sz w:val="20"/>
      </w:rPr>
      <w:fldChar w:fldCharType="end"/>
    </w:r>
  </w:p>
  <w:p w:rsidR="00416D35" w:rsidRPr="008A2C51" w:rsidRDefault="00416D35" w:rsidP="00120A02">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416D35" w:rsidRPr="008A2C51" w:rsidRDefault="00416D35" w:rsidP="00120A02">
    <w:pPr>
      <w:rPr>
        <w:rFonts w:eastAsia="Calibri"/>
        <w:b/>
        <w:sz w:val="24"/>
      </w:rPr>
    </w:pPr>
  </w:p>
  <w:p w:rsidR="00416D35" w:rsidRPr="008A2C51" w:rsidRDefault="00416D35" w:rsidP="00F00CF6">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B35099">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3026BF">
      <w:rPr>
        <w:rFonts w:eastAsia="Calibri"/>
        <w:noProof/>
        <w:sz w:val="24"/>
      </w:rPr>
      <w:t>5</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416D35" w:rsidRDefault="00416D35">
    <w:pPr>
      <w:jc w:val="right"/>
      <w:rPr>
        <w:b/>
        <w:sz w:val="20"/>
      </w:rPr>
    </w:pPr>
    <w:r>
      <w:rPr>
        <w:sz w:val="20"/>
      </w:rPr>
      <w:fldChar w:fldCharType="begin"/>
    </w:r>
    <w:r>
      <w:rPr>
        <w:sz w:val="20"/>
      </w:rPr>
      <w:instrText xml:space="preserve"> STYLEREF CharPartText </w:instrText>
    </w:r>
    <w:r w:rsidR="003026BF">
      <w:rPr>
        <w:sz w:val="20"/>
      </w:rPr>
      <w:fldChar w:fldCharType="separate"/>
    </w:r>
    <w:r w:rsidR="003026BF">
      <w:rPr>
        <w:noProof/>
        <w:sz w:val="20"/>
      </w:rPr>
      <w:t>Other matters</w:t>
    </w:r>
    <w:r>
      <w:rPr>
        <w:sz w:val="20"/>
      </w:rPr>
      <w:fldChar w:fldCharType="end"/>
    </w:r>
    <w:r>
      <w:rPr>
        <w:sz w:val="20"/>
      </w:rPr>
      <w:t xml:space="preserve">  </w:t>
    </w:r>
    <w:r>
      <w:rPr>
        <w:b/>
        <w:sz w:val="20"/>
      </w:rPr>
      <w:fldChar w:fldCharType="begin"/>
    </w:r>
    <w:r>
      <w:rPr>
        <w:b/>
        <w:sz w:val="20"/>
      </w:rPr>
      <w:instrText xml:space="preserve"> STYLEREF CharPartNo </w:instrText>
    </w:r>
    <w:r w:rsidR="003026BF">
      <w:rPr>
        <w:b/>
        <w:sz w:val="20"/>
      </w:rPr>
      <w:fldChar w:fldCharType="separate"/>
    </w:r>
    <w:r w:rsidR="003026BF">
      <w:rPr>
        <w:b/>
        <w:noProof/>
        <w:sz w:val="20"/>
      </w:rPr>
      <w:t>Part 3</w:t>
    </w:r>
    <w:r>
      <w:rPr>
        <w:b/>
        <w:sz w:val="20"/>
      </w:rPr>
      <w:fldChar w:fldCharType="end"/>
    </w:r>
  </w:p>
  <w:p w:rsidR="00416D35" w:rsidRDefault="00416D35">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416D35" w:rsidRDefault="00416D35">
    <w:pPr>
      <w:jc w:val="right"/>
      <w:rPr>
        <w:b/>
      </w:rPr>
    </w:pPr>
  </w:p>
  <w:p w:rsidR="00416D35" w:rsidRDefault="00416D35" w:rsidP="00F00CF6">
    <w:pPr>
      <w:pBdr>
        <w:bottom w:val="single" w:sz="6" w:space="1" w:color="auto"/>
      </w:pBdr>
      <w:spacing w:after="120"/>
      <w:jc w:val="right"/>
    </w:pPr>
    <w:r>
      <w:t xml:space="preserve">Section </w:t>
    </w:r>
    <w:fldSimple w:instr=" STYLEREF CharSectno ">
      <w:r w:rsidR="003026BF">
        <w:rPr>
          <w:noProof/>
        </w:rPr>
        <w:t>18</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35" w:rsidRDefault="00416D35">
    <w:pPr>
      <w:rPr>
        <w:sz w:val="20"/>
      </w:rPr>
    </w:pPr>
    <w:r>
      <w:rPr>
        <w:b/>
        <w:sz w:val="20"/>
      </w:rPr>
      <w:fldChar w:fldCharType="begin"/>
    </w:r>
    <w:r>
      <w:rPr>
        <w:b/>
        <w:sz w:val="20"/>
      </w:rPr>
      <w:instrText xml:space="preserve"> STYLEREF CharChapNo </w:instrText>
    </w:r>
    <w:r>
      <w:rPr>
        <w:b/>
        <w:sz w:val="20"/>
      </w:rPr>
      <w:fldChar w:fldCharType="separate"/>
    </w:r>
    <w:r w:rsidR="003026BF">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3026BF">
      <w:rPr>
        <w:noProof/>
        <w:sz w:val="20"/>
      </w:rPr>
      <w:t>Amounts to accompany applications</w:t>
    </w:r>
    <w:r>
      <w:rPr>
        <w:sz w:val="20"/>
      </w:rPr>
      <w:fldChar w:fldCharType="end"/>
    </w:r>
  </w:p>
  <w:p w:rsidR="00416D35" w:rsidRDefault="00416D3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16D35" w:rsidRDefault="00416D35" w:rsidP="00F00CF6">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0E"/>
    <w:rsid w:val="000019A2"/>
    <w:rsid w:val="00002093"/>
    <w:rsid w:val="000045EB"/>
    <w:rsid w:val="000136AF"/>
    <w:rsid w:val="00030CA8"/>
    <w:rsid w:val="00033F6D"/>
    <w:rsid w:val="00034097"/>
    <w:rsid w:val="00036789"/>
    <w:rsid w:val="0004726F"/>
    <w:rsid w:val="000479F9"/>
    <w:rsid w:val="0005348C"/>
    <w:rsid w:val="00057C37"/>
    <w:rsid w:val="00061256"/>
    <w:rsid w:val="000614BF"/>
    <w:rsid w:val="00065784"/>
    <w:rsid w:val="00097C35"/>
    <w:rsid w:val="000A6C6A"/>
    <w:rsid w:val="000D05EF"/>
    <w:rsid w:val="000E2261"/>
    <w:rsid w:val="000E4706"/>
    <w:rsid w:val="000E4DF3"/>
    <w:rsid w:val="000F21C1"/>
    <w:rsid w:val="000F412B"/>
    <w:rsid w:val="0010745C"/>
    <w:rsid w:val="00112C34"/>
    <w:rsid w:val="00116547"/>
    <w:rsid w:val="001209CE"/>
    <w:rsid w:val="00120A02"/>
    <w:rsid w:val="00121963"/>
    <w:rsid w:val="00121EB8"/>
    <w:rsid w:val="00125157"/>
    <w:rsid w:val="001311FD"/>
    <w:rsid w:val="0013259D"/>
    <w:rsid w:val="001334B4"/>
    <w:rsid w:val="001411EF"/>
    <w:rsid w:val="0014542C"/>
    <w:rsid w:val="001475B8"/>
    <w:rsid w:val="0015279C"/>
    <w:rsid w:val="0016125C"/>
    <w:rsid w:val="00163FFA"/>
    <w:rsid w:val="00166C2F"/>
    <w:rsid w:val="001758A4"/>
    <w:rsid w:val="00190377"/>
    <w:rsid w:val="00192D25"/>
    <w:rsid w:val="001939E1"/>
    <w:rsid w:val="00195382"/>
    <w:rsid w:val="00195B34"/>
    <w:rsid w:val="0019608C"/>
    <w:rsid w:val="001A2418"/>
    <w:rsid w:val="001B0B50"/>
    <w:rsid w:val="001B1A74"/>
    <w:rsid w:val="001B39BC"/>
    <w:rsid w:val="001B693A"/>
    <w:rsid w:val="001C5F34"/>
    <w:rsid w:val="001C69C4"/>
    <w:rsid w:val="001D37EF"/>
    <w:rsid w:val="001D7DA4"/>
    <w:rsid w:val="001E1C6D"/>
    <w:rsid w:val="001E3590"/>
    <w:rsid w:val="001E3E0B"/>
    <w:rsid w:val="001E7407"/>
    <w:rsid w:val="001F0697"/>
    <w:rsid w:val="001F2823"/>
    <w:rsid w:val="001F5D5E"/>
    <w:rsid w:val="001F6219"/>
    <w:rsid w:val="00206D85"/>
    <w:rsid w:val="00207D47"/>
    <w:rsid w:val="00211DBC"/>
    <w:rsid w:val="00214D06"/>
    <w:rsid w:val="0023028C"/>
    <w:rsid w:val="002348CF"/>
    <w:rsid w:val="00235C02"/>
    <w:rsid w:val="0024010F"/>
    <w:rsid w:val="00240749"/>
    <w:rsid w:val="00241E2B"/>
    <w:rsid w:val="002529C2"/>
    <w:rsid w:val="002564A4"/>
    <w:rsid w:val="00261029"/>
    <w:rsid w:val="002610AA"/>
    <w:rsid w:val="002624EB"/>
    <w:rsid w:val="00270BDA"/>
    <w:rsid w:val="002728AE"/>
    <w:rsid w:val="0027488C"/>
    <w:rsid w:val="002754E8"/>
    <w:rsid w:val="00285644"/>
    <w:rsid w:val="00287C6D"/>
    <w:rsid w:val="0029198D"/>
    <w:rsid w:val="00297ECB"/>
    <w:rsid w:val="002A33FD"/>
    <w:rsid w:val="002A59D8"/>
    <w:rsid w:val="002B0EA5"/>
    <w:rsid w:val="002B3E81"/>
    <w:rsid w:val="002B7B38"/>
    <w:rsid w:val="002C03C7"/>
    <w:rsid w:val="002D043A"/>
    <w:rsid w:val="002D5F95"/>
    <w:rsid w:val="002D6224"/>
    <w:rsid w:val="002D7037"/>
    <w:rsid w:val="002D7EDD"/>
    <w:rsid w:val="002F70A2"/>
    <w:rsid w:val="002F7C4F"/>
    <w:rsid w:val="003026BF"/>
    <w:rsid w:val="003074B7"/>
    <w:rsid w:val="003229CD"/>
    <w:rsid w:val="003259E1"/>
    <w:rsid w:val="003278F2"/>
    <w:rsid w:val="00332E84"/>
    <w:rsid w:val="00335B05"/>
    <w:rsid w:val="0034115C"/>
    <w:rsid w:val="003415D3"/>
    <w:rsid w:val="00347FA2"/>
    <w:rsid w:val="00352B0F"/>
    <w:rsid w:val="00360459"/>
    <w:rsid w:val="00372C84"/>
    <w:rsid w:val="00372FAD"/>
    <w:rsid w:val="00380BA6"/>
    <w:rsid w:val="0038268D"/>
    <w:rsid w:val="00390574"/>
    <w:rsid w:val="003C1273"/>
    <w:rsid w:val="003C3EBF"/>
    <w:rsid w:val="003D0BFE"/>
    <w:rsid w:val="003D5700"/>
    <w:rsid w:val="003E180E"/>
    <w:rsid w:val="003F0CDA"/>
    <w:rsid w:val="004067A1"/>
    <w:rsid w:val="004116CD"/>
    <w:rsid w:val="00416D35"/>
    <w:rsid w:val="00417EB9"/>
    <w:rsid w:val="0042148F"/>
    <w:rsid w:val="00422464"/>
    <w:rsid w:val="00424CA9"/>
    <w:rsid w:val="0043066D"/>
    <w:rsid w:val="00430C90"/>
    <w:rsid w:val="0044291A"/>
    <w:rsid w:val="00444DB4"/>
    <w:rsid w:val="0045047F"/>
    <w:rsid w:val="00461B3D"/>
    <w:rsid w:val="004717B4"/>
    <w:rsid w:val="0048692F"/>
    <w:rsid w:val="0049536B"/>
    <w:rsid w:val="00496F97"/>
    <w:rsid w:val="004C34BE"/>
    <w:rsid w:val="004C4ECF"/>
    <w:rsid w:val="004C55A6"/>
    <w:rsid w:val="004C59EA"/>
    <w:rsid w:val="004D7529"/>
    <w:rsid w:val="004E3FAB"/>
    <w:rsid w:val="004E7BEC"/>
    <w:rsid w:val="004F41E8"/>
    <w:rsid w:val="004F4B72"/>
    <w:rsid w:val="00504DD3"/>
    <w:rsid w:val="0050600B"/>
    <w:rsid w:val="005156D3"/>
    <w:rsid w:val="00516068"/>
    <w:rsid w:val="00516B8D"/>
    <w:rsid w:val="005253D0"/>
    <w:rsid w:val="00526607"/>
    <w:rsid w:val="00537FBC"/>
    <w:rsid w:val="00540123"/>
    <w:rsid w:val="00547EA4"/>
    <w:rsid w:val="0056187F"/>
    <w:rsid w:val="00571B19"/>
    <w:rsid w:val="00584811"/>
    <w:rsid w:val="00593AA6"/>
    <w:rsid w:val="00594161"/>
    <w:rsid w:val="005941BA"/>
    <w:rsid w:val="00594749"/>
    <w:rsid w:val="0059723F"/>
    <w:rsid w:val="005A034B"/>
    <w:rsid w:val="005A3F82"/>
    <w:rsid w:val="005A788C"/>
    <w:rsid w:val="005A7899"/>
    <w:rsid w:val="005B0152"/>
    <w:rsid w:val="005B4067"/>
    <w:rsid w:val="005C18CC"/>
    <w:rsid w:val="005C3F41"/>
    <w:rsid w:val="005D1AFC"/>
    <w:rsid w:val="005D2D09"/>
    <w:rsid w:val="005E22C4"/>
    <w:rsid w:val="005E6593"/>
    <w:rsid w:val="005E66FD"/>
    <w:rsid w:val="005F61C2"/>
    <w:rsid w:val="005F6B71"/>
    <w:rsid w:val="00600219"/>
    <w:rsid w:val="00600A4C"/>
    <w:rsid w:val="00603804"/>
    <w:rsid w:val="006065C4"/>
    <w:rsid w:val="00623C74"/>
    <w:rsid w:val="00637D28"/>
    <w:rsid w:val="006403D4"/>
    <w:rsid w:val="00643390"/>
    <w:rsid w:val="006442D3"/>
    <w:rsid w:val="006475DA"/>
    <w:rsid w:val="0065003A"/>
    <w:rsid w:val="00657BDB"/>
    <w:rsid w:val="00677CC2"/>
    <w:rsid w:val="006905DE"/>
    <w:rsid w:val="0069207B"/>
    <w:rsid w:val="006A0B6C"/>
    <w:rsid w:val="006B5F15"/>
    <w:rsid w:val="006C7F8C"/>
    <w:rsid w:val="006D02BD"/>
    <w:rsid w:val="006E5800"/>
    <w:rsid w:val="006E59E2"/>
    <w:rsid w:val="006F318F"/>
    <w:rsid w:val="006F47C1"/>
    <w:rsid w:val="00700B2C"/>
    <w:rsid w:val="0071014D"/>
    <w:rsid w:val="00713084"/>
    <w:rsid w:val="00715914"/>
    <w:rsid w:val="00723802"/>
    <w:rsid w:val="00731E00"/>
    <w:rsid w:val="007335E0"/>
    <w:rsid w:val="00733CE5"/>
    <w:rsid w:val="007440B7"/>
    <w:rsid w:val="007553B3"/>
    <w:rsid w:val="00761AEB"/>
    <w:rsid w:val="007715C9"/>
    <w:rsid w:val="00774EDD"/>
    <w:rsid w:val="007757EC"/>
    <w:rsid w:val="0078128E"/>
    <w:rsid w:val="007A6816"/>
    <w:rsid w:val="007B416F"/>
    <w:rsid w:val="007D519E"/>
    <w:rsid w:val="007E163D"/>
    <w:rsid w:val="007E401E"/>
    <w:rsid w:val="007E73CA"/>
    <w:rsid w:val="007E7904"/>
    <w:rsid w:val="00811AA6"/>
    <w:rsid w:val="00851BB5"/>
    <w:rsid w:val="0085365A"/>
    <w:rsid w:val="00856A31"/>
    <w:rsid w:val="008754D0"/>
    <w:rsid w:val="00877E19"/>
    <w:rsid w:val="00880C34"/>
    <w:rsid w:val="00884FDE"/>
    <w:rsid w:val="008861ED"/>
    <w:rsid w:val="008A34E8"/>
    <w:rsid w:val="008A73F5"/>
    <w:rsid w:val="008B3B0A"/>
    <w:rsid w:val="008B45EE"/>
    <w:rsid w:val="008D0E54"/>
    <w:rsid w:val="008D0EE0"/>
    <w:rsid w:val="008D5985"/>
    <w:rsid w:val="008F54E7"/>
    <w:rsid w:val="008F6E1F"/>
    <w:rsid w:val="00901A9F"/>
    <w:rsid w:val="00903422"/>
    <w:rsid w:val="00905DA9"/>
    <w:rsid w:val="009141DD"/>
    <w:rsid w:val="00916848"/>
    <w:rsid w:val="00931C61"/>
    <w:rsid w:val="00932377"/>
    <w:rsid w:val="009334DF"/>
    <w:rsid w:val="00936A68"/>
    <w:rsid w:val="00947D5A"/>
    <w:rsid w:val="00950467"/>
    <w:rsid w:val="009513A4"/>
    <w:rsid w:val="00951A2C"/>
    <w:rsid w:val="009532A5"/>
    <w:rsid w:val="00967AB4"/>
    <w:rsid w:val="009831E0"/>
    <w:rsid w:val="0098497B"/>
    <w:rsid w:val="009868E9"/>
    <w:rsid w:val="00992CF3"/>
    <w:rsid w:val="009A006E"/>
    <w:rsid w:val="009A0AA0"/>
    <w:rsid w:val="009A6521"/>
    <w:rsid w:val="009B3ACC"/>
    <w:rsid w:val="009D4E8A"/>
    <w:rsid w:val="009E2AD8"/>
    <w:rsid w:val="00A02965"/>
    <w:rsid w:val="00A078EC"/>
    <w:rsid w:val="00A22C98"/>
    <w:rsid w:val="00A231E2"/>
    <w:rsid w:val="00A448B7"/>
    <w:rsid w:val="00A64435"/>
    <w:rsid w:val="00A64912"/>
    <w:rsid w:val="00A70A74"/>
    <w:rsid w:val="00A802BC"/>
    <w:rsid w:val="00A8163B"/>
    <w:rsid w:val="00A872DC"/>
    <w:rsid w:val="00AC03E1"/>
    <w:rsid w:val="00AD5641"/>
    <w:rsid w:val="00AF0281"/>
    <w:rsid w:val="00AF06CF"/>
    <w:rsid w:val="00B029C2"/>
    <w:rsid w:val="00B12457"/>
    <w:rsid w:val="00B136FC"/>
    <w:rsid w:val="00B1535F"/>
    <w:rsid w:val="00B16128"/>
    <w:rsid w:val="00B20503"/>
    <w:rsid w:val="00B21F29"/>
    <w:rsid w:val="00B231CE"/>
    <w:rsid w:val="00B27FDB"/>
    <w:rsid w:val="00B326D1"/>
    <w:rsid w:val="00B33B3C"/>
    <w:rsid w:val="00B35099"/>
    <w:rsid w:val="00B37714"/>
    <w:rsid w:val="00B41448"/>
    <w:rsid w:val="00B46132"/>
    <w:rsid w:val="00B52575"/>
    <w:rsid w:val="00B53145"/>
    <w:rsid w:val="00B54457"/>
    <w:rsid w:val="00B63834"/>
    <w:rsid w:val="00B80199"/>
    <w:rsid w:val="00B94E3E"/>
    <w:rsid w:val="00B97237"/>
    <w:rsid w:val="00BA220B"/>
    <w:rsid w:val="00BB50AD"/>
    <w:rsid w:val="00BE719A"/>
    <w:rsid w:val="00BE720A"/>
    <w:rsid w:val="00BF08EB"/>
    <w:rsid w:val="00C0354F"/>
    <w:rsid w:val="00C200E3"/>
    <w:rsid w:val="00C31DE7"/>
    <w:rsid w:val="00C33FA4"/>
    <w:rsid w:val="00C42BF8"/>
    <w:rsid w:val="00C42E0D"/>
    <w:rsid w:val="00C50043"/>
    <w:rsid w:val="00C615D5"/>
    <w:rsid w:val="00C70B70"/>
    <w:rsid w:val="00C7573B"/>
    <w:rsid w:val="00CB50CD"/>
    <w:rsid w:val="00CB6C54"/>
    <w:rsid w:val="00CC5096"/>
    <w:rsid w:val="00CD5C08"/>
    <w:rsid w:val="00CD61A1"/>
    <w:rsid w:val="00CE038B"/>
    <w:rsid w:val="00CE493D"/>
    <w:rsid w:val="00CE51C7"/>
    <w:rsid w:val="00CE6309"/>
    <w:rsid w:val="00CF0BB2"/>
    <w:rsid w:val="00CF3EE8"/>
    <w:rsid w:val="00D00024"/>
    <w:rsid w:val="00D00D6F"/>
    <w:rsid w:val="00D02616"/>
    <w:rsid w:val="00D040EE"/>
    <w:rsid w:val="00D05207"/>
    <w:rsid w:val="00D06D3D"/>
    <w:rsid w:val="00D129C4"/>
    <w:rsid w:val="00D13441"/>
    <w:rsid w:val="00D17A99"/>
    <w:rsid w:val="00D20D5B"/>
    <w:rsid w:val="00D2127E"/>
    <w:rsid w:val="00D23F2B"/>
    <w:rsid w:val="00D32CE3"/>
    <w:rsid w:val="00D529CE"/>
    <w:rsid w:val="00D55F59"/>
    <w:rsid w:val="00D62F3D"/>
    <w:rsid w:val="00D675E2"/>
    <w:rsid w:val="00D70A96"/>
    <w:rsid w:val="00D70DFB"/>
    <w:rsid w:val="00D766DF"/>
    <w:rsid w:val="00D93A50"/>
    <w:rsid w:val="00DA186E"/>
    <w:rsid w:val="00DB6179"/>
    <w:rsid w:val="00DC4F88"/>
    <w:rsid w:val="00DD29C8"/>
    <w:rsid w:val="00E032B3"/>
    <w:rsid w:val="00E05704"/>
    <w:rsid w:val="00E10719"/>
    <w:rsid w:val="00E1244F"/>
    <w:rsid w:val="00E338EF"/>
    <w:rsid w:val="00E44868"/>
    <w:rsid w:val="00E44C17"/>
    <w:rsid w:val="00E567B9"/>
    <w:rsid w:val="00E56944"/>
    <w:rsid w:val="00E708D8"/>
    <w:rsid w:val="00E71E89"/>
    <w:rsid w:val="00E74DC7"/>
    <w:rsid w:val="00E74FA2"/>
    <w:rsid w:val="00E75FF5"/>
    <w:rsid w:val="00E8425C"/>
    <w:rsid w:val="00E85C54"/>
    <w:rsid w:val="00E94D5E"/>
    <w:rsid w:val="00E97730"/>
    <w:rsid w:val="00E97F31"/>
    <w:rsid w:val="00EA4541"/>
    <w:rsid w:val="00EA7100"/>
    <w:rsid w:val="00EB22CA"/>
    <w:rsid w:val="00EC01C1"/>
    <w:rsid w:val="00EC45E3"/>
    <w:rsid w:val="00ED25C1"/>
    <w:rsid w:val="00ED5A54"/>
    <w:rsid w:val="00EE1F38"/>
    <w:rsid w:val="00EF2E3A"/>
    <w:rsid w:val="00EF3217"/>
    <w:rsid w:val="00EF7BF5"/>
    <w:rsid w:val="00F00CF6"/>
    <w:rsid w:val="00F033EC"/>
    <w:rsid w:val="00F06C88"/>
    <w:rsid w:val="00F072A7"/>
    <w:rsid w:val="00F078DC"/>
    <w:rsid w:val="00F21A61"/>
    <w:rsid w:val="00F61B89"/>
    <w:rsid w:val="00F65F7A"/>
    <w:rsid w:val="00F7299D"/>
    <w:rsid w:val="00F73BD6"/>
    <w:rsid w:val="00F83989"/>
    <w:rsid w:val="00F90E5C"/>
    <w:rsid w:val="00F9632C"/>
    <w:rsid w:val="00F97BF0"/>
    <w:rsid w:val="00FA0D0B"/>
    <w:rsid w:val="00FA5392"/>
    <w:rsid w:val="00FB0E8B"/>
    <w:rsid w:val="00FC5DF3"/>
    <w:rsid w:val="00FD7AED"/>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5B05"/>
    <w:pPr>
      <w:spacing w:line="260" w:lineRule="atLeast"/>
    </w:pPr>
    <w:rPr>
      <w:sz w:val="22"/>
    </w:rPr>
  </w:style>
  <w:style w:type="paragraph" w:styleId="Heading1">
    <w:name w:val="heading 1"/>
    <w:basedOn w:val="Normal"/>
    <w:next w:val="Normal"/>
    <w:link w:val="Heading1Char"/>
    <w:qFormat/>
    <w:rsid w:val="003E18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18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18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18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E18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E18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180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180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E180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35B05"/>
  </w:style>
  <w:style w:type="paragraph" w:customStyle="1" w:styleId="OPCParaBase">
    <w:name w:val="OPCParaBase"/>
    <w:qFormat/>
    <w:rsid w:val="00335B05"/>
    <w:pPr>
      <w:spacing w:line="260" w:lineRule="atLeast"/>
    </w:pPr>
    <w:rPr>
      <w:rFonts w:eastAsia="Times New Roman" w:cs="Times New Roman"/>
      <w:sz w:val="22"/>
      <w:lang w:eastAsia="en-AU"/>
    </w:rPr>
  </w:style>
  <w:style w:type="paragraph" w:customStyle="1" w:styleId="ShortT">
    <w:name w:val="ShortT"/>
    <w:basedOn w:val="OPCParaBase"/>
    <w:next w:val="Normal"/>
    <w:qFormat/>
    <w:rsid w:val="00335B05"/>
    <w:pPr>
      <w:spacing w:line="240" w:lineRule="auto"/>
    </w:pPr>
    <w:rPr>
      <w:b/>
      <w:sz w:val="40"/>
    </w:rPr>
  </w:style>
  <w:style w:type="paragraph" w:customStyle="1" w:styleId="ActHead1">
    <w:name w:val="ActHead 1"/>
    <w:aliases w:val="c"/>
    <w:basedOn w:val="OPCParaBase"/>
    <w:next w:val="Normal"/>
    <w:qFormat/>
    <w:rsid w:val="00335B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35B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35B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35B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35B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35B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35B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35B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35B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35B05"/>
  </w:style>
  <w:style w:type="paragraph" w:customStyle="1" w:styleId="Blocks">
    <w:name w:val="Blocks"/>
    <w:aliases w:val="bb"/>
    <w:basedOn w:val="OPCParaBase"/>
    <w:qFormat/>
    <w:rsid w:val="00335B05"/>
    <w:pPr>
      <w:spacing w:line="240" w:lineRule="auto"/>
    </w:pPr>
    <w:rPr>
      <w:sz w:val="24"/>
    </w:rPr>
  </w:style>
  <w:style w:type="paragraph" w:customStyle="1" w:styleId="BoxText">
    <w:name w:val="BoxText"/>
    <w:aliases w:val="bt"/>
    <w:basedOn w:val="OPCParaBase"/>
    <w:qFormat/>
    <w:rsid w:val="00335B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35B05"/>
    <w:rPr>
      <w:b/>
    </w:rPr>
  </w:style>
  <w:style w:type="paragraph" w:customStyle="1" w:styleId="BoxHeadItalic">
    <w:name w:val="BoxHeadItalic"/>
    <w:aliases w:val="bhi"/>
    <w:basedOn w:val="BoxText"/>
    <w:next w:val="BoxStep"/>
    <w:qFormat/>
    <w:rsid w:val="00335B05"/>
    <w:rPr>
      <w:i/>
    </w:rPr>
  </w:style>
  <w:style w:type="paragraph" w:customStyle="1" w:styleId="BoxList">
    <w:name w:val="BoxList"/>
    <w:aliases w:val="bl"/>
    <w:basedOn w:val="BoxText"/>
    <w:qFormat/>
    <w:rsid w:val="00335B05"/>
    <w:pPr>
      <w:ind w:left="1559" w:hanging="425"/>
    </w:pPr>
  </w:style>
  <w:style w:type="paragraph" w:customStyle="1" w:styleId="BoxNote">
    <w:name w:val="BoxNote"/>
    <w:aliases w:val="bn"/>
    <w:basedOn w:val="BoxText"/>
    <w:qFormat/>
    <w:rsid w:val="00335B05"/>
    <w:pPr>
      <w:tabs>
        <w:tab w:val="left" w:pos="1985"/>
      </w:tabs>
      <w:spacing w:before="122" w:line="198" w:lineRule="exact"/>
      <w:ind w:left="2948" w:hanging="1814"/>
    </w:pPr>
    <w:rPr>
      <w:sz w:val="18"/>
    </w:rPr>
  </w:style>
  <w:style w:type="paragraph" w:customStyle="1" w:styleId="BoxPara">
    <w:name w:val="BoxPara"/>
    <w:aliases w:val="bp"/>
    <w:basedOn w:val="BoxText"/>
    <w:qFormat/>
    <w:rsid w:val="00335B05"/>
    <w:pPr>
      <w:tabs>
        <w:tab w:val="right" w:pos="2268"/>
      </w:tabs>
      <w:ind w:left="2552" w:hanging="1418"/>
    </w:pPr>
  </w:style>
  <w:style w:type="paragraph" w:customStyle="1" w:styleId="BoxStep">
    <w:name w:val="BoxStep"/>
    <w:aliases w:val="bs"/>
    <w:basedOn w:val="BoxText"/>
    <w:qFormat/>
    <w:rsid w:val="00335B05"/>
    <w:pPr>
      <w:ind w:left="1985" w:hanging="851"/>
    </w:pPr>
  </w:style>
  <w:style w:type="character" w:customStyle="1" w:styleId="CharAmPartNo">
    <w:name w:val="CharAmPartNo"/>
    <w:basedOn w:val="OPCCharBase"/>
    <w:uiPriority w:val="1"/>
    <w:qFormat/>
    <w:rsid w:val="00335B05"/>
  </w:style>
  <w:style w:type="character" w:customStyle="1" w:styleId="CharAmPartText">
    <w:name w:val="CharAmPartText"/>
    <w:basedOn w:val="OPCCharBase"/>
    <w:uiPriority w:val="1"/>
    <w:qFormat/>
    <w:rsid w:val="00335B05"/>
  </w:style>
  <w:style w:type="character" w:customStyle="1" w:styleId="CharAmSchNo">
    <w:name w:val="CharAmSchNo"/>
    <w:basedOn w:val="OPCCharBase"/>
    <w:uiPriority w:val="1"/>
    <w:qFormat/>
    <w:rsid w:val="00335B05"/>
  </w:style>
  <w:style w:type="character" w:customStyle="1" w:styleId="CharAmSchText">
    <w:name w:val="CharAmSchText"/>
    <w:basedOn w:val="OPCCharBase"/>
    <w:uiPriority w:val="1"/>
    <w:qFormat/>
    <w:rsid w:val="00335B05"/>
  </w:style>
  <w:style w:type="character" w:customStyle="1" w:styleId="CharBoldItalic">
    <w:name w:val="CharBoldItalic"/>
    <w:basedOn w:val="OPCCharBase"/>
    <w:uiPriority w:val="1"/>
    <w:qFormat/>
    <w:rsid w:val="00335B05"/>
    <w:rPr>
      <w:b/>
      <w:i/>
    </w:rPr>
  </w:style>
  <w:style w:type="character" w:customStyle="1" w:styleId="CharChapNo">
    <w:name w:val="CharChapNo"/>
    <w:basedOn w:val="OPCCharBase"/>
    <w:qFormat/>
    <w:rsid w:val="00335B05"/>
  </w:style>
  <w:style w:type="character" w:customStyle="1" w:styleId="CharChapText">
    <w:name w:val="CharChapText"/>
    <w:basedOn w:val="OPCCharBase"/>
    <w:qFormat/>
    <w:rsid w:val="00335B05"/>
  </w:style>
  <w:style w:type="character" w:customStyle="1" w:styleId="CharDivNo">
    <w:name w:val="CharDivNo"/>
    <w:basedOn w:val="OPCCharBase"/>
    <w:qFormat/>
    <w:rsid w:val="00335B05"/>
  </w:style>
  <w:style w:type="character" w:customStyle="1" w:styleId="CharDivText">
    <w:name w:val="CharDivText"/>
    <w:basedOn w:val="OPCCharBase"/>
    <w:qFormat/>
    <w:rsid w:val="00335B05"/>
  </w:style>
  <w:style w:type="character" w:customStyle="1" w:styleId="CharItalic">
    <w:name w:val="CharItalic"/>
    <w:basedOn w:val="OPCCharBase"/>
    <w:uiPriority w:val="1"/>
    <w:qFormat/>
    <w:rsid w:val="00335B05"/>
    <w:rPr>
      <w:i/>
    </w:rPr>
  </w:style>
  <w:style w:type="character" w:customStyle="1" w:styleId="CharPartNo">
    <w:name w:val="CharPartNo"/>
    <w:basedOn w:val="OPCCharBase"/>
    <w:qFormat/>
    <w:rsid w:val="00335B05"/>
  </w:style>
  <w:style w:type="character" w:customStyle="1" w:styleId="CharPartText">
    <w:name w:val="CharPartText"/>
    <w:basedOn w:val="OPCCharBase"/>
    <w:qFormat/>
    <w:rsid w:val="00335B05"/>
  </w:style>
  <w:style w:type="character" w:customStyle="1" w:styleId="CharSectno">
    <w:name w:val="CharSectno"/>
    <w:basedOn w:val="OPCCharBase"/>
    <w:qFormat/>
    <w:rsid w:val="00335B05"/>
  </w:style>
  <w:style w:type="character" w:customStyle="1" w:styleId="CharSubdNo">
    <w:name w:val="CharSubdNo"/>
    <w:basedOn w:val="OPCCharBase"/>
    <w:uiPriority w:val="1"/>
    <w:qFormat/>
    <w:rsid w:val="00335B05"/>
  </w:style>
  <w:style w:type="character" w:customStyle="1" w:styleId="CharSubdText">
    <w:name w:val="CharSubdText"/>
    <w:basedOn w:val="OPCCharBase"/>
    <w:uiPriority w:val="1"/>
    <w:qFormat/>
    <w:rsid w:val="00335B05"/>
  </w:style>
  <w:style w:type="paragraph" w:customStyle="1" w:styleId="CTA--">
    <w:name w:val="CTA --"/>
    <w:basedOn w:val="OPCParaBase"/>
    <w:next w:val="Normal"/>
    <w:rsid w:val="00335B05"/>
    <w:pPr>
      <w:spacing w:before="60" w:line="240" w:lineRule="atLeast"/>
      <w:ind w:left="142" w:hanging="142"/>
    </w:pPr>
    <w:rPr>
      <w:sz w:val="20"/>
    </w:rPr>
  </w:style>
  <w:style w:type="paragraph" w:customStyle="1" w:styleId="CTA-">
    <w:name w:val="CTA -"/>
    <w:basedOn w:val="OPCParaBase"/>
    <w:rsid w:val="00335B05"/>
    <w:pPr>
      <w:spacing w:before="60" w:line="240" w:lineRule="atLeast"/>
      <w:ind w:left="85" w:hanging="85"/>
    </w:pPr>
    <w:rPr>
      <w:sz w:val="20"/>
    </w:rPr>
  </w:style>
  <w:style w:type="paragraph" w:customStyle="1" w:styleId="CTA---">
    <w:name w:val="CTA ---"/>
    <w:basedOn w:val="OPCParaBase"/>
    <w:next w:val="Normal"/>
    <w:rsid w:val="00335B05"/>
    <w:pPr>
      <w:spacing w:before="60" w:line="240" w:lineRule="atLeast"/>
      <w:ind w:left="198" w:hanging="198"/>
    </w:pPr>
    <w:rPr>
      <w:sz w:val="20"/>
    </w:rPr>
  </w:style>
  <w:style w:type="paragraph" w:customStyle="1" w:styleId="CTA----">
    <w:name w:val="CTA ----"/>
    <w:basedOn w:val="OPCParaBase"/>
    <w:next w:val="Normal"/>
    <w:rsid w:val="00335B05"/>
    <w:pPr>
      <w:spacing w:before="60" w:line="240" w:lineRule="atLeast"/>
      <w:ind w:left="255" w:hanging="255"/>
    </w:pPr>
    <w:rPr>
      <w:sz w:val="20"/>
    </w:rPr>
  </w:style>
  <w:style w:type="paragraph" w:customStyle="1" w:styleId="CTA1a">
    <w:name w:val="CTA 1(a)"/>
    <w:basedOn w:val="OPCParaBase"/>
    <w:rsid w:val="00335B05"/>
    <w:pPr>
      <w:tabs>
        <w:tab w:val="right" w:pos="414"/>
      </w:tabs>
      <w:spacing w:before="40" w:line="240" w:lineRule="atLeast"/>
      <w:ind w:left="675" w:hanging="675"/>
    </w:pPr>
    <w:rPr>
      <w:sz w:val="20"/>
    </w:rPr>
  </w:style>
  <w:style w:type="paragraph" w:customStyle="1" w:styleId="CTA1ai">
    <w:name w:val="CTA 1(a)(i)"/>
    <w:basedOn w:val="OPCParaBase"/>
    <w:rsid w:val="00335B05"/>
    <w:pPr>
      <w:tabs>
        <w:tab w:val="right" w:pos="1004"/>
      </w:tabs>
      <w:spacing w:before="40" w:line="240" w:lineRule="atLeast"/>
      <w:ind w:left="1253" w:hanging="1253"/>
    </w:pPr>
    <w:rPr>
      <w:sz w:val="20"/>
    </w:rPr>
  </w:style>
  <w:style w:type="paragraph" w:customStyle="1" w:styleId="CTA2a">
    <w:name w:val="CTA 2(a)"/>
    <w:basedOn w:val="OPCParaBase"/>
    <w:rsid w:val="00335B05"/>
    <w:pPr>
      <w:tabs>
        <w:tab w:val="right" w:pos="482"/>
      </w:tabs>
      <w:spacing w:before="40" w:line="240" w:lineRule="atLeast"/>
      <w:ind w:left="748" w:hanging="748"/>
    </w:pPr>
    <w:rPr>
      <w:sz w:val="20"/>
    </w:rPr>
  </w:style>
  <w:style w:type="paragraph" w:customStyle="1" w:styleId="CTA2ai">
    <w:name w:val="CTA 2(a)(i)"/>
    <w:basedOn w:val="OPCParaBase"/>
    <w:rsid w:val="00335B05"/>
    <w:pPr>
      <w:tabs>
        <w:tab w:val="right" w:pos="1089"/>
      </w:tabs>
      <w:spacing w:before="40" w:line="240" w:lineRule="atLeast"/>
      <w:ind w:left="1327" w:hanging="1327"/>
    </w:pPr>
    <w:rPr>
      <w:sz w:val="20"/>
    </w:rPr>
  </w:style>
  <w:style w:type="paragraph" w:customStyle="1" w:styleId="CTA3a">
    <w:name w:val="CTA 3(a)"/>
    <w:basedOn w:val="OPCParaBase"/>
    <w:rsid w:val="00335B05"/>
    <w:pPr>
      <w:tabs>
        <w:tab w:val="right" w:pos="556"/>
      </w:tabs>
      <w:spacing w:before="40" w:line="240" w:lineRule="atLeast"/>
      <w:ind w:left="805" w:hanging="805"/>
    </w:pPr>
    <w:rPr>
      <w:sz w:val="20"/>
    </w:rPr>
  </w:style>
  <w:style w:type="paragraph" w:customStyle="1" w:styleId="CTA3ai">
    <w:name w:val="CTA 3(a)(i)"/>
    <w:basedOn w:val="OPCParaBase"/>
    <w:rsid w:val="00335B05"/>
    <w:pPr>
      <w:tabs>
        <w:tab w:val="right" w:pos="1140"/>
      </w:tabs>
      <w:spacing w:before="40" w:line="240" w:lineRule="atLeast"/>
      <w:ind w:left="1361" w:hanging="1361"/>
    </w:pPr>
    <w:rPr>
      <w:sz w:val="20"/>
    </w:rPr>
  </w:style>
  <w:style w:type="paragraph" w:customStyle="1" w:styleId="CTA4a">
    <w:name w:val="CTA 4(a)"/>
    <w:basedOn w:val="OPCParaBase"/>
    <w:rsid w:val="00335B05"/>
    <w:pPr>
      <w:tabs>
        <w:tab w:val="right" w:pos="624"/>
      </w:tabs>
      <w:spacing w:before="40" w:line="240" w:lineRule="atLeast"/>
      <w:ind w:left="873" w:hanging="873"/>
    </w:pPr>
    <w:rPr>
      <w:sz w:val="20"/>
    </w:rPr>
  </w:style>
  <w:style w:type="paragraph" w:customStyle="1" w:styleId="CTA4ai">
    <w:name w:val="CTA 4(a)(i)"/>
    <w:basedOn w:val="OPCParaBase"/>
    <w:rsid w:val="00335B05"/>
    <w:pPr>
      <w:tabs>
        <w:tab w:val="right" w:pos="1213"/>
      </w:tabs>
      <w:spacing w:before="40" w:line="240" w:lineRule="atLeast"/>
      <w:ind w:left="1452" w:hanging="1452"/>
    </w:pPr>
    <w:rPr>
      <w:sz w:val="20"/>
    </w:rPr>
  </w:style>
  <w:style w:type="paragraph" w:customStyle="1" w:styleId="CTACAPS">
    <w:name w:val="CTA CAPS"/>
    <w:basedOn w:val="OPCParaBase"/>
    <w:rsid w:val="00335B05"/>
    <w:pPr>
      <w:spacing w:before="60" w:line="240" w:lineRule="atLeast"/>
    </w:pPr>
    <w:rPr>
      <w:sz w:val="20"/>
    </w:rPr>
  </w:style>
  <w:style w:type="paragraph" w:customStyle="1" w:styleId="CTAright">
    <w:name w:val="CTA right"/>
    <w:basedOn w:val="OPCParaBase"/>
    <w:rsid w:val="00335B05"/>
    <w:pPr>
      <w:spacing w:before="60" w:line="240" w:lineRule="auto"/>
      <w:jc w:val="right"/>
    </w:pPr>
    <w:rPr>
      <w:sz w:val="20"/>
    </w:rPr>
  </w:style>
  <w:style w:type="paragraph" w:customStyle="1" w:styleId="subsection">
    <w:name w:val="subsection"/>
    <w:aliases w:val="ss"/>
    <w:basedOn w:val="OPCParaBase"/>
    <w:link w:val="subsectionChar"/>
    <w:rsid w:val="00335B05"/>
    <w:pPr>
      <w:tabs>
        <w:tab w:val="right" w:pos="1021"/>
      </w:tabs>
      <w:spacing w:before="180" w:line="240" w:lineRule="auto"/>
      <w:ind w:left="1134" w:hanging="1134"/>
    </w:pPr>
  </w:style>
  <w:style w:type="paragraph" w:customStyle="1" w:styleId="Definition">
    <w:name w:val="Definition"/>
    <w:aliases w:val="dd"/>
    <w:basedOn w:val="OPCParaBase"/>
    <w:rsid w:val="00335B05"/>
    <w:pPr>
      <w:spacing w:before="180" w:line="240" w:lineRule="auto"/>
      <w:ind w:left="1134"/>
    </w:pPr>
  </w:style>
  <w:style w:type="paragraph" w:customStyle="1" w:styleId="EndNotespara">
    <w:name w:val="EndNotes(para)"/>
    <w:aliases w:val="eta"/>
    <w:basedOn w:val="OPCParaBase"/>
    <w:next w:val="EndNotessubpara"/>
    <w:rsid w:val="00335B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35B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35B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35B05"/>
    <w:pPr>
      <w:tabs>
        <w:tab w:val="right" w:pos="1412"/>
      </w:tabs>
      <w:spacing w:before="60" w:line="240" w:lineRule="auto"/>
      <w:ind w:left="1525" w:hanging="1525"/>
    </w:pPr>
    <w:rPr>
      <w:sz w:val="20"/>
    </w:rPr>
  </w:style>
  <w:style w:type="paragraph" w:customStyle="1" w:styleId="Formula">
    <w:name w:val="Formula"/>
    <w:basedOn w:val="OPCParaBase"/>
    <w:rsid w:val="00335B05"/>
    <w:pPr>
      <w:spacing w:line="240" w:lineRule="auto"/>
      <w:ind w:left="1134"/>
    </w:pPr>
    <w:rPr>
      <w:sz w:val="20"/>
    </w:rPr>
  </w:style>
  <w:style w:type="paragraph" w:styleId="Header">
    <w:name w:val="header"/>
    <w:basedOn w:val="OPCParaBase"/>
    <w:link w:val="HeaderChar"/>
    <w:unhideWhenUsed/>
    <w:rsid w:val="00335B0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35B05"/>
    <w:rPr>
      <w:rFonts w:eastAsia="Times New Roman" w:cs="Times New Roman"/>
      <w:sz w:val="16"/>
      <w:lang w:eastAsia="en-AU"/>
    </w:rPr>
  </w:style>
  <w:style w:type="paragraph" w:customStyle="1" w:styleId="House">
    <w:name w:val="House"/>
    <w:basedOn w:val="OPCParaBase"/>
    <w:rsid w:val="00335B05"/>
    <w:pPr>
      <w:spacing w:line="240" w:lineRule="auto"/>
    </w:pPr>
    <w:rPr>
      <w:sz w:val="28"/>
    </w:rPr>
  </w:style>
  <w:style w:type="paragraph" w:customStyle="1" w:styleId="Item">
    <w:name w:val="Item"/>
    <w:aliases w:val="i"/>
    <w:basedOn w:val="OPCParaBase"/>
    <w:next w:val="ItemHead"/>
    <w:rsid w:val="00335B05"/>
    <w:pPr>
      <w:keepLines/>
      <w:spacing w:before="80" w:line="240" w:lineRule="auto"/>
      <w:ind w:left="709"/>
    </w:pPr>
  </w:style>
  <w:style w:type="paragraph" w:customStyle="1" w:styleId="ItemHead">
    <w:name w:val="ItemHead"/>
    <w:aliases w:val="ih"/>
    <w:basedOn w:val="OPCParaBase"/>
    <w:next w:val="Item"/>
    <w:rsid w:val="00335B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35B05"/>
    <w:pPr>
      <w:spacing w:line="240" w:lineRule="auto"/>
    </w:pPr>
    <w:rPr>
      <w:b/>
      <w:sz w:val="32"/>
    </w:rPr>
  </w:style>
  <w:style w:type="paragraph" w:customStyle="1" w:styleId="notedraft">
    <w:name w:val="note(draft)"/>
    <w:aliases w:val="nd"/>
    <w:basedOn w:val="OPCParaBase"/>
    <w:rsid w:val="00335B05"/>
    <w:pPr>
      <w:spacing w:before="240" w:line="240" w:lineRule="auto"/>
      <w:ind w:left="284" w:hanging="284"/>
    </w:pPr>
    <w:rPr>
      <w:i/>
      <w:sz w:val="24"/>
    </w:rPr>
  </w:style>
  <w:style w:type="paragraph" w:customStyle="1" w:styleId="notemargin">
    <w:name w:val="note(margin)"/>
    <w:aliases w:val="nm"/>
    <w:basedOn w:val="OPCParaBase"/>
    <w:rsid w:val="00335B05"/>
    <w:pPr>
      <w:tabs>
        <w:tab w:val="left" w:pos="709"/>
      </w:tabs>
      <w:spacing w:before="122" w:line="198" w:lineRule="exact"/>
      <w:ind w:left="709" w:hanging="709"/>
    </w:pPr>
    <w:rPr>
      <w:sz w:val="18"/>
    </w:rPr>
  </w:style>
  <w:style w:type="paragraph" w:customStyle="1" w:styleId="noteToPara">
    <w:name w:val="noteToPara"/>
    <w:aliases w:val="ntp"/>
    <w:basedOn w:val="OPCParaBase"/>
    <w:rsid w:val="00335B05"/>
    <w:pPr>
      <w:spacing w:before="122" w:line="198" w:lineRule="exact"/>
      <w:ind w:left="2353" w:hanging="709"/>
    </w:pPr>
    <w:rPr>
      <w:sz w:val="18"/>
    </w:rPr>
  </w:style>
  <w:style w:type="paragraph" w:customStyle="1" w:styleId="noteParlAmend">
    <w:name w:val="note(ParlAmend)"/>
    <w:aliases w:val="npp"/>
    <w:basedOn w:val="OPCParaBase"/>
    <w:next w:val="ParlAmend"/>
    <w:rsid w:val="00335B05"/>
    <w:pPr>
      <w:spacing w:line="240" w:lineRule="auto"/>
      <w:jc w:val="right"/>
    </w:pPr>
    <w:rPr>
      <w:rFonts w:ascii="Arial" w:hAnsi="Arial"/>
      <w:b/>
      <w:i/>
    </w:rPr>
  </w:style>
  <w:style w:type="paragraph" w:customStyle="1" w:styleId="notetext">
    <w:name w:val="note(text)"/>
    <w:aliases w:val="n"/>
    <w:basedOn w:val="OPCParaBase"/>
    <w:link w:val="notetextChar"/>
    <w:rsid w:val="00335B05"/>
    <w:pPr>
      <w:spacing w:before="122" w:line="240" w:lineRule="auto"/>
      <w:ind w:left="1985" w:hanging="851"/>
    </w:pPr>
    <w:rPr>
      <w:sz w:val="18"/>
    </w:rPr>
  </w:style>
  <w:style w:type="paragraph" w:customStyle="1" w:styleId="Page1">
    <w:name w:val="Page1"/>
    <w:basedOn w:val="OPCParaBase"/>
    <w:rsid w:val="00335B05"/>
    <w:pPr>
      <w:spacing w:before="5600" w:line="240" w:lineRule="auto"/>
    </w:pPr>
    <w:rPr>
      <w:b/>
      <w:sz w:val="32"/>
    </w:rPr>
  </w:style>
  <w:style w:type="paragraph" w:customStyle="1" w:styleId="PageBreak">
    <w:name w:val="PageBreak"/>
    <w:aliases w:val="pb"/>
    <w:basedOn w:val="OPCParaBase"/>
    <w:rsid w:val="00335B05"/>
    <w:pPr>
      <w:spacing w:line="240" w:lineRule="auto"/>
    </w:pPr>
    <w:rPr>
      <w:sz w:val="20"/>
    </w:rPr>
  </w:style>
  <w:style w:type="paragraph" w:customStyle="1" w:styleId="paragraphsub">
    <w:name w:val="paragraph(sub)"/>
    <w:aliases w:val="aa"/>
    <w:basedOn w:val="OPCParaBase"/>
    <w:rsid w:val="00335B05"/>
    <w:pPr>
      <w:tabs>
        <w:tab w:val="right" w:pos="1985"/>
      </w:tabs>
      <w:spacing w:before="40" w:line="240" w:lineRule="auto"/>
      <w:ind w:left="2098" w:hanging="2098"/>
    </w:pPr>
  </w:style>
  <w:style w:type="paragraph" w:customStyle="1" w:styleId="paragraphsub-sub">
    <w:name w:val="paragraph(sub-sub)"/>
    <w:aliases w:val="aaa"/>
    <w:basedOn w:val="OPCParaBase"/>
    <w:rsid w:val="00335B05"/>
    <w:pPr>
      <w:tabs>
        <w:tab w:val="right" w:pos="2722"/>
      </w:tabs>
      <w:spacing w:before="40" w:line="240" w:lineRule="auto"/>
      <w:ind w:left="2835" w:hanging="2835"/>
    </w:pPr>
  </w:style>
  <w:style w:type="paragraph" w:customStyle="1" w:styleId="paragraph">
    <w:name w:val="paragraph"/>
    <w:aliases w:val="a"/>
    <w:basedOn w:val="OPCParaBase"/>
    <w:link w:val="paragraphChar"/>
    <w:rsid w:val="00335B05"/>
    <w:pPr>
      <w:tabs>
        <w:tab w:val="right" w:pos="1531"/>
      </w:tabs>
      <w:spacing w:before="40" w:line="240" w:lineRule="auto"/>
      <w:ind w:left="1644" w:hanging="1644"/>
    </w:pPr>
  </w:style>
  <w:style w:type="paragraph" w:customStyle="1" w:styleId="ParlAmend">
    <w:name w:val="ParlAmend"/>
    <w:aliases w:val="pp"/>
    <w:basedOn w:val="OPCParaBase"/>
    <w:rsid w:val="00335B05"/>
    <w:pPr>
      <w:spacing w:before="240" w:line="240" w:lineRule="atLeast"/>
      <w:ind w:hanging="567"/>
    </w:pPr>
    <w:rPr>
      <w:sz w:val="24"/>
    </w:rPr>
  </w:style>
  <w:style w:type="paragraph" w:customStyle="1" w:styleId="Penalty">
    <w:name w:val="Penalty"/>
    <w:basedOn w:val="OPCParaBase"/>
    <w:rsid w:val="00335B05"/>
    <w:pPr>
      <w:tabs>
        <w:tab w:val="left" w:pos="2977"/>
      </w:tabs>
      <w:spacing w:before="180" w:line="240" w:lineRule="auto"/>
      <w:ind w:left="1985" w:hanging="851"/>
    </w:pPr>
  </w:style>
  <w:style w:type="paragraph" w:customStyle="1" w:styleId="Portfolio">
    <w:name w:val="Portfolio"/>
    <w:basedOn w:val="OPCParaBase"/>
    <w:rsid w:val="00335B05"/>
    <w:pPr>
      <w:spacing w:line="240" w:lineRule="auto"/>
    </w:pPr>
    <w:rPr>
      <w:i/>
      <w:sz w:val="20"/>
    </w:rPr>
  </w:style>
  <w:style w:type="paragraph" w:customStyle="1" w:styleId="Preamble">
    <w:name w:val="Preamble"/>
    <w:basedOn w:val="OPCParaBase"/>
    <w:next w:val="Normal"/>
    <w:rsid w:val="00335B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35B05"/>
    <w:pPr>
      <w:spacing w:line="240" w:lineRule="auto"/>
    </w:pPr>
    <w:rPr>
      <w:i/>
      <w:sz w:val="20"/>
    </w:rPr>
  </w:style>
  <w:style w:type="paragraph" w:customStyle="1" w:styleId="Session">
    <w:name w:val="Session"/>
    <w:basedOn w:val="OPCParaBase"/>
    <w:rsid w:val="00335B05"/>
    <w:pPr>
      <w:spacing w:line="240" w:lineRule="auto"/>
    </w:pPr>
    <w:rPr>
      <w:sz w:val="28"/>
    </w:rPr>
  </w:style>
  <w:style w:type="paragraph" w:customStyle="1" w:styleId="Sponsor">
    <w:name w:val="Sponsor"/>
    <w:basedOn w:val="OPCParaBase"/>
    <w:rsid w:val="00335B05"/>
    <w:pPr>
      <w:spacing w:line="240" w:lineRule="auto"/>
    </w:pPr>
    <w:rPr>
      <w:i/>
    </w:rPr>
  </w:style>
  <w:style w:type="paragraph" w:customStyle="1" w:styleId="Subitem">
    <w:name w:val="Subitem"/>
    <w:aliases w:val="iss"/>
    <w:basedOn w:val="OPCParaBase"/>
    <w:rsid w:val="00335B05"/>
    <w:pPr>
      <w:spacing w:before="180" w:line="240" w:lineRule="auto"/>
      <w:ind w:left="709" w:hanging="709"/>
    </w:pPr>
  </w:style>
  <w:style w:type="paragraph" w:customStyle="1" w:styleId="SubitemHead">
    <w:name w:val="SubitemHead"/>
    <w:aliases w:val="issh"/>
    <w:basedOn w:val="OPCParaBase"/>
    <w:rsid w:val="00335B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35B05"/>
    <w:pPr>
      <w:spacing w:before="40" w:line="240" w:lineRule="auto"/>
      <w:ind w:left="1134"/>
    </w:pPr>
  </w:style>
  <w:style w:type="paragraph" w:customStyle="1" w:styleId="SubsectionHead">
    <w:name w:val="SubsectionHead"/>
    <w:aliases w:val="ssh"/>
    <w:basedOn w:val="OPCParaBase"/>
    <w:next w:val="subsection"/>
    <w:rsid w:val="00335B05"/>
    <w:pPr>
      <w:keepNext/>
      <w:keepLines/>
      <w:spacing w:before="240" w:line="240" w:lineRule="auto"/>
      <w:ind w:left="1134"/>
    </w:pPr>
    <w:rPr>
      <w:i/>
    </w:rPr>
  </w:style>
  <w:style w:type="paragraph" w:customStyle="1" w:styleId="Tablea">
    <w:name w:val="Table(a)"/>
    <w:aliases w:val="ta"/>
    <w:basedOn w:val="OPCParaBase"/>
    <w:rsid w:val="00335B05"/>
    <w:pPr>
      <w:spacing w:before="60" w:line="240" w:lineRule="auto"/>
      <w:ind w:left="284" w:hanging="284"/>
    </w:pPr>
    <w:rPr>
      <w:sz w:val="20"/>
    </w:rPr>
  </w:style>
  <w:style w:type="paragraph" w:customStyle="1" w:styleId="TableAA">
    <w:name w:val="Table(AA)"/>
    <w:aliases w:val="taaa"/>
    <w:basedOn w:val="OPCParaBase"/>
    <w:rsid w:val="00335B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35B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35B05"/>
    <w:pPr>
      <w:spacing w:before="60" w:line="240" w:lineRule="atLeast"/>
    </w:pPr>
    <w:rPr>
      <w:sz w:val="20"/>
    </w:rPr>
  </w:style>
  <w:style w:type="paragraph" w:customStyle="1" w:styleId="TLPBoxTextnote">
    <w:name w:val="TLPBoxText(note"/>
    <w:aliases w:val="right)"/>
    <w:basedOn w:val="OPCParaBase"/>
    <w:rsid w:val="00335B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35B0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35B05"/>
    <w:pPr>
      <w:spacing w:before="122" w:line="198" w:lineRule="exact"/>
      <w:ind w:left="1985" w:hanging="851"/>
      <w:jc w:val="right"/>
    </w:pPr>
    <w:rPr>
      <w:sz w:val="18"/>
    </w:rPr>
  </w:style>
  <w:style w:type="paragraph" w:customStyle="1" w:styleId="TLPTableBullet">
    <w:name w:val="TLPTableBullet"/>
    <w:aliases w:val="ttb"/>
    <w:basedOn w:val="OPCParaBase"/>
    <w:rsid w:val="00335B05"/>
    <w:pPr>
      <w:spacing w:line="240" w:lineRule="exact"/>
      <w:ind w:left="284" w:hanging="284"/>
    </w:pPr>
    <w:rPr>
      <w:sz w:val="20"/>
    </w:rPr>
  </w:style>
  <w:style w:type="paragraph" w:styleId="TOC1">
    <w:name w:val="toc 1"/>
    <w:basedOn w:val="OPCParaBase"/>
    <w:next w:val="Normal"/>
    <w:uiPriority w:val="39"/>
    <w:unhideWhenUsed/>
    <w:rsid w:val="00335B0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35B0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35B0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35B0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35B0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35B0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35B0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35B0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35B0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35B05"/>
    <w:pPr>
      <w:keepLines/>
      <w:spacing w:before="240" w:after="120" w:line="240" w:lineRule="auto"/>
      <w:ind w:left="794"/>
    </w:pPr>
    <w:rPr>
      <w:b/>
      <w:kern w:val="28"/>
      <w:sz w:val="20"/>
    </w:rPr>
  </w:style>
  <w:style w:type="paragraph" w:customStyle="1" w:styleId="TofSectsHeading">
    <w:name w:val="TofSects(Heading)"/>
    <w:basedOn w:val="OPCParaBase"/>
    <w:rsid w:val="00335B05"/>
    <w:pPr>
      <w:spacing w:before="240" w:after="120" w:line="240" w:lineRule="auto"/>
    </w:pPr>
    <w:rPr>
      <w:b/>
      <w:sz w:val="24"/>
    </w:rPr>
  </w:style>
  <w:style w:type="paragraph" w:customStyle="1" w:styleId="TofSectsSection">
    <w:name w:val="TofSects(Section)"/>
    <w:basedOn w:val="OPCParaBase"/>
    <w:rsid w:val="00335B05"/>
    <w:pPr>
      <w:keepLines/>
      <w:spacing w:before="40" w:line="240" w:lineRule="auto"/>
      <w:ind w:left="1588" w:hanging="794"/>
    </w:pPr>
    <w:rPr>
      <w:kern w:val="28"/>
      <w:sz w:val="18"/>
    </w:rPr>
  </w:style>
  <w:style w:type="paragraph" w:customStyle="1" w:styleId="TofSectsSubdiv">
    <w:name w:val="TofSects(Subdiv)"/>
    <w:basedOn w:val="OPCParaBase"/>
    <w:rsid w:val="00335B05"/>
    <w:pPr>
      <w:keepLines/>
      <w:spacing w:before="80" w:line="240" w:lineRule="auto"/>
      <w:ind w:left="1588" w:hanging="794"/>
    </w:pPr>
    <w:rPr>
      <w:kern w:val="28"/>
    </w:rPr>
  </w:style>
  <w:style w:type="paragraph" w:customStyle="1" w:styleId="WRStyle">
    <w:name w:val="WR Style"/>
    <w:aliases w:val="WR"/>
    <w:basedOn w:val="OPCParaBase"/>
    <w:rsid w:val="00335B05"/>
    <w:pPr>
      <w:spacing w:before="240" w:line="240" w:lineRule="auto"/>
      <w:ind w:left="284" w:hanging="284"/>
    </w:pPr>
    <w:rPr>
      <w:b/>
      <w:i/>
      <w:kern w:val="28"/>
      <w:sz w:val="24"/>
    </w:rPr>
  </w:style>
  <w:style w:type="paragraph" w:customStyle="1" w:styleId="notepara">
    <w:name w:val="note(para)"/>
    <w:aliases w:val="na"/>
    <w:basedOn w:val="OPCParaBase"/>
    <w:rsid w:val="00335B05"/>
    <w:pPr>
      <w:spacing w:before="40" w:line="198" w:lineRule="exact"/>
      <w:ind w:left="2354" w:hanging="369"/>
    </w:pPr>
    <w:rPr>
      <w:sz w:val="18"/>
    </w:rPr>
  </w:style>
  <w:style w:type="paragraph" w:styleId="Footer">
    <w:name w:val="footer"/>
    <w:link w:val="FooterChar"/>
    <w:rsid w:val="00335B0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35B05"/>
    <w:rPr>
      <w:rFonts w:eastAsia="Times New Roman" w:cs="Times New Roman"/>
      <w:sz w:val="22"/>
      <w:szCs w:val="24"/>
      <w:lang w:eastAsia="en-AU"/>
    </w:rPr>
  </w:style>
  <w:style w:type="character" w:styleId="LineNumber">
    <w:name w:val="line number"/>
    <w:basedOn w:val="OPCCharBase"/>
    <w:uiPriority w:val="99"/>
    <w:semiHidden/>
    <w:unhideWhenUsed/>
    <w:rsid w:val="00335B05"/>
    <w:rPr>
      <w:sz w:val="16"/>
    </w:rPr>
  </w:style>
  <w:style w:type="table" w:customStyle="1" w:styleId="CFlag">
    <w:name w:val="CFlag"/>
    <w:basedOn w:val="TableNormal"/>
    <w:uiPriority w:val="99"/>
    <w:rsid w:val="00335B05"/>
    <w:rPr>
      <w:rFonts w:eastAsia="Times New Roman" w:cs="Times New Roman"/>
      <w:lang w:eastAsia="en-AU"/>
    </w:rPr>
    <w:tblPr/>
  </w:style>
  <w:style w:type="paragraph" w:styleId="BalloonText">
    <w:name w:val="Balloon Text"/>
    <w:basedOn w:val="Normal"/>
    <w:link w:val="BalloonTextChar"/>
    <w:uiPriority w:val="99"/>
    <w:semiHidden/>
    <w:unhideWhenUsed/>
    <w:rsid w:val="00335B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05"/>
    <w:rPr>
      <w:rFonts w:ascii="Tahoma" w:hAnsi="Tahoma" w:cs="Tahoma"/>
      <w:sz w:val="16"/>
      <w:szCs w:val="16"/>
    </w:rPr>
  </w:style>
  <w:style w:type="table" w:styleId="TableGrid">
    <w:name w:val="Table Grid"/>
    <w:basedOn w:val="TableNormal"/>
    <w:uiPriority w:val="59"/>
    <w:rsid w:val="0033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35B05"/>
    <w:rPr>
      <w:b/>
      <w:sz w:val="28"/>
      <w:szCs w:val="32"/>
    </w:rPr>
  </w:style>
  <w:style w:type="paragraph" w:customStyle="1" w:styleId="TerritoryT">
    <w:name w:val="TerritoryT"/>
    <w:basedOn w:val="OPCParaBase"/>
    <w:next w:val="Normal"/>
    <w:rsid w:val="00E1244F"/>
    <w:rPr>
      <w:b/>
      <w:sz w:val="32"/>
    </w:rPr>
  </w:style>
  <w:style w:type="paragraph" w:customStyle="1" w:styleId="LegislationMadeUnder">
    <w:name w:val="LegislationMadeUnder"/>
    <w:basedOn w:val="OPCParaBase"/>
    <w:next w:val="Normal"/>
    <w:rsid w:val="00335B05"/>
    <w:rPr>
      <w:i/>
      <w:sz w:val="32"/>
      <w:szCs w:val="32"/>
    </w:rPr>
  </w:style>
  <w:style w:type="paragraph" w:customStyle="1" w:styleId="SignCoverPageEnd">
    <w:name w:val="SignCoverPageEnd"/>
    <w:basedOn w:val="OPCParaBase"/>
    <w:next w:val="Normal"/>
    <w:rsid w:val="00335B0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35B05"/>
    <w:pPr>
      <w:pBdr>
        <w:top w:val="single" w:sz="4" w:space="1" w:color="auto"/>
      </w:pBdr>
      <w:spacing w:before="360"/>
      <w:ind w:right="397"/>
      <w:jc w:val="both"/>
    </w:pPr>
  </w:style>
  <w:style w:type="paragraph" w:customStyle="1" w:styleId="NotesHeading2">
    <w:name w:val="NotesHeading 2"/>
    <w:basedOn w:val="OPCParaBase"/>
    <w:next w:val="Normal"/>
    <w:rsid w:val="00335B05"/>
    <w:rPr>
      <w:b/>
      <w:sz w:val="28"/>
      <w:szCs w:val="28"/>
    </w:rPr>
  </w:style>
  <w:style w:type="paragraph" w:customStyle="1" w:styleId="NotesHeading1">
    <w:name w:val="NotesHeading 1"/>
    <w:basedOn w:val="OPCParaBase"/>
    <w:next w:val="Normal"/>
    <w:rsid w:val="00335B05"/>
    <w:pPr>
      <w:outlineLvl w:val="0"/>
    </w:pPr>
    <w:rPr>
      <w:b/>
      <w:sz w:val="28"/>
      <w:szCs w:val="28"/>
    </w:rPr>
  </w:style>
  <w:style w:type="paragraph" w:customStyle="1" w:styleId="CompiledActNo">
    <w:name w:val="CompiledActNo"/>
    <w:basedOn w:val="OPCParaBase"/>
    <w:next w:val="Normal"/>
    <w:rsid w:val="00335B05"/>
    <w:rPr>
      <w:b/>
      <w:sz w:val="24"/>
      <w:szCs w:val="24"/>
    </w:rPr>
  </w:style>
  <w:style w:type="paragraph" w:customStyle="1" w:styleId="ENotesText">
    <w:name w:val="ENotesText"/>
    <w:aliases w:val="Ent"/>
    <w:basedOn w:val="OPCParaBase"/>
    <w:next w:val="Normal"/>
    <w:rsid w:val="00335B05"/>
    <w:pPr>
      <w:spacing w:before="120"/>
    </w:pPr>
  </w:style>
  <w:style w:type="paragraph" w:customStyle="1" w:styleId="CompiledMadeUnder">
    <w:name w:val="CompiledMadeUnder"/>
    <w:basedOn w:val="OPCParaBase"/>
    <w:next w:val="Normal"/>
    <w:rsid w:val="00335B05"/>
    <w:rPr>
      <w:i/>
      <w:sz w:val="24"/>
      <w:szCs w:val="24"/>
    </w:rPr>
  </w:style>
  <w:style w:type="paragraph" w:customStyle="1" w:styleId="Paragraphsub-sub-sub">
    <w:name w:val="Paragraph(sub-sub-sub)"/>
    <w:aliases w:val="aaaa"/>
    <w:basedOn w:val="OPCParaBase"/>
    <w:rsid w:val="00335B05"/>
    <w:pPr>
      <w:tabs>
        <w:tab w:val="right" w:pos="3402"/>
      </w:tabs>
      <w:spacing w:before="40" w:line="240" w:lineRule="auto"/>
      <w:ind w:left="3402" w:hanging="3402"/>
    </w:pPr>
  </w:style>
  <w:style w:type="paragraph" w:customStyle="1" w:styleId="TableTextEndNotes">
    <w:name w:val="TableTextEndNotes"/>
    <w:aliases w:val="Tten"/>
    <w:basedOn w:val="Normal"/>
    <w:rsid w:val="00335B05"/>
    <w:pPr>
      <w:spacing w:before="60" w:line="240" w:lineRule="auto"/>
    </w:pPr>
    <w:rPr>
      <w:rFonts w:cs="Arial"/>
      <w:sz w:val="20"/>
      <w:szCs w:val="22"/>
    </w:rPr>
  </w:style>
  <w:style w:type="paragraph" w:customStyle="1" w:styleId="NoteToSubpara">
    <w:name w:val="NoteToSubpara"/>
    <w:aliases w:val="nts"/>
    <w:basedOn w:val="OPCParaBase"/>
    <w:rsid w:val="00335B05"/>
    <w:pPr>
      <w:spacing w:before="40" w:line="198" w:lineRule="exact"/>
      <w:ind w:left="2835" w:hanging="709"/>
    </w:pPr>
    <w:rPr>
      <w:sz w:val="18"/>
    </w:rPr>
  </w:style>
  <w:style w:type="paragraph" w:customStyle="1" w:styleId="ENoteTableHeading">
    <w:name w:val="ENoteTableHeading"/>
    <w:aliases w:val="enth"/>
    <w:basedOn w:val="OPCParaBase"/>
    <w:rsid w:val="00335B05"/>
    <w:pPr>
      <w:keepNext/>
      <w:spacing w:before="60" w:line="240" w:lineRule="atLeast"/>
    </w:pPr>
    <w:rPr>
      <w:rFonts w:ascii="Arial" w:hAnsi="Arial"/>
      <w:b/>
      <w:sz w:val="16"/>
    </w:rPr>
  </w:style>
  <w:style w:type="paragraph" w:customStyle="1" w:styleId="ENoteTTi">
    <w:name w:val="ENoteTTi"/>
    <w:aliases w:val="entti"/>
    <w:basedOn w:val="OPCParaBase"/>
    <w:rsid w:val="00335B05"/>
    <w:pPr>
      <w:keepNext/>
      <w:spacing w:before="60" w:line="240" w:lineRule="atLeast"/>
      <w:ind w:left="170"/>
    </w:pPr>
    <w:rPr>
      <w:sz w:val="16"/>
    </w:rPr>
  </w:style>
  <w:style w:type="paragraph" w:customStyle="1" w:styleId="ENotesHeading1">
    <w:name w:val="ENotesHeading 1"/>
    <w:aliases w:val="Enh1"/>
    <w:basedOn w:val="OPCParaBase"/>
    <w:next w:val="Normal"/>
    <w:rsid w:val="00335B05"/>
    <w:pPr>
      <w:spacing w:before="120"/>
      <w:outlineLvl w:val="1"/>
    </w:pPr>
    <w:rPr>
      <w:b/>
      <w:sz w:val="28"/>
      <w:szCs w:val="28"/>
    </w:rPr>
  </w:style>
  <w:style w:type="paragraph" w:customStyle="1" w:styleId="ENotesHeading2">
    <w:name w:val="ENotesHeading 2"/>
    <w:aliases w:val="Enh2"/>
    <w:basedOn w:val="OPCParaBase"/>
    <w:next w:val="Normal"/>
    <w:rsid w:val="00335B05"/>
    <w:pPr>
      <w:spacing w:before="120" w:after="120"/>
      <w:outlineLvl w:val="2"/>
    </w:pPr>
    <w:rPr>
      <w:b/>
      <w:sz w:val="24"/>
      <w:szCs w:val="28"/>
    </w:rPr>
  </w:style>
  <w:style w:type="paragraph" w:customStyle="1" w:styleId="ENoteTTIndentHeading">
    <w:name w:val="ENoteTTIndentHeading"/>
    <w:aliases w:val="enTTHi"/>
    <w:basedOn w:val="OPCParaBase"/>
    <w:rsid w:val="00335B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35B05"/>
    <w:pPr>
      <w:spacing w:before="60" w:line="240" w:lineRule="atLeast"/>
    </w:pPr>
    <w:rPr>
      <w:sz w:val="16"/>
    </w:rPr>
  </w:style>
  <w:style w:type="paragraph" w:customStyle="1" w:styleId="MadeunderText">
    <w:name w:val="MadeunderText"/>
    <w:basedOn w:val="OPCParaBase"/>
    <w:next w:val="CompiledMadeUnder"/>
    <w:rsid w:val="00335B05"/>
    <w:pPr>
      <w:spacing w:before="240"/>
    </w:pPr>
    <w:rPr>
      <w:sz w:val="24"/>
      <w:szCs w:val="24"/>
    </w:rPr>
  </w:style>
  <w:style w:type="paragraph" w:customStyle="1" w:styleId="ENotesHeading3">
    <w:name w:val="ENotesHeading 3"/>
    <w:aliases w:val="Enh3"/>
    <w:basedOn w:val="OPCParaBase"/>
    <w:next w:val="Normal"/>
    <w:rsid w:val="00335B05"/>
    <w:pPr>
      <w:keepNext/>
      <w:spacing w:before="120" w:line="240" w:lineRule="auto"/>
      <w:outlineLvl w:val="4"/>
    </w:pPr>
    <w:rPr>
      <w:b/>
      <w:szCs w:val="24"/>
    </w:rPr>
  </w:style>
  <w:style w:type="character" w:customStyle="1" w:styleId="CharSubPartTextCASA">
    <w:name w:val="CharSubPartText(CASA)"/>
    <w:basedOn w:val="OPCCharBase"/>
    <w:uiPriority w:val="1"/>
    <w:rsid w:val="00335B05"/>
  </w:style>
  <w:style w:type="character" w:customStyle="1" w:styleId="CharSubPartNoCASA">
    <w:name w:val="CharSubPartNo(CASA)"/>
    <w:basedOn w:val="OPCCharBase"/>
    <w:uiPriority w:val="1"/>
    <w:rsid w:val="00335B05"/>
  </w:style>
  <w:style w:type="paragraph" w:customStyle="1" w:styleId="ENoteTTIndentHeadingSub">
    <w:name w:val="ENoteTTIndentHeadingSub"/>
    <w:aliases w:val="enTTHis"/>
    <w:basedOn w:val="OPCParaBase"/>
    <w:rsid w:val="00335B05"/>
    <w:pPr>
      <w:keepNext/>
      <w:spacing w:before="60" w:line="240" w:lineRule="atLeast"/>
      <w:ind w:left="340"/>
    </w:pPr>
    <w:rPr>
      <w:b/>
      <w:sz w:val="16"/>
    </w:rPr>
  </w:style>
  <w:style w:type="paragraph" w:customStyle="1" w:styleId="ENoteTTiSub">
    <w:name w:val="ENoteTTiSub"/>
    <w:aliases w:val="enttis"/>
    <w:basedOn w:val="OPCParaBase"/>
    <w:rsid w:val="00335B05"/>
    <w:pPr>
      <w:keepNext/>
      <w:spacing w:before="60" w:line="240" w:lineRule="atLeast"/>
      <w:ind w:left="340"/>
    </w:pPr>
    <w:rPr>
      <w:sz w:val="16"/>
    </w:rPr>
  </w:style>
  <w:style w:type="paragraph" w:customStyle="1" w:styleId="SubDivisionMigration">
    <w:name w:val="SubDivisionMigration"/>
    <w:aliases w:val="sdm"/>
    <w:basedOn w:val="OPCParaBase"/>
    <w:rsid w:val="00335B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35B05"/>
    <w:pPr>
      <w:keepNext/>
      <w:keepLines/>
      <w:spacing w:before="240" w:line="240" w:lineRule="auto"/>
      <w:ind w:left="1134" w:hanging="1134"/>
    </w:pPr>
    <w:rPr>
      <w:b/>
      <w:sz w:val="28"/>
    </w:rPr>
  </w:style>
  <w:style w:type="paragraph" w:customStyle="1" w:styleId="FreeForm">
    <w:name w:val="FreeForm"/>
    <w:rsid w:val="00F00CF6"/>
    <w:rPr>
      <w:rFonts w:ascii="Arial" w:hAnsi="Arial"/>
      <w:sz w:val="22"/>
    </w:rPr>
  </w:style>
  <w:style w:type="paragraph" w:customStyle="1" w:styleId="SOText">
    <w:name w:val="SO Text"/>
    <w:aliases w:val="sot"/>
    <w:link w:val="SOTextChar"/>
    <w:rsid w:val="00335B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35B05"/>
    <w:rPr>
      <w:sz w:val="22"/>
    </w:rPr>
  </w:style>
  <w:style w:type="paragraph" w:customStyle="1" w:styleId="SOTextNote">
    <w:name w:val="SO TextNote"/>
    <w:aliases w:val="sont"/>
    <w:basedOn w:val="SOText"/>
    <w:qFormat/>
    <w:rsid w:val="00335B05"/>
    <w:pPr>
      <w:spacing w:before="122" w:line="198" w:lineRule="exact"/>
      <w:ind w:left="1843" w:hanging="709"/>
    </w:pPr>
    <w:rPr>
      <w:sz w:val="18"/>
    </w:rPr>
  </w:style>
  <w:style w:type="paragraph" w:customStyle="1" w:styleId="SOPara">
    <w:name w:val="SO Para"/>
    <w:aliases w:val="soa"/>
    <w:basedOn w:val="SOText"/>
    <w:link w:val="SOParaChar"/>
    <w:qFormat/>
    <w:rsid w:val="00335B05"/>
    <w:pPr>
      <w:tabs>
        <w:tab w:val="right" w:pos="1786"/>
      </w:tabs>
      <w:spacing w:before="40"/>
      <w:ind w:left="2070" w:hanging="936"/>
    </w:pPr>
  </w:style>
  <w:style w:type="character" w:customStyle="1" w:styleId="SOParaChar">
    <w:name w:val="SO Para Char"/>
    <w:aliases w:val="soa Char"/>
    <w:basedOn w:val="DefaultParagraphFont"/>
    <w:link w:val="SOPara"/>
    <w:rsid w:val="00335B05"/>
    <w:rPr>
      <w:sz w:val="22"/>
    </w:rPr>
  </w:style>
  <w:style w:type="paragraph" w:customStyle="1" w:styleId="FileName">
    <w:name w:val="FileName"/>
    <w:basedOn w:val="Normal"/>
    <w:rsid w:val="00335B05"/>
  </w:style>
  <w:style w:type="paragraph" w:customStyle="1" w:styleId="TableHeading">
    <w:name w:val="TableHeading"/>
    <w:aliases w:val="th"/>
    <w:basedOn w:val="OPCParaBase"/>
    <w:next w:val="Tabletext"/>
    <w:rsid w:val="00335B05"/>
    <w:pPr>
      <w:keepNext/>
      <w:spacing w:before="60" w:line="240" w:lineRule="atLeast"/>
    </w:pPr>
    <w:rPr>
      <w:b/>
      <w:sz w:val="20"/>
    </w:rPr>
  </w:style>
  <w:style w:type="paragraph" w:customStyle="1" w:styleId="SOHeadBold">
    <w:name w:val="SO HeadBold"/>
    <w:aliases w:val="sohb"/>
    <w:basedOn w:val="SOText"/>
    <w:next w:val="SOText"/>
    <w:link w:val="SOHeadBoldChar"/>
    <w:qFormat/>
    <w:rsid w:val="00335B05"/>
    <w:rPr>
      <w:b/>
    </w:rPr>
  </w:style>
  <w:style w:type="character" w:customStyle="1" w:styleId="SOHeadBoldChar">
    <w:name w:val="SO HeadBold Char"/>
    <w:aliases w:val="sohb Char"/>
    <w:basedOn w:val="DefaultParagraphFont"/>
    <w:link w:val="SOHeadBold"/>
    <w:rsid w:val="00335B05"/>
    <w:rPr>
      <w:b/>
      <w:sz w:val="22"/>
    </w:rPr>
  </w:style>
  <w:style w:type="paragraph" w:customStyle="1" w:styleId="SOHeadItalic">
    <w:name w:val="SO HeadItalic"/>
    <w:aliases w:val="sohi"/>
    <w:basedOn w:val="SOText"/>
    <w:next w:val="SOText"/>
    <w:link w:val="SOHeadItalicChar"/>
    <w:qFormat/>
    <w:rsid w:val="00335B05"/>
    <w:rPr>
      <w:i/>
    </w:rPr>
  </w:style>
  <w:style w:type="character" w:customStyle="1" w:styleId="SOHeadItalicChar">
    <w:name w:val="SO HeadItalic Char"/>
    <w:aliases w:val="sohi Char"/>
    <w:basedOn w:val="DefaultParagraphFont"/>
    <w:link w:val="SOHeadItalic"/>
    <w:rsid w:val="00335B05"/>
    <w:rPr>
      <w:i/>
      <w:sz w:val="22"/>
    </w:rPr>
  </w:style>
  <w:style w:type="paragraph" w:customStyle="1" w:styleId="SOBullet">
    <w:name w:val="SO Bullet"/>
    <w:aliases w:val="sotb"/>
    <w:basedOn w:val="SOText"/>
    <w:link w:val="SOBulletChar"/>
    <w:qFormat/>
    <w:rsid w:val="00335B05"/>
    <w:pPr>
      <w:ind w:left="1559" w:hanging="425"/>
    </w:pPr>
  </w:style>
  <w:style w:type="character" w:customStyle="1" w:styleId="SOBulletChar">
    <w:name w:val="SO Bullet Char"/>
    <w:aliases w:val="sotb Char"/>
    <w:basedOn w:val="DefaultParagraphFont"/>
    <w:link w:val="SOBullet"/>
    <w:rsid w:val="00335B05"/>
    <w:rPr>
      <w:sz w:val="22"/>
    </w:rPr>
  </w:style>
  <w:style w:type="paragraph" w:customStyle="1" w:styleId="SOBulletNote">
    <w:name w:val="SO BulletNote"/>
    <w:aliases w:val="sonb"/>
    <w:basedOn w:val="SOTextNote"/>
    <w:link w:val="SOBulletNoteChar"/>
    <w:qFormat/>
    <w:rsid w:val="00335B05"/>
    <w:pPr>
      <w:tabs>
        <w:tab w:val="left" w:pos="1560"/>
      </w:tabs>
      <w:ind w:left="2268" w:hanging="1134"/>
    </w:pPr>
  </w:style>
  <w:style w:type="character" w:customStyle="1" w:styleId="SOBulletNoteChar">
    <w:name w:val="SO BulletNote Char"/>
    <w:aliases w:val="sonb Char"/>
    <w:basedOn w:val="DefaultParagraphFont"/>
    <w:link w:val="SOBulletNote"/>
    <w:rsid w:val="00335B05"/>
    <w:rPr>
      <w:sz w:val="18"/>
    </w:rPr>
  </w:style>
  <w:style w:type="paragraph" w:customStyle="1" w:styleId="SOText2">
    <w:name w:val="SO Text2"/>
    <w:aliases w:val="sot2"/>
    <w:basedOn w:val="Normal"/>
    <w:next w:val="SOText"/>
    <w:link w:val="SOText2Char"/>
    <w:rsid w:val="00335B0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5B05"/>
    <w:rPr>
      <w:sz w:val="22"/>
    </w:rPr>
  </w:style>
  <w:style w:type="paragraph" w:customStyle="1" w:styleId="SubPartCASA">
    <w:name w:val="SubPart(CASA)"/>
    <w:aliases w:val="csp"/>
    <w:basedOn w:val="OPCParaBase"/>
    <w:next w:val="ActHead3"/>
    <w:rsid w:val="00335B0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E180E"/>
    <w:rPr>
      <w:rFonts w:eastAsia="Times New Roman" w:cs="Times New Roman"/>
      <w:sz w:val="22"/>
      <w:lang w:eastAsia="en-AU"/>
    </w:rPr>
  </w:style>
  <w:style w:type="character" w:customStyle="1" w:styleId="notetextChar">
    <w:name w:val="note(text) Char"/>
    <w:aliases w:val="n Char"/>
    <w:basedOn w:val="DefaultParagraphFont"/>
    <w:link w:val="notetext"/>
    <w:rsid w:val="003E180E"/>
    <w:rPr>
      <w:rFonts w:eastAsia="Times New Roman" w:cs="Times New Roman"/>
      <w:sz w:val="18"/>
      <w:lang w:eastAsia="en-AU"/>
    </w:rPr>
  </w:style>
  <w:style w:type="character" w:customStyle="1" w:styleId="Heading1Char">
    <w:name w:val="Heading 1 Char"/>
    <w:basedOn w:val="DefaultParagraphFont"/>
    <w:link w:val="Heading1"/>
    <w:rsid w:val="003E18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18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E180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E180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3E180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3E180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E180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E180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E180E"/>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locked/>
    <w:rsid w:val="003E180E"/>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3E180E"/>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5B05"/>
    <w:pPr>
      <w:spacing w:line="260" w:lineRule="atLeast"/>
    </w:pPr>
    <w:rPr>
      <w:sz w:val="22"/>
    </w:rPr>
  </w:style>
  <w:style w:type="paragraph" w:styleId="Heading1">
    <w:name w:val="heading 1"/>
    <w:basedOn w:val="Normal"/>
    <w:next w:val="Normal"/>
    <w:link w:val="Heading1Char"/>
    <w:qFormat/>
    <w:rsid w:val="003E18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18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18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18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E18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E18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180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180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E180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35B05"/>
  </w:style>
  <w:style w:type="paragraph" w:customStyle="1" w:styleId="OPCParaBase">
    <w:name w:val="OPCParaBase"/>
    <w:qFormat/>
    <w:rsid w:val="00335B05"/>
    <w:pPr>
      <w:spacing w:line="260" w:lineRule="atLeast"/>
    </w:pPr>
    <w:rPr>
      <w:rFonts w:eastAsia="Times New Roman" w:cs="Times New Roman"/>
      <w:sz w:val="22"/>
      <w:lang w:eastAsia="en-AU"/>
    </w:rPr>
  </w:style>
  <w:style w:type="paragraph" w:customStyle="1" w:styleId="ShortT">
    <w:name w:val="ShortT"/>
    <w:basedOn w:val="OPCParaBase"/>
    <w:next w:val="Normal"/>
    <w:qFormat/>
    <w:rsid w:val="00335B05"/>
    <w:pPr>
      <w:spacing w:line="240" w:lineRule="auto"/>
    </w:pPr>
    <w:rPr>
      <w:b/>
      <w:sz w:val="40"/>
    </w:rPr>
  </w:style>
  <w:style w:type="paragraph" w:customStyle="1" w:styleId="ActHead1">
    <w:name w:val="ActHead 1"/>
    <w:aliases w:val="c"/>
    <w:basedOn w:val="OPCParaBase"/>
    <w:next w:val="Normal"/>
    <w:qFormat/>
    <w:rsid w:val="00335B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35B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35B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35B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35B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35B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35B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35B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35B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35B05"/>
  </w:style>
  <w:style w:type="paragraph" w:customStyle="1" w:styleId="Blocks">
    <w:name w:val="Blocks"/>
    <w:aliases w:val="bb"/>
    <w:basedOn w:val="OPCParaBase"/>
    <w:qFormat/>
    <w:rsid w:val="00335B05"/>
    <w:pPr>
      <w:spacing w:line="240" w:lineRule="auto"/>
    </w:pPr>
    <w:rPr>
      <w:sz w:val="24"/>
    </w:rPr>
  </w:style>
  <w:style w:type="paragraph" w:customStyle="1" w:styleId="BoxText">
    <w:name w:val="BoxText"/>
    <w:aliases w:val="bt"/>
    <w:basedOn w:val="OPCParaBase"/>
    <w:qFormat/>
    <w:rsid w:val="00335B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35B05"/>
    <w:rPr>
      <w:b/>
    </w:rPr>
  </w:style>
  <w:style w:type="paragraph" w:customStyle="1" w:styleId="BoxHeadItalic">
    <w:name w:val="BoxHeadItalic"/>
    <w:aliases w:val="bhi"/>
    <w:basedOn w:val="BoxText"/>
    <w:next w:val="BoxStep"/>
    <w:qFormat/>
    <w:rsid w:val="00335B05"/>
    <w:rPr>
      <w:i/>
    </w:rPr>
  </w:style>
  <w:style w:type="paragraph" w:customStyle="1" w:styleId="BoxList">
    <w:name w:val="BoxList"/>
    <w:aliases w:val="bl"/>
    <w:basedOn w:val="BoxText"/>
    <w:qFormat/>
    <w:rsid w:val="00335B05"/>
    <w:pPr>
      <w:ind w:left="1559" w:hanging="425"/>
    </w:pPr>
  </w:style>
  <w:style w:type="paragraph" w:customStyle="1" w:styleId="BoxNote">
    <w:name w:val="BoxNote"/>
    <w:aliases w:val="bn"/>
    <w:basedOn w:val="BoxText"/>
    <w:qFormat/>
    <w:rsid w:val="00335B05"/>
    <w:pPr>
      <w:tabs>
        <w:tab w:val="left" w:pos="1985"/>
      </w:tabs>
      <w:spacing w:before="122" w:line="198" w:lineRule="exact"/>
      <w:ind w:left="2948" w:hanging="1814"/>
    </w:pPr>
    <w:rPr>
      <w:sz w:val="18"/>
    </w:rPr>
  </w:style>
  <w:style w:type="paragraph" w:customStyle="1" w:styleId="BoxPara">
    <w:name w:val="BoxPara"/>
    <w:aliases w:val="bp"/>
    <w:basedOn w:val="BoxText"/>
    <w:qFormat/>
    <w:rsid w:val="00335B05"/>
    <w:pPr>
      <w:tabs>
        <w:tab w:val="right" w:pos="2268"/>
      </w:tabs>
      <w:ind w:left="2552" w:hanging="1418"/>
    </w:pPr>
  </w:style>
  <w:style w:type="paragraph" w:customStyle="1" w:styleId="BoxStep">
    <w:name w:val="BoxStep"/>
    <w:aliases w:val="bs"/>
    <w:basedOn w:val="BoxText"/>
    <w:qFormat/>
    <w:rsid w:val="00335B05"/>
    <w:pPr>
      <w:ind w:left="1985" w:hanging="851"/>
    </w:pPr>
  </w:style>
  <w:style w:type="character" w:customStyle="1" w:styleId="CharAmPartNo">
    <w:name w:val="CharAmPartNo"/>
    <w:basedOn w:val="OPCCharBase"/>
    <w:uiPriority w:val="1"/>
    <w:qFormat/>
    <w:rsid w:val="00335B05"/>
  </w:style>
  <w:style w:type="character" w:customStyle="1" w:styleId="CharAmPartText">
    <w:name w:val="CharAmPartText"/>
    <w:basedOn w:val="OPCCharBase"/>
    <w:uiPriority w:val="1"/>
    <w:qFormat/>
    <w:rsid w:val="00335B05"/>
  </w:style>
  <w:style w:type="character" w:customStyle="1" w:styleId="CharAmSchNo">
    <w:name w:val="CharAmSchNo"/>
    <w:basedOn w:val="OPCCharBase"/>
    <w:uiPriority w:val="1"/>
    <w:qFormat/>
    <w:rsid w:val="00335B05"/>
  </w:style>
  <w:style w:type="character" w:customStyle="1" w:styleId="CharAmSchText">
    <w:name w:val="CharAmSchText"/>
    <w:basedOn w:val="OPCCharBase"/>
    <w:uiPriority w:val="1"/>
    <w:qFormat/>
    <w:rsid w:val="00335B05"/>
  </w:style>
  <w:style w:type="character" w:customStyle="1" w:styleId="CharBoldItalic">
    <w:name w:val="CharBoldItalic"/>
    <w:basedOn w:val="OPCCharBase"/>
    <w:uiPriority w:val="1"/>
    <w:qFormat/>
    <w:rsid w:val="00335B05"/>
    <w:rPr>
      <w:b/>
      <w:i/>
    </w:rPr>
  </w:style>
  <w:style w:type="character" w:customStyle="1" w:styleId="CharChapNo">
    <w:name w:val="CharChapNo"/>
    <w:basedOn w:val="OPCCharBase"/>
    <w:qFormat/>
    <w:rsid w:val="00335B05"/>
  </w:style>
  <w:style w:type="character" w:customStyle="1" w:styleId="CharChapText">
    <w:name w:val="CharChapText"/>
    <w:basedOn w:val="OPCCharBase"/>
    <w:qFormat/>
    <w:rsid w:val="00335B05"/>
  </w:style>
  <w:style w:type="character" w:customStyle="1" w:styleId="CharDivNo">
    <w:name w:val="CharDivNo"/>
    <w:basedOn w:val="OPCCharBase"/>
    <w:qFormat/>
    <w:rsid w:val="00335B05"/>
  </w:style>
  <w:style w:type="character" w:customStyle="1" w:styleId="CharDivText">
    <w:name w:val="CharDivText"/>
    <w:basedOn w:val="OPCCharBase"/>
    <w:qFormat/>
    <w:rsid w:val="00335B05"/>
  </w:style>
  <w:style w:type="character" w:customStyle="1" w:styleId="CharItalic">
    <w:name w:val="CharItalic"/>
    <w:basedOn w:val="OPCCharBase"/>
    <w:uiPriority w:val="1"/>
    <w:qFormat/>
    <w:rsid w:val="00335B05"/>
    <w:rPr>
      <w:i/>
    </w:rPr>
  </w:style>
  <w:style w:type="character" w:customStyle="1" w:styleId="CharPartNo">
    <w:name w:val="CharPartNo"/>
    <w:basedOn w:val="OPCCharBase"/>
    <w:qFormat/>
    <w:rsid w:val="00335B05"/>
  </w:style>
  <w:style w:type="character" w:customStyle="1" w:styleId="CharPartText">
    <w:name w:val="CharPartText"/>
    <w:basedOn w:val="OPCCharBase"/>
    <w:qFormat/>
    <w:rsid w:val="00335B05"/>
  </w:style>
  <w:style w:type="character" w:customStyle="1" w:styleId="CharSectno">
    <w:name w:val="CharSectno"/>
    <w:basedOn w:val="OPCCharBase"/>
    <w:qFormat/>
    <w:rsid w:val="00335B05"/>
  </w:style>
  <w:style w:type="character" w:customStyle="1" w:styleId="CharSubdNo">
    <w:name w:val="CharSubdNo"/>
    <w:basedOn w:val="OPCCharBase"/>
    <w:uiPriority w:val="1"/>
    <w:qFormat/>
    <w:rsid w:val="00335B05"/>
  </w:style>
  <w:style w:type="character" w:customStyle="1" w:styleId="CharSubdText">
    <w:name w:val="CharSubdText"/>
    <w:basedOn w:val="OPCCharBase"/>
    <w:uiPriority w:val="1"/>
    <w:qFormat/>
    <w:rsid w:val="00335B05"/>
  </w:style>
  <w:style w:type="paragraph" w:customStyle="1" w:styleId="CTA--">
    <w:name w:val="CTA --"/>
    <w:basedOn w:val="OPCParaBase"/>
    <w:next w:val="Normal"/>
    <w:rsid w:val="00335B05"/>
    <w:pPr>
      <w:spacing w:before="60" w:line="240" w:lineRule="atLeast"/>
      <w:ind w:left="142" w:hanging="142"/>
    </w:pPr>
    <w:rPr>
      <w:sz w:val="20"/>
    </w:rPr>
  </w:style>
  <w:style w:type="paragraph" w:customStyle="1" w:styleId="CTA-">
    <w:name w:val="CTA -"/>
    <w:basedOn w:val="OPCParaBase"/>
    <w:rsid w:val="00335B05"/>
    <w:pPr>
      <w:spacing w:before="60" w:line="240" w:lineRule="atLeast"/>
      <w:ind w:left="85" w:hanging="85"/>
    </w:pPr>
    <w:rPr>
      <w:sz w:val="20"/>
    </w:rPr>
  </w:style>
  <w:style w:type="paragraph" w:customStyle="1" w:styleId="CTA---">
    <w:name w:val="CTA ---"/>
    <w:basedOn w:val="OPCParaBase"/>
    <w:next w:val="Normal"/>
    <w:rsid w:val="00335B05"/>
    <w:pPr>
      <w:spacing w:before="60" w:line="240" w:lineRule="atLeast"/>
      <w:ind w:left="198" w:hanging="198"/>
    </w:pPr>
    <w:rPr>
      <w:sz w:val="20"/>
    </w:rPr>
  </w:style>
  <w:style w:type="paragraph" w:customStyle="1" w:styleId="CTA----">
    <w:name w:val="CTA ----"/>
    <w:basedOn w:val="OPCParaBase"/>
    <w:next w:val="Normal"/>
    <w:rsid w:val="00335B05"/>
    <w:pPr>
      <w:spacing w:before="60" w:line="240" w:lineRule="atLeast"/>
      <w:ind w:left="255" w:hanging="255"/>
    </w:pPr>
    <w:rPr>
      <w:sz w:val="20"/>
    </w:rPr>
  </w:style>
  <w:style w:type="paragraph" w:customStyle="1" w:styleId="CTA1a">
    <w:name w:val="CTA 1(a)"/>
    <w:basedOn w:val="OPCParaBase"/>
    <w:rsid w:val="00335B05"/>
    <w:pPr>
      <w:tabs>
        <w:tab w:val="right" w:pos="414"/>
      </w:tabs>
      <w:spacing w:before="40" w:line="240" w:lineRule="atLeast"/>
      <w:ind w:left="675" w:hanging="675"/>
    </w:pPr>
    <w:rPr>
      <w:sz w:val="20"/>
    </w:rPr>
  </w:style>
  <w:style w:type="paragraph" w:customStyle="1" w:styleId="CTA1ai">
    <w:name w:val="CTA 1(a)(i)"/>
    <w:basedOn w:val="OPCParaBase"/>
    <w:rsid w:val="00335B05"/>
    <w:pPr>
      <w:tabs>
        <w:tab w:val="right" w:pos="1004"/>
      </w:tabs>
      <w:spacing w:before="40" w:line="240" w:lineRule="atLeast"/>
      <w:ind w:left="1253" w:hanging="1253"/>
    </w:pPr>
    <w:rPr>
      <w:sz w:val="20"/>
    </w:rPr>
  </w:style>
  <w:style w:type="paragraph" w:customStyle="1" w:styleId="CTA2a">
    <w:name w:val="CTA 2(a)"/>
    <w:basedOn w:val="OPCParaBase"/>
    <w:rsid w:val="00335B05"/>
    <w:pPr>
      <w:tabs>
        <w:tab w:val="right" w:pos="482"/>
      </w:tabs>
      <w:spacing w:before="40" w:line="240" w:lineRule="atLeast"/>
      <w:ind w:left="748" w:hanging="748"/>
    </w:pPr>
    <w:rPr>
      <w:sz w:val="20"/>
    </w:rPr>
  </w:style>
  <w:style w:type="paragraph" w:customStyle="1" w:styleId="CTA2ai">
    <w:name w:val="CTA 2(a)(i)"/>
    <w:basedOn w:val="OPCParaBase"/>
    <w:rsid w:val="00335B05"/>
    <w:pPr>
      <w:tabs>
        <w:tab w:val="right" w:pos="1089"/>
      </w:tabs>
      <w:spacing w:before="40" w:line="240" w:lineRule="atLeast"/>
      <w:ind w:left="1327" w:hanging="1327"/>
    </w:pPr>
    <w:rPr>
      <w:sz w:val="20"/>
    </w:rPr>
  </w:style>
  <w:style w:type="paragraph" w:customStyle="1" w:styleId="CTA3a">
    <w:name w:val="CTA 3(a)"/>
    <w:basedOn w:val="OPCParaBase"/>
    <w:rsid w:val="00335B05"/>
    <w:pPr>
      <w:tabs>
        <w:tab w:val="right" w:pos="556"/>
      </w:tabs>
      <w:spacing w:before="40" w:line="240" w:lineRule="atLeast"/>
      <w:ind w:left="805" w:hanging="805"/>
    </w:pPr>
    <w:rPr>
      <w:sz w:val="20"/>
    </w:rPr>
  </w:style>
  <w:style w:type="paragraph" w:customStyle="1" w:styleId="CTA3ai">
    <w:name w:val="CTA 3(a)(i)"/>
    <w:basedOn w:val="OPCParaBase"/>
    <w:rsid w:val="00335B05"/>
    <w:pPr>
      <w:tabs>
        <w:tab w:val="right" w:pos="1140"/>
      </w:tabs>
      <w:spacing w:before="40" w:line="240" w:lineRule="atLeast"/>
      <w:ind w:left="1361" w:hanging="1361"/>
    </w:pPr>
    <w:rPr>
      <w:sz w:val="20"/>
    </w:rPr>
  </w:style>
  <w:style w:type="paragraph" w:customStyle="1" w:styleId="CTA4a">
    <w:name w:val="CTA 4(a)"/>
    <w:basedOn w:val="OPCParaBase"/>
    <w:rsid w:val="00335B05"/>
    <w:pPr>
      <w:tabs>
        <w:tab w:val="right" w:pos="624"/>
      </w:tabs>
      <w:spacing w:before="40" w:line="240" w:lineRule="atLeast"/>
      <w:ind w:left="873" w:hanging="873"/>
    </w:pPr>
    <w:rPr>
      <w:sz w:val="20"/>
    </w:rPr>
  </w:style>
  <w:style w:type="paragraph" w:customStyle="1" w:styleId="CTA4ai">
    <w:name w:val="CTA 4(a)(i)"/>
    <w:basedOn w:val="OPCParaBase"/>
    <w:rsid w:val="00335B05"/>
    <w:pPr>
      <w:tabs>
        <w:tab w:val="right" w:pos="1213"/>
      </w:tabs>
      <w:spacing w:before="40" w:line="240" w:lineRule="atLeast"/>
      <w:ind w:left="1452" w:hanging="1452"/>
    </w:pPr>
    <w:rPr>
      <w:sz w:val="20"/>
    </w:rPr>
  </w:style>
  <w:style w:type="paragraph" w:customStyle="1" w:styleId="CTACAPS">
    <w:name w:val="CTA CAPS"/>
    <w:basedOn w:val="OPCParaBase"/>
    <w:rsid w:val="00335B05"/>
    <w:pPr>
      <w:spacing w:before="60" w:line="240" w:lineRule="atLeast"/>
    </w:pPr>
    <w:rPr>
      <w:sz w:val="20"/>
    </w:rPr>
  </w:style>
  <w:style w:type="paragraph" w:customStyle="1" w:styleId="CTAright">
    <w:name w:val="CTA right"/>
    <w:basedOn w:val="OPCParaBase"/>
    <w:rsid w:val="00335B05"/>
    <w:pPr>
      <w:spacing w:before="60" w:line="240" w:lineRule="auto"/>
      <w:jc w:val="right"/>
    </w:pPr>
    <w:rPr>
      <w:sz w:val="20"/>
    </w:rPr>
  </w:style>
  <w:style w:type="paragraph" w:customStyle="1" w:styleId="subsection">
    <w:name w:val="subsection"/>
    <w:aliases w:val="ss"/>
    <w:basedOn w:val="OPCParaBase"/>
    <w:link w:val="subsectionChar"/>
    <w:rsid w:val="00335B05"/>
    <w:pPr>
      <w:tabs>
        <w:tab w:val="right" w:pos="1021"/>
      </w:tabs>
      <w:spacing w:before="180" w:line="240" w:lineRule="auto"/>
      <w:ind w:left="1134" w:hanging="1134"/>
    </w:pPr>
  </w:style>
  <w:style w:type="paragraph" w:customStyle="1" w:styleId="Definition">
    <w:name w:val="Definition"/>
    <w:aliases w:val="dd"/>
    <w:basedOn w:val="OPCParaBase"/>
    <w:rsid w:val="00335B05"/>
    <w:pPr>
      <w:spacing w:before="180" w:line="240" w:lineRule="auto"/>
      <w:ind w:left="1134"/>
    </w:pPr>
  </w:style>
  <w:style w:type="paragraph" w:customStyle="1" w:styleId="EndNotespara">
    <w:name w:val="EndNotes(para)"/>
    <w:aliases w:val="eta"/>
    <w:basedOn w:val="OPCParaBase"/>
    <w:next w:val="EndNotessubpara"/>
    <w:rsid w:val="00335B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35B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35B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35B05"/>
    <w:pPr>
      <w:tabs>
        <w:tab w:val="right" w:pos="1412"/>
      </w:tabs>
      <w:spacing w:before="60" w:line="240" w:lineRule="auto"/>
      <w:ind w:left="1525" w:hanging="1525"/>
    </w:pPr>
    <w:rPr>
      <w:sz w:val="20"/>
    </w:rPr>
  </w:style>
  <w:style w:type="paragraph" w:customStyle="1" w:styleId="Formula">
    <w:name w:val="Formula"/>
    <w:basedOn w:val="OPCParaBase"/>
    <w:rsid w:val="00335B05"/>
    <w:pPr>
      <w:spacing w:line="240" w:lineRule="auto"/>
      <w:ind w:left="1134"/>
    </w:pPr>
    <w:rPr>
      <w:sz w:val="20"/>
    </w:rPr>
  </w:style>
  <w:style w:type="paragraph" w:styleId="Header">
    <w:name w:val="header"/>
    <w:basedOn w:val="OPCParaBase"/>
    <w:link w:val="HeaderChar"/>
    <w:unhideWhenUsed/>
    <w:rsid w:val="00335B0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35B05"/>
    <w:rPr>
      <w:rFonts w:eastAsia="Times New Roman" w:cs="Times New Roman"/>
      <w:sz w:val="16"/>
      <w:lang w:eastAsia="en-AU"/>
    </w:rPr>
  </w:style>
  <w:style w:type="paragraph" w:customStyle="1" w:styleId="House">
    <w:name w:val="House"/>
    <w:basedOn w:val="OPCParaBase"/>
    <w:rsid w:val="00335B05"/>
    <w:pPr>
      <w:spacing w:line="240" w:lineRule="auto"/>
    </w:pPr>
    <w:rPr>
      <w:sz w:val="28"/>
    </w:rPr>
  </w:style>
  <w:style w:type="paragraph" w:customStyle="1" w:styleId="Item">
    <w:name w:val="Item"/>
    <w:aliases w:val="i"/>
    <w:basedOn w:val="OPCParaBase"/>
    <w:next w:val="ItemHead"/>
    <w:rsid w:val="00335B05"/>
    <w:pPr>
      <w:keepLines/>
      <w:spacing w:before="80" w:line="240" w:lineRule="auto"/>
      <w:ind w:left="709"/>
    </w:pPr>
  </w:style>
  <w:style w:type="paragraph" w:customStyle="1" w:styleId="ItemHead">
    <w:name w:val="ItemHead"/>
    <w:aliases w:val="ih"/>
    <w:basedOn w:val="OPCParaBase"/>
    <w:next w:val="Item"/>
    <w:rsid w:val="00335B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35B05"/>
    <w:pPr>
      <w:spacing w:line="240" w:lineRule="auto"/>
    </w:pPr>
    <w:rPr>
      <w:b/>
      <w:sz w:val="32"/>
    </w:rPr>
  </w:style>
  <w:style w:type="paragraph" w:customStyle="1" w:styleId="notedraft">
    <w:name w:val="note(draft)"/>
    <w:aliases w:val="nd"/>
    <w:basedOn w:val="OPCParaBase"/>
    <w:rsid w:val="00335B05"/>
    <w:pPr>
      <w:spacing w:before="240" w:line="240" w:lineRule="auto"/>
      <w:ind w:left="284" w:hanging="284"/>
    </w:pPr>
    <w:rPr>
      <w:i/>
      <w:sz w:val="24"/>
    </w:rPr>
  </w:style>
  <w:style w:type="paragraph" w:customStyle="1" w:styleId="notemargin">
    <w:name w:val="note(margin)"/>
    <w:aliases w:val="nm"/>
    <w:basedOn w:val="OPCParaBase"/>
    <w:rsid w:val="00335B05"/>
    <w:pPr>
      <w:tabs>
        <w:tab w:val="left" w:pos="709"/>
      </w:tabs>
      <w:spacing w:before="122" w:line="198" w:lineRule="exact"/>
      <w:ind w:left="709" w:hanging="709"/>
    </w:pPr>
    <w:rPr>
      <w:sz w:val="18"/>
    </w:rPr>
  </w:style>
  <w:style w:type="paragraph" w:customStyle="1" w:styleId="noteToPara">
    <w:name w:val="noteToPara"/>
    <w:aliases w:val="ntp"/>
    <w:basedOn w:val="OPCParaBase"/>
    <w:rsid w:val="00335B05"/>
    <w:pPr>
      <w:spacing w:before="122" w:line="198" w:lineRule="exact"/>
      <w:ind w:left="2353" w:hanging="709"/>
    </w:pPr>
    <w:rPr>
      <w:sz w:val="18"/>
    </w:rPr>
  </w:style>
  <w:style w:type="paragraph" w:customStyle="1" w:styleId="noteParlAmend">
    <w:name w:val="note(ParlAmend)"/>
    <w:aliases w:val="npp"/>
    <w:basedOn w:val="OPCParaBase"/>
    <w:next w:val="ParlAmend"/>
    <w:rsid w:val="00335B05"/>
    <w:pPr>
      <w:spacing w:line="240" w:lineRule="auto"/>
      <w:jc w:val="right"/>
    </w:pPr>
    <w:rPr>
      <w:rFonts w:ascii="Arial" w:hAnsi="Arial"/>
      <w:b/>
      <w:i/>
    </w:rPr>
  </w:style>
  <w:style w:type="paragraph" w:customStyle="1" w:styleId="notetext">
    <w:name w:val="note(text)"/>
    <w:aliases w:val="n"/>
    <w:basedOn w:val="OPCParaBase"/>
    <w:link w:val="notetextChar"/>
    <w:rsid w:val="00335B05"/>
    <w:pPr>
      <w:spacing w:before="122" w:line="240" w:lineRule="auto"/>
      <w:ind w:left="1985" w:hanging="851"/>
    </w:pPr>
    <w:rPr>
      <w:sz w:val="18"/>
    </w:rPr>
  </w:style>
  <w:style w:type="paragraph" w:customStyle="1" w:styleId="Page1">
    <w:name w:val="Page1"/>
    <w:basedOn w:val="OPCParaBase"/>
    <w:rsid w:val="00335B05"/>
    <w:pPr>
      <w:spacing w:before="5600" w:line="240" w:lineRule="auto"/>
    </w:pPr>
    <w:rPr>
      <w:b/>
      <w:sz w:val="32"/>
    </w:rPr>
  </w:style>
  <w:style w:type="paragraph" w:customStyle="1" w:styleId="PageBreak">
    <w:name w:val="PageBreak"/>
    <w:aliases w:val="pb"/>
    <w:basedOn w:val="OPCParaBase"/>
    <w:rsid w:val="00335B05"/>
    <w:pPr>
      <w:spacing w:line="240" w:lineRule="auto"/>
    </w:pPr>
    <w:rPr>
      <w:sz w:val="20"/>
    </w:rPr>
  </w:style>
  <w:style w:type="paragraph" w:customStyle="1" w:styleId="paragraphsub">
    <w:name w:val="paragraph(sub)"/>
    <w:aliases w:val="aa"/>
    <w:basedOn w:val="OPCParaBase"/>
    <w:rsid w:val="00335B05"/>
    <w:pPr>
      <w:tabs>
        <w:tab w:val="right" w:pos="1985"/>
      </w:tabs>
      <w:spacing w:before="40" w:line="240" w:lineRule="auto"/>
      <w:ind w:left="2098" w:hanging="2098"/>
    </w:pPr>
  </w:style>
  <w:style w:type="paragraph" w:customStyle="1" w:styleId="paragraphsub-sub">
    <w:name w:val="paragraph(sub-sub)"/>
    <w:aliases w:val="aaa"/>
    <w:basedOn w:val="OPCParaBase"/>
    <w:rsid w:val="00335B05"/>
    <w:pPr>
      <w:tabs>
        <w:tab w:val="right" w:pos="2722"/>
      </w:tabs>
      <w:spacing w:before="40" w:line="240" w:lineRule="auto"/>
      <w:ind w:left="2835" w:hanging="2835"/>
    </w:pPr>
  </w:style>
  <w:style w:type="paragraph" w:customStyle="1" w:styleId="paragraph">
    <w:name w:val="paragraph"/>
    <w:aliases w:val="a"/>
    <w:basedOn w:val="OPCParaBase"/>
    <w:link w:val="paragraphChar"/>
    <w:rsid w:val="00335B05"/>
    <w:pPr>
      <w:tabs>
        <w:tab w:val="right" w:pos="1531"/>
      </w:tabs>
      <w:spacing w:before="40" w:line="240" w:lineRule="auto"/>
      <w:ind w:left="1644" w:hanging="1644"/>
    </w:pPr>
  </w:style>
  <w:style w:type="paragraph" w:customStyle="1" w:styleId="ParlAmend">
    <w:name w:val="ParlAmend"/>
    <w:aliases w:val="pp"/>
    <w:basedOn w:val="OPCParaBase"/>
    <w:rsid w:val="00335B05"/>
    <w:pPr>
      <w:spacing w:before="240" w:line="240" w:lineRule="atLeast"/>
      <w:ind w:hanging="567"/>
    </w:pPr>
    <w:rPr>
      <w:sz w:val="24"/>
    </w:rPr>
  </w:style>
  <w:style w:type="paragraph" w:customStyle="1" w:styleId="Penalty">
    <w:name w:val="Penalty"/>
    <w:basedOn w:val="OPCParaBase"/>
    <w:rsid w:val="00335B05"/>
    <w:pPr>
      <w:tabs>
        <w:tab w:val="left" w:pos="2977"/>
      </w:tabs>
      <w:spacing w:before="180" w:line="240" w:lineRule="auto"/>
      <w:ind w:left="1985" w:hanging="851"/>
    </w:pPr>
  </w:style>
  <w:style w:type="paragraph" w:customStyle="1" w:styleId="Portfolio">
    <w:name w:val="Portfolio"/>
    <w:basedOn w:val="OPCParaBase"/>
    <w:rsid w:val="00335B05"/>
    <w:pPr>
      <w:spacing w:line="240" w:lineRule="auto"/>
    </w:pPr>
    <w:rPr>
      <w:i/>
      <w:sz w:val="20"/>
    </w:rPr>
  </w:style>
  <w:style w:type="paragraph" w:customStyle="1" w:styleId="Preamble">
    <w:name w:val="Preamble"/>
    <w:basedOn w:val="OPCParaBase"/>
    <w:next w:val="Normal"/>
    <w:rsid w:val="00335B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35B05"/>
    <w:pPr>
      <w:spacing w:line="240" w:lineRule="auto"/>
    </w:pPr>
    <w:rPr>
      <w:i/>
      <w:sz w:val="20"/>
    </w:rPr>
  </w:style>
  <w:style w:type="paragraph" w:customStyle="1" w:styleId="Session">
    <w:name w:val="Session"/>
    <w:basedOn w:val="OPCParaBase"/>
    <w:rsid w:val="00335B05"/>
    <w:pPr>
      <w:spacing w:line="240" w:lineRule="auto"/>
    </w:pPr>
    <w:rPr>
      <w:sz w:val="28"/>
    </w:rPr>
  </w:style>
  <w:style w:type="paragraph" w:customStyle="1" w:styleId="Sponsor">
    <w:name w:val="Sponsor"/>
    <w:basedOn w:val="OPCParaBase"/>
    <w:rsid w:val="00335B05"/>
    <w:pPr>
      <w:spacing w:line="240" w:lineRule="auto"/>
    </w:pPr>
    <w:rPr>
      <w:i/>
    </w:rPr>
  </w:style>
  <w:style w:type="paragraph" w:customStyle="1" w:styleId="Subitem">
    <w:name w:val="Subitem"/>
    <w:aliases w:val="iss"/>
    <w:basedOn w:val="OPCParaBase"/>
    <w:rsid w:val="00335B05"/>
    <w:pPr>
      <w:spacing w:before="180" w:line="240" w:lineRule="auto"/>
      <w:ind w:left="709" w:hanging="709"/>
    </w:pPr>
  </w:style>
  <w:style w:type="paragraph" w:customStyle="1" w:styleId="SubitemHead">
    <w:name w:val="SubitemHead"/>
    <w:aliases w:val="issh"/>
    <w:basedOn w:val="OPCParaBase"/>
    <w:rsid w:val="00335B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35B05"/>
    <w:pPr>
      <w:spacing w:before="40" w:line="240" w:lineRule="auto"/>
      <w:ind w:left="1134"/>
    </w:pPr>
  </w:style>
  <w:style w:type="paragraph" w:customStyle="1" w:styleId="SubsectionHead">
    <w:name w:val="SubsectionHead"/>
    <w:aliases w:val="ssh"/>
    <w:basedOn w:val="OPCParaBase"/>
    <w:next w:val="subsection"/>
    <w:rsid w:val="00335B05"/>
    <w:pPr>
      <w:keepNext/>
      <w:keepLines/>
      <w:spacing w:before="240" w:line="240" w:lineRule="auto"/>
      <w:ind w:left="1134"/>
    </w:pPr>
    <w:rPr>
      <w:i/>
    </w:rPr>
  </w:style>
  <w:style w:type="paragraph" w:customStyle="1" w:styleId="Tablea">
    <w:name w:val="Table(a)"/>
    <w:aliases w:val="ta"/>
    <w:basedOn w:val="OPCParaBase"/>
    <w:rsid w:val="00335B05"/>
    <w:pPr>
      <w:spacing w:before="60" w:line="240" w:lineRule="auto"/>
      <w:ind w:left="284" w:hanging="284"/>
    </w:pPr>
    <w:rPr>
      <w:sz w:val="20"/>
    </w:rPr>
  </w:style>
  <w:style w:type="paragraph" w:customStyle="1" w:styleId="TableAA">
    <w:name w:val="Table(AA)"/>
    <w:aliases w:val="taaa"/>
    <w:basedOn w:val="OPCParaBase"/>
    <w:rsid w:val="00335B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35B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35B05"/>
    <w:pPr>
      <w:spacing w:before="60" w:line="240" w:lineRule="atLeast"/>
    </w:pPr>
    <w:rPr>
      <w:sz w:val="20"/>
    </w:rPr>
  </w:style>
  <w:style w:type="paragraph" w:customStyle="1" w:styleId="TLPBoxTextnote">
    <w:name w:val="TLPBoxText(note"/>
    <w:aliases w:val="right)"/>
    <w:basedOn w:val="OPCParaBase"/>
    <w:rsid w:val="00335B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35B0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35B05"/>
    <w:pPr>
      <w:spacing w:before="122" w:line="198" w:lineRule="exact"/>
      <w:ind w:left="1985" w:hanging="851"/>
      <w:jc w:val="right"/>
    </w:pPr>
    <w:rPr>
      <w:sz w:val="18"/>
    </w:rPr>
  </w:style>
  <w:style w:type="paragraph" w:customStyle="1" w:styleId="TLPTableBullet">
    <w:name w:val="TLPTableBullet"/>
    <w:aliases w:val="ttb"/>
    <w:basedOn w:val="OPCParaBase"/>
    <w:rsid w:val="00335B05"/>
    <w:pPr>
      <w:spacing w:line="240" w:lineRule="exact"/>
      <w:ind w:left="284" w:hanging="284"/>
    </w:pPr>
    <w:rPr>
      <w:sz w:val="20"/>
    </w:rPr>
  </w:style>
  <w:style w:type="paragraph" w:styleId="TOC1">
    <w:name w:val="toc 1"/>
    <w:basedOn w:val="OPCParaBase"/>
    <w:next w:val="Normal"/>
    <w:uiPriority w:val="39"/>
    <w:unhideWhenUsed/>
    <w:rsid w:val="00335B0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35B0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35B0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35B0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35B0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35B0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35B0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35B0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35B0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35B05"/>
    <w:pPr>
      <w:keepLines/>
      <w:spacing w:before="240" w:after="120" w:line="240" w:lineRule="auto"/>
      <w:ind w:left="794"/>
    </w:pPr>
    <w:rPr>
      <w:b/>
      <w:kern w:val="28"/>
      <w:sz w:val="20"/>
    </w:rPr>
  </w:style>
  <w:style w:type="paragraph" w:customStyle="1" w:styleId="TofSectsHeading">
    <w:name w:val="TofSects(Heading)"/>
    <w:basedOn w:val="OPCParaBase"/>
    <w:rsid w:val="00335B05"/>
    <w:pPr>
      <w:spacing w:before="240" w:after="120" w:line="240" w:lineRule="auto"/>
    </w:pPr>
    <w:rPr>
      <w:b/>
      <w:sz w:val="24"/>
    </w:rPr>
  </w:style>
  <w:style w:type="paragraph" w:customStyle="1" w:styleId="TofSectsSection">
    <w:name w:val="TofSects(Section)"/>
    <w:basedOn w:val="OPCParaBase"/>
    <w:rsid w:val="00335B05"/>
    <w:pPr>
      <w:keepLines/>
      <w:spacing w:before="40" w:line="240" w:lineRule="auto"/>
      <w:ind w:left="1588" w:hanging="794"/>
    </w:pPr>
    <w:rPr>
      <w:kern w:val="28"/>
      <w:sz w:val="18"/>
    </w:rPr>
  </w:style>
  <w:style w:type="paragraph" w:customStyle="1" w:styleId="TofSectsSubdiv">
    <w:name w:val="TofSects(Subdiv)"/>
    <w:basedOn w:val="OPCParaBase"/>
    <w:rsid w:val="00335B05"/>
    <w:pPr>
      <w:keepLines/>
      <w:spacing w:before="80" w:line="240" w:lineRule="auto"/>
      <w:ind w:left="1588" w:hanging="794"/>
    </w:pPr>
    <w:rPr>
      <w:kern w:val="28"/>
    </w:rPr>
  </w:style>
  <w:style w:type="paragraph" w:customStyle="1" w:styleId="WRStyle">
    <w:name w:val="WR Style"/>
    <w:aliases w:val="WR"/>
    <w:basedOn w:val="OPCParaBase"/>
    <w:rsid w:val="00335B05"/>
    <w:pPr>
      <w:spacing w:before="240" w:line="240" w:lineRule="auto"/>
      <w:ind w:left="284" w:hanging="284"/>
    </w:pPr>
    <w:rPr>
      <w:b/>
      <w:i/>
      <w:kern w:val="28"/>
      <w:sz w:val="24"/>
    </w:rPr>
  </w:style>
  <w:style w:type="paragraph" w:customStyle="1" w:styleId="notepara">
    <w:name w:val="note(para)"/>
    <w:aliases w:val="na"/>
    <w:basedOn w:val="OPCParaBase"/>
    <w:rsid w:val="00335B05"/>
    <w:pPr>
      <w:spacing w:before="40" w:line="198" w:lineRule="exact"/>
      <w:ind w:left="2354" w:hanging="369"/>
    </w:pPr>
    <w:rPr>
      <w:sz w:val="18"/>
    </w:rPr>
  </w:style>
  <w:style w:type="paragraph" w:styleId="Footer">
    <w:name w:val="footer"/>
    <w:link w:val="FooterChar"/>
    <w:rsid w:val="00335B0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35B05"/>
    <w:rPr>
      <w:rFonts w:eastAsia="Times New Roman" w:cs="Times New Roman"/>
      <w:sz w:val="22"/>
      <w:szCs w:val="24"/>
      <w:lang w:eastAsia="en-AU"/>
    </w:rPr>
  </w:style>
  <w:style w:type="character" w:styleId="LineNumber">
    <w:name w:val="line number"/>
    <w:basedOn w:val="OPCCharBase"/>
    <w:uiPriority w:val="99"/>
    <w:semiHidden/>
    <w:unhideWhenUsed/>
    <w:rsid w:val="00335B05"/>
    <w:rPr>
      <w:sz w:val="16"/>
    </w:rPr>
  </w:style>
  <w:style w:type="table" w:customStyle="1" w:styleId="CFlag">
    <w:name w:val="CFlag"/>
    <w:basedOn w:val="TableNormal"/>
    <w:uiPriority w:val="99"/>
    <w:rsid w:val="00335B05"/>
    <w:rPr>
      <w:rFonts w:eastAsia="Times New Roman" w:cs="Times New Roman"/>
      <w:lang w:eastAsia="en-AU"/>
    </w:rPr>
    <w:tblPr/>
  </w:style>
  <w:style w:type="paragraph" w:styleId="BalloonText">
    <w:name w:val="Balloon Text"/>
    <w:basedOn w:val="Normal"/>
    <w:link w:val="BalloonTextChar"/>
    <w:uiPriority w:val="99"/>
    <w:semiHidden/>
    <w:unhideWhenUsed/>
    <w:rsid w:val="00335B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05"/>
    <w:rPr>
      <w:rFonts w:ascii="Tahoma" w:hAnsi="Tahoma" w:cs="Tahoma"/>
      <w:sz w:val="16"/>
      <w:szCs w:val="16"/>
    </w:rPr>
  </w:style>
  <w:style w:type="table" w:styleId="TableGrid">
    <w:name w:val="Table Grid"/>
    <w:basedOn w:val="TableNormal"/>
    <w:uiPriority w:val="59"/>
    <w:rsid w:val="0033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35B05"/>
    <w:rPr>
      <w:b/>
      <w:sz w:val="28"/>
      <w:szCs w:val="32"/>
    </w:rPr>
  </w:style>
  <w:style w:type="paragraph" w:customStyle="1" w:styleId="TerritoryT">
    <w:name w:val="TerritoryT"/>
    <w:basedOn w:val="OPCParaBase"/>
    <w:next w:val="Normal"/>
    <w:rsid w:val="00E1244F"/>
    <w:rPr>
      <w:b/>
      <w:sz w:val="32"/>
    </w:rPr>
  </w:style>
  <w:style w:type="paragraph" w:customStyle="1" w:styleId="LegislationMadeUnder">
    <w:name w:val="LegislationMadeUnder"/>
    <w:basedOn w:val="OPCParaBase"/>
    <w:next w:val="Normal"/>
    <w:rsid w:val="00335B05"/>
    <w:rPr>
      <w:i/>
      <w:sz w:val="32"/>
      <w:szCs w:val="32"/>
    </w:rPr>
  </w:style>
  <w:style w:type="paragraph" w:customStyle="1" w:styleId="SignCoverPageEnd">
    <w:name w:val="SignCoverPageEnd"/>
    <w:basedOn w:val="OPCParaBase"/>
    <w:next w:val="Normal"/>
    <w:rsid w:val="00335B0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35B05"/>
    <w:pPr>
      <w:pBdr>
        <w:top w:val="single" w:sz="4" w:space="1" w:color="auto"/>
      </w:pBdr>
      <w:spacing w:before="360"/>
      <w:ind w:right="397"/>
      <w:jc w:val="both"/>
    </w:pPr>
  </w:style>
  <w:style w:type="paragraph" w:customStyle="1" w:styleId="NotesHeading2">
    <w:name w:val="NotesHeading 2"/>
    <w:basedOn w:val="OPCParaBase"/>
    <w:next w:val="Normal"/>
    <w:rsid w:val="00335B05"/>
    <w:rPr>
      <w:b/>
      <w:sz w:val="28"/>
      <w:szCs w:val="28"/>
    </w:rPr>
  </w:style>
  <w:style w:type="paragraph" w:customStyle="1" w:styleId="NotesHeading1">
    <w:name w:val="NotesHeading 1"/>
    <w:basedOn w:val="OPCParaBase"/>
    <w:next w:val="Normal"/>
    <w:rsid w:val="00335B05"/>
    <w:pPr>
      <w:outlineLvl w:val="0"/>
    </w:pPr>
    <w:rPr>
      <w:b/>
      <w:sz w:val="28"/>
      <w:szCs w:val="28"/>
    </w:rPr>
  </w:style>
  <w:style w:type="paragraph" w:customStyle="1" w:styleId="CompiledActNo">
    <w:name w:val="CompiledActNo"/>
    <w:basedOn w:val="OPCParaBase"/>
    <w:next w:val="Normal"/>
    <w:rsid w:val="00335B05"/>
    <w:rPr>
      <w:b/>
      <w:sz w:val="24"/>
      <w:szCs w:val="24"/>
    </w:rPr>
  </w:style>
  <w:style w:type="paragraph" w:customStyle="1" w:styleId="ENotesText">
    <w:name w:val="ENotesText"/>
    <w:aliases w:val="Ent"/>
    <w:basedOn w:val="OPCParaBase"/>
    <w:next w:val="Normal"/>
    <w:rsid w:val="00335B05"/>
    <w:pPr>
      <w:spacing w:before="120"/>
    </w:pPr>
  </w:style>
  <w:style w:type="paragraph" w:customStyle="1" w:styleId="CompiledMadeUnder">
    <w:name w:val="CompiledMadeUnder"/>
    <w:basedOn w:val="OPCParaBase"/>
    <w:next w:val="Normal"/>
    <w:rsid w:val="00335B05"/>
    <w:rPr>
      <w:i/>
      <w:sz w:val="24"/>
      <w:szCs w:val="24"/>
    </w:rPr>
  </w:style>
  <w:style w:type="paragraph" w:customStyle="1" w:styleId="Paragraphsub-sub-sub">
    <w:name w:val="Paragraph(sub-sub-sub)"/>
    <w:aliases w:val="aaaa"/>
    <w:basedOn w:val="OPCParaBase"/>
    <w:rsid w:val="00335B05"/>
    <w:pPr>
      <w:tabs>
        <w:tab w:val="right" w:pos="3402"/>
      </w:tabs>
      <w:spacing w:before="40" w:line="240" w:lineRule="auto"/>
      <w:ind w:left="3402" w:hanging="3402"/>
    </w:pPr>
  </w:style>
  <w:style w:type="paragraph" w:customStyle="1" w:styleId="TableTextEndNotes">
    <w:name w:val="TableTextEndNotes"/>
    <w:aliases w:val="Tten"/>
    <w:basedOn w:val="Normal"/>
    <w:rsid w:val="00335B05"/>
    <w:pPr>
      <w:spacing w:before="60" w:line="240" w:lineRule="auto"/>
    </w:pPr>
    <w:rPr>
      <w:rFonts w:cs="Arial"/>
      <w:sz w:val="20"/>
      <w:szCs w:val="22"/>
    </w:rPr>
  </w:style>
  <w:style w:type="paragraph" w:customStyle="1" w:styleId="NoteToSubpara">
    <w:name w:val="NoteToSubpara"/>
    <w:aliases w:val="nts"/>
    <w:basedOn w:val="OPCParaBase"/>
    <w:rsid w:val="00335B05"/>
    <w:pPr>
      <w:spacing w:before="40" w:line="198" w:lineRule="exact"/>
      <w:ind w:left="2835" w:hanging="709"/>
    </w:pPr>
    <w:rPr>
      <w:sz w:val="18"/>
    </w:rPr>
  </w:style>
  <w:style w:type="paragraph" w:customStyle="1" w:styleId="ENoteTableHeading">
    <w:name w:val="ENoteTableHeading"/>
    <w:aliases w:val="enth"/>
    <w:basedOn w:val="OPCParaBase"/>
    <w:rsid w:val="00335B05"/>
    <w:pPr>
      <w:keepNext/>
      <w:spacing w:before="60" w:line="240" w:lineRule="atLeast"/>
    </w:pPr>
    <w:rPr>
      <w:rFonts w:ascii="Arial" w:hAnsi="Arial"/>
      <w:b/>
      <w:sz w:val="16"/>
    </w:rPr>
  </w:style>
  <w:style w:type="paragraph" w:customStyle="1" w:styleId="ENoteTTi">
    <w:name w:val="ENoteTTi"/>
    <w:aliases w:val="entti"/>
    <w:basedOn w:val="OPCParaBase"/>
    <w:rsid w:val="00335B05"/>
    <w:pPr>
      <w:keepNext/>
      <w:spacing w:before="60" w:line="240" w:lineRule="atLeast"/>
      <w:ind w:left="170"/>
    </w:pPr>
    <w:rPr>
      <w:sz w:val="16"/>
    </w:rPr>
  </w:style>
  <w:style w:type="paragraph" w:customStyle="1" w:styleId="ENotesHeading1">
    <w:name w:val="ENotesHeading 1"/>
    <w:aliases w:val="Enh1"/>
    <w:basedOn w:val="OPCParaBase"/>
    <w:next w:val="Normal"/>
    <w:rsid w:val="00335B05"/>
    <w:pPr>
      <w:spacing w:before="120"/>
      <w:outlineLvl w:val="1"/>
    </w:pPr>
    <w:rPr>
      <w:b/>
      <w:sz w:val="28"/>
      <w:szCs w:val="28"/>
    </w:rPr>
  </w:style>
  <w:style w:type="paragraph" w:customStyle="1" w:styleId="ENotesHeading2">
    <w:name w:val="ENotesHeading 2"/>
    <w:aliases w:val="Enh2"/>
    <w:basedOn w:val="OPCParaBase"/>
    <w:next w:val="Normal"/>
    <w:rsid w:val="00335B05"/>
    <w:pPr>
      <w:spacing w:before="120" w:after="120"/>
      <w:outlineLvl w:val="2"/>
    </w:pPr>
    <w:rPr>
      <w:b/>
      <w:sz w:val="24"/>
      <w:szCs w:val="28"/>
    </w:rPr>
  </w:style>
  <w:style w:type="paragraph" w:customStyle="1" w:styleId="ENoteTTIndentHeading">
    <w:name w:val="ENoteTTIndentHeading"/>
    <w:aliases w:val="enTTHi"/>
    <w:basedOn w:val="OPCParaBase"/>
    <w:rsid w:val="00335B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35B05"/>
    <w:pPr>
      <w:spacing w:before="60" w:line="240" w:lineRule="atLeast"/>
    </w:pPr>
    <w:rPr>
      <w:sz w:val="16"/>
    </w:rPr>
  </w:style>
  <w:style w:type="paragraph" w:customStyle="1" w:styleId="MadeunderText">
    <w:name w:val="MadeunderText"/>
    <w:basedOn w:val="OPCParaBase"/>
    <w:next w:val="CompiledMadeUnder"/>
    <w:rsid w:val="00335B05"/>
    <w:pPr>
      <w:spacing w:before="240"/>
    </w:pPr>
    <w:rPr>
      <w:sz w:val="24"/>
      <w:szCs w:val="24"/>
    </w:rPr>
  </w:style>
  <w:style w:type="paragraph" w:customStyle="1" w:styleId="ENotesHeading3">
    <w:name w:val="ENotesHeading 3"/>
    <w:aliases w:val="Enh3"/>
    <w:basedOn w:val="OPCParaBase"/>
    <w:next w:val="Normal"/>
    <w:rsid w:val="00335B05"/>
    <w:pPr>
      <w:keepNext/>
      <w:spacing w:before="120" w:line="240" w:lineRule="auto"/>
      <w:outlineLvl w:val="4"/>
    </w:pPr>
    <w:rPr>
      <w:b/>
      <w:szCs w:val="24"/>
    </w:rPr>
  </w:style>
  <w:style w:type="character" w:customStyle="1" w:styleId="CharSubPartTextCASA">
    <w:name w:val="CharSubPartText(CASA)"/>
    <w:basedOn w:val="OPCCharBase"/>
    <w:uiPriority w:val="1"/>
    <w:rsid w:val="00335B05"/>
  </w:style>
  <w:style w:type="character" w:customStyle="1" w:styleId="CharSubPartNoCASA">
    <w:name w:val="CharSubPartNo(CASA)"/>
    <w:basedOn w:val="OPCCharBase"/>
    <w:uiPriority w:val="1"/>
    <w:rsid w:val="00335B05"/>
  </w:style>
  <w:style w:type="paragraph" w:customStyle="1" w:styleId="ENoteTTIndentHeadingSub">
    <w:name w:val="ENoteTTIndentHeadingSub"/>
    <w:aliases w:val="enTTHis"/>
    <w:basedOn w:val="OPCParaBase"/>
    <w:rsid w:val="00335B05"/>
    <w:pPr>
      <w:keepNext/>
      <w:spacing w:before="60" w:line="240" w:lineRule="atLeast"/>
      <w:ind w:left="340"/>
    </w:pPr>
    <w:rPr>
      <w:b/>
      <w:sz w:val="16"/>
    </w:rPr>
  </w:style>
  <w:style w:type="paragraph" w:customStyle="1" w:styleId="ENoteTTiSub">
    <w:name w:val="ENoteTTiSub"/>
    <w:aliases w:val="enttis"/>
    <w:basedOn w:val="OPCParaBase"/>
    <w:rsid w:val="00335B05"/>
    <w:pPr>
      <w:keepNext/>
      <w:spacing w:before="60" w:line="240" w:lineRule="atLeast"/>
      <w:ind w:left="340"/>
    </w:pPr>
    <w:rPr>
      <w:sz w:val="16"/>
    </w:rPr>
  </w:style>
  <w:style w:type="paragraph" w:customStyle="1" w:styleId="SubDivisionMigration">
    <w:name w:val="SubDivisionMigration"/>
    <w:aliases w:val="sdm"/>
    <w:basedOn w:val="OPCParaBase"/>
    <w:rsid w:val="00335B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35B05"/>
    <w:pPr>
      <w:keepNext/>
      <w:keepLines/>
      <w:spacing w:before="240" w:line="240" w:lineRule="auto"/>
      <w:ind w:left="1134" w:hanging="1134"/>
    </w:pPr>
    <w:rPr>
      <w:b/>
      <w:sz w:val="28"/>
    </w:rPr>
  </w:style>
  <w:style w:type="paragraph" w:customStyle="1" w:styleId="FreeForm">
    <w:name w:val="FreeForm"/>
    <w:rsid w:val="00F00CF6"/>
    <w:rPr>
      <w:rFonts w:ascii="Arial" w:hAnsi="Arial"/>
      <w:sz w:val="22"/>
    </w:rPr>
  </w:style>
  <w:style w:type="paragraph" w:customStyle="1" w:styleId="SOText">
    <w:name w:val="SO Text"/>
    <w:aliases w:val="sot"/>
    <w:link w:val="SOTextChar"/>
    <w:rsid w:val="00335B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35B05"/>
    <w:rPr>
      <w:sz w:val="22"/>
    </w:rPr>
  </w:style>
  <w:style w:type="paragraph" w:customStyle="1" w:styleId="SOTextNote">
    <w:name w:val="SO TextNote"/>
    <w:aliases w:val="sont"/>
    <w:basedOn w:val="SOText"/>
    <w:qFormat/>
    <w:rsid w:val="00335B05"/>
    <w:pPr>
      <w:spacing w:before="122" w:line="198" w:lineRule="exact"/>
      <w:ind w:left="1843" w:hanging="709"/>
    </w:pPr>
    <w:rPr>
      <w:sz w:val="18"/>
    </w:rPr>
  </w:style>
  <w:style w:type="paragraph" w:customStyle="1" w:styleId="SOPara">
    <w:name w:val="SO Para"/>
    <w:aliases w:val="soa"/>
    <w:basedOn w:val="SOText"/>
    <w:link w:val="SOParaChar"/>
    <w:qFormat/>
    <w:rsid w:val="00335B05"/>
    <w:pPr>
      <w:tabs>
        <w:tab w:val="right" w:pos="1786"/>
      </w:tabs>
      <w:spacing w:before="40"/>
      <w:ind w:left="2070" w:hanging="936"/>
    </w:pPr>
  </w:style>
  <w:style w:type="character" w:customStyle="1" w:styleId="SOParaChar">
    <w:name w:val="SO Para Char"/>
    <w:aliases w:val="soa Char"/>
    <w:basedOn w:val="DefaultParagraphFont"/>
    <w:link w:val="SOPara"/>
    <w:rsid w:val="00335B05"/>
    <w:rPr>
      <w:sz w:val="22"/>
    </w:rPr>
  </w:style>
  <w:style w:type="paragraph" w:customStyle="1" w:styleId="FileName">
    <w:name w:val="FileName"/>
    <w:basedOn w:val="Normal"/>
    <w:rsid w:val="00335B05"/>
  </w:style>
  <w:style w:type="paragraph" w:customStyle="1" w:styleId="TableHeading">
    <w:name w:val="TableHeading"/>
    <w:aliases w:val="th"/>
    <w:basedOn w:val="OPCParaBase"/>
    <w:next w:val="Tabletext"/>
    <w:rsid w:val="00335B05"/>
    <w:pPr>
      <w:keepNext/>
      <w:spacing w:before="60" w:line="240" w:lineRule="atLeast"/>
    </w:pPr>
    <w:rPr>
      <w:b/>
      <w:sz w:val="20"/>
    </w:rPr>
  </w:style>
  <w:style w:type="paragraph" w:customStyle="1" w:styleId="SOHeadBold">
    <w:name w:val="SO HeadBold"/>
    <w:aliases w:val="sohb"/>
    <w:basedOn w:val="SOText"/>
    <w:next w:val="SOText"/>
    <w:link w:val="SOHeadBoldChar"/>
    <w:qFormat/>
    <w:rsid w:val="00335B05"/>
    <w:rPr>
      <w:b/>
    </w:rPr>
  </w:style>
  <w:style w:type="character" w:customStyle="1" w:styleId="SOHeadBoldChar">
    <w:name w:val="SO HeadBold Char"/>
    <w:aliases w:val="sohb Char"/>
    <w:basedOn w:val="DefaultParagraphFont"/>
    <w:link w:val="SOHeadBold"/>
    <w:rsid w:val="00335B05"/>
    <w:rPr>
      <w:b/>
      <w:sz w:val="22"/>
    </w:rPr>
  </w:style>
  <w:style w:type="paragraph" w:customStyle="1" w:styleId="SOHeadItalic">
    <w:name w:val="SO HeadItalic"/>
    <w:aliases w:val="sohi"/>
    <w:basedOn w:val="SOText"/>
    <w:next w:val="SOText"/>
    <w:link w:val="SOHeadItalicChar"/>
    <w:qFormat/>
    <w:rsid w:val="00335B05"/>
    <w:rPr>
      <w:i/>
    </w:rPr>
  </w:style>
  <w:style w:type="character" w:customStyle="1" w:styleId="SOHeadItalicChar">
    <w:name w:val="SO HeadItalic Char"/>
    <w:aliases w:val="sohi Char"/>
    <w:basedOn w:val="DefaultParagraphFont"/>
    <w:link w:val="SOHeadItalic"/>
    <w:rsid w:val="00335B05"/>
    <w:rPr>
      <w:i/>
      <w:sz w:val="22"/>
    </w:rPr>
  </w:style>
  <w:style w:type="paragraph" w:customStyle="1" w:styleId="SOBullet">
    <w:name w:val="SO Bullet"/>
    <w:aliases w:val="sotb"/>
    <w:basedOn w:val="SOText"/>
    <w:link w:val="SOBulletChar"/>
    <w:qFormat/>
    <w:rsid w:val="00335B05"/>
    <w:pPr>
      <w:ind w:left="1559" w:hanging="425"/>
    </w:pPr>
  </w:style>
  <w:style w:type="character" w:customStyle="1" w:styleId="SOBulletChar">
    <w:name w:val="SO Bullet Char"/>
    <w:aliases w:val="sotb Char"/>
    <w:basedOn w:val="DefaultParagraphFont"/>
    <w:link w:val="SOBullet"/>
    <w:rsid w:val="00335B05"/>
    <w:rPr>
      <w:sz w:val="22"/>
    </w:rPr>
  </w:style>
  <w:style w:type="paragraph" w:customStyle="1" w:styleId="SOBulletNote">
    <w:name w:val="SO BulletNote"/>
    <w:aliases w:val="sonb"/>
    <w:basedOn w:val="SOTextNote"/>
    <w:link w:val="SOBulletNoteChar"/>
    <w:qFormat/>
    <w:rsid w:val="00335B05"/>
    <w:pPr>
      <w:tabs>
        <w:tab w:val="left" w:pos="1560"/>
      </w:tabs>
      <w:ind w:left="2268" w:hanging="1134"/>
    </w:pPr>
  </w:style>
  <w:style w:type="character" w:customStyle="1" w:styleId="SOBulletNoteChar">
    <w:name w:val="SO BulletNote Char"/>
    <w:aliases w:val="sonb Char"/>
    <w:basedOn w:val="DefaultParagraphFont"/>
    <w:link w:val="SOBulletNote"/>
    <w:rsid w:val="00335B05"/>
    <w:rPr>
      <w:sz w:val="18"/>
    </w:rPr>
  </w:style>
  <w:style w:type="paragraph" w:customStyle="1" w:styleId="SOText2">
    <w:name w:val="SO Text2"/>
    <w:aliases w:val="sot2"/>
    <w:basedOn w:val="Normal"/>
    <w:next w:val="SOText"/>
    <w:link w:val="SOText2Char"/>
    <w:rsid w:val="00335B0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5B05"/>
    <w:rPr>
      <w:sz w:val="22"/>
    </w:rPr>
  </w:style>
  <w:style w:type="paragraph" w:customStyle="1" w:styleId="SubPartCASA">
    <w:name w:val="SubPart(CASA)"/>
    <w:aliases w:val="csp"/>
    <w:basedOn w:val="OPCParaBase"/>
    <w:next w:val="ActHead3"/>
    <w:rsid w:val="00335B0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E180E"/>
    <w:rPr>
      <w:rFonts w:eastAsia="Times New Roman" w:cs="Times New Roman"/>
      <w:sz w:val="22"/>
      <w:lang w:eastAsia="en-AU"/>
    </w:rPr>
  </w:style>
  <w:style w:type="character" w:customStyle="1" w:styleId="notetextChar">
    <w:name w:val="note(text) Char"/>
    <w:aliases w:val="n Char"/>
    <w:basedOn w:val="DefaultParagraphFont"/>
    <w:link w:val="notetext"/>
    <w:rsid w:val="003E180E"/>
    <w:rPr>
      <w:rFonts w:eastAsia="Times New Roman" w:cs="Times New Roman"/>
      <w:sz w:val="18"/>
      <w:lang w:eastAsia="en-AU"/>
    </w:rPr>
  </w:style>
  <w:style w:type="character" w:customStyle="1" w:styleId="Heading1Char">
    <w:name w:val="Heading 1 Char"/>
    <w:basedOn w:val="DefaultParagraphFont"/>
    <w:link w:val="Heading1"/>
    <w:rsid w:val="003E18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18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E180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E180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3E180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3E180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E180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E180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E180E"/>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locked/>
    <w:rsid w:val="003E180E"/>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3E180E"/>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7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1136-92A8-46CD-8A4B-8EA31646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21</Pages>
  <Words>4435</Words>
  <Characters>25282</Characters>
  <Application>Microsoft Office Word</Application>
  <DocSecurity>0</DocSecurity>
  <PresentationFormat/>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2016-09-20T06:00:00Z</cp:lastPrinted>
  <dcterms:created xsi:type="dcterms:W3CDTF">2016-12-05T00:34:00Z</dcterms:created>
  <dcterms:modified xsi:type="dcterms:W3CDTF">2016-12-05T22:12:00Z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Australian Citizenship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08 December 2016</vt:lpwstr>
  </property>
  <property fmtid="{D5CDD505-2E9C-101B-9397-08002B2CF9AE}" pid="9" name="Exco">
    <vt:lpwstr>Yes</vt:lpwstr>
  </property>
  <property fmtid="{D5CDD505-2E9C-101B-9397-08002B2CF9AE}" pid="10" name="Authority">
    <vt:lpwstr/>
  </property>
  <property fmtid="{D5CDD505-2E9C-101B-9397-08002B2CF9AE}" pid="11" name="ID">
    <vt:lpwstr>OPC62061</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08 December 2016</vt:lpwstr>
  </property>
</Properties>
</file>