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881" w:rsidRPr="00315A92" w:rsidRDefault="00610881" w:rsidP="00937E87">
      <w:pPr>
        <w:jc w:val="both"/>
        <w:rPr>
          <w:rFonts w:ascii="Arial" w:hAnsi="Arial" w:cs="Arial"/>
        </w:rPr>
      </w:pPr>
    </w:p>
    <w:p w:rsidR="00B47452" w:rsidRDefault="00B47452" w:rsidP="00937E87">
      <w:pPr>
        <w:jc w:val="center"/>
        <w:rPr>
          <w:rFonts w:ascii="Arial" w:hAnsi="Arial" w:cs="Arial"/>
          <w:u w:val="single"/>
        </w:rPr>
      </w:pPr>
    </w:p>
    <w:p w:rsidR="001D6195" w:rsidRDefault="001D6195" w:rsidP="00937E87">
      <w:pPr>
        <w:jc w:val="center"/>
        <w:rPr>
          <w:rFonts w:ascii="Arial" w:hAnsi="Arial" w:cs="Arial"/>
          <w:u w:val="single"/>
        </w:rPr>
      </w:pPr>
      <w:bookmarkStart w:id="0" w:name="_GoBack"/>
      <w:bookmarkEnd w:id="0"/>
    </w:p>
    <w:p w:rsidR="00315A92" w:rsidRPr="00315A92" w:rsidRDefault="00315A92" w:rsidP="00D16791">
      <w:pPr>
        <w:jc w:val="center"/>
        <w:rPr>
          <w:rFonts w:ascii="Arial" w:hAnsi="Arial" w:cs="Arial"/>
          <w:u w:val="single"/>
        </w:rPr>
      </w:pPr>
      <w:r w:rsidRPr="00315A92">
        <w:rPr>
          <w:rFonts w:ascii="Arial" w:hAnsi="Arial" w:cs="Arial"/>
          <w:u w:val="single"/>
        </w:rPr>
        <w:t xml:space="preserve">HIGH COURT </w:t>
      </w:r>
      <w:r w:rsidR="00205BED">
        <w:rPr>
          <w:rFonts w:ascii="Arial" w:hAnsi="Arial" w:cs="Arial"/>
          <w:u w:val="single"/>
        </w:rPr>
        <w:t xml:space="preserve">AMENDMENT </w:t>
      </w:r>
      <w:r w:rsidR="0012618D">
        <w:rPr>
          <w:rFonts w:ascii="Arial" w:hAnsi="Arial" w:cs="Arial"/>
          <w:u w:val="single"/>
        </w:rPr>
        <w:t>(</w:t>
      </w:r>
      <w:r w:rsidR="003A4400">
        <w:rPr>
          <w:rFonts w:ascii="Arial" w:hAnsi="Arial" w:cs="Arial"/>
          <w:u w:val="single"/>
        </w:rPr>
        <w:t>2016 MEASURES No. 2</w:t>
      </w:r>
      <w:r w:rsidR="0012618D">
        <w:rPr>
          <w:rFonts w:ascii="Arial" w:hAnsi="Arial" w:cs="Arial"/>
          <w:u w:val="single"/>
        </w:rPr>
        <w:t xml:space="preserve">) </w:t>
      </w:r>
      <w:r w:rsidRPr="00315A92">
        <w:rPr>
          <w:rFonts w:ascii="Arial" w:hAnsi="Arial" w:cs="Arial"/>
          <w:u w:val="single"/>
        </w:rPr>
        <w:t>RULE</w:t>
      </w:r>
      <w:r w:rsidR="00205BED">
        <w:rPr>
          <w:rFonts w:ascii="Arial" w:hAnsi="Arial" w:cs="Arial"/>
          <w:u w:val="single"/>
        </w:rPr>
        <w:t>S</w:t>
      </w:r>
      <w:r w:rsidR="009726D2">
        <w:rPr>
          <w:rFonts w:ascii="Arial" w:hAnsi="Arial" w:cs="Arial"/>
          <w:u w:val="single"/>
        </w:rPr>
        <w:t xml:space="preserve"> 201</w:t>
      </w:r>
      <w:r w:rsidR="001C496F">
        <w:rPr>
          <w:rFonts w:ascii="Arial" w:hAnsi="Arial" w:cs="Arial"/>
          <w:u w:val="single"/>
        </w:rPr>
        <w:t>6</w:t>
      </w:r>
    </w:p>
    <w:p w:rsidR="00315A92" w:rsidRPr="00315A92" w:rsidRDefault="003A4400" w:rsidP="00937E87">
      <w:pPr>
        <w:jc w:val="center"/>
        <w:rPr>
          <w:rFonts w:ascii="Arial" w:hAnsi="Arial" w:cs="Arial"/>
          <w:u w:val="single"/>
        </w:rPr>
      </w:pPr>
      <w:r>
        <w:rPr>
          <w:rFonts w:ascii="Arial" w:hAnsi="Arial" w:cs="Arial"/>
          <w:u w:val="single"/>
        </w:rPr>
        <w:t>6 DECEMBER</w:t>
      </w:r>
      <w:r w:rsidR="00040EC3" w:rsidRPr="00B47452">
        <w:rPr>
          <w:rFonts w:ascii="Arial" w:hAnsi="Arial" w:cs="Arial"/>
          <w:u w:val="single"/>
        </w:rPr>
        <w:t xml:space="preserve"> </w:t>
      </w:r>
      <w:r w:rsidR="00176692" w:rsidRPr="00B47452">
        <w:rPr>
          <w:rFonts w:ascii="Arial" w:hAnsi="Arial" w:cs="Arial"/>
          <w:u w:val="single"/>
        </w:rPr>
        <w:t>2016</w:t>
      </w:r>
      <w:r w:rsidR="00315A92" w:rsidRPr="00315A92">
        <w:rPr>
          <w:rFonts w:ascii="Arial" w:hAnsi="Arial" w:cs="Arial"/>
          <w:u w:val="single"/>
        </w:rPr>
        <w:br/>
        <w:t>EXPLANATORY STATEMENT</w:t>
      </w:r>
    </w:p>
    <w:p w:rsidR="00315A92" w:rsidRPr="00315A92" w:rsidRDefault="00315A92" w:rsidP="00937E87">
      <w:pPr>
        <w:jc w:val="both"/>
        <w:rPr>
          <w:rFonts w:ascii="Arial" w:hAnsi="Arial" w:cs="Arial"/>
        </w:rPr>
      </w:pPr>
    </w:p>
    <w:p w:rsidR="00315A92" w:rsidRDefault="00315A92" w:rsidP="00937E87">
      <w:pPr>
        <w:jc w:val="both"/>
        <w:rPr>
          <w:rFonts w:ascii="Arial" w:hAnsi="Arial" w:cs="Arial"/>
        </w:rPr>
      </w:pPr>
      <w:r>
        <w:rPr>
          <w:rFonts w:ascii="Arial" w:hAnsi="Arial" w:cs="Arial"/>
        </w:rPr>
        <w:t xml:space="preserve">These </w:t>
      </w:r>
      <w:r w:rsidR="00205BED">
        <w:rPr>
          <w:rFonts w:ascii="Arial" w:hAnsi="Arial" w:cs="Arial"/>
        </w:rPr>
        <w:t xml:space="preserve">Amendment </w:t>
      </w:r>
      <w:r>
        <w:rPr>
          <w:rFonts w:ascii="Arial" w:hAnsi="Arial" w:cs="Arial"/>
        </w:rPr>
        <w:t>Rules of Court</w:t>
      </w:r>
      <w:r w:rsidR="00205BED">
        <w:rPr>
          <w:rFonts w:ascii="Arial" w:hAnsi="Arial" w:cs="Arial"/>
        </w:rPr>
        <w:t>,</w:t>
      </w:r>
      <w:r>
        <w:rPr>
          <w:rFonts w:ascii="Arial" w:hAnsi="Arial" w:cs="Arial"/>
        </w:rPr>
        <w:t xml:space="preserve"> </w:t>
      </w:r>
      <w:r w:rsidR="00205BED">
        <w:rPr>
          <w:rFonts w:ascii="Arial" w:hAnsi="Arial" w:cs="Arial"/>
        </w:rPr>
        <w:t xml:space="preserve">signed by the Justices </w:t>
      </w:r>
      <w:r w:rsidR="00205BED" w:rsidRPr="00F71D1C">
        <w:rPr>
          <w:rFonts w:ascii="Arial" w:hAnsi="Arial" w:cs="Arial"/>
        </w:rPr>
        <w:t>on</w:t>
      </w:r>
      <w:r w:rsidR="003519D5" w:rsidRPr="00F71D1C">
        <w:rPr>
          <w:rFonts w:ascii="Arial" w:hAnsi="Arial" w:cs="Arial"/>
        </w:rPr>
        <w:t xml:space="preserve"> </w:t>
      </w:r>
      <w:r w:rsidR="003A4400">
        <w:rPr>
          <w:rFonts w:ascii="Arial" w:hAnsi="Arial" w:cs="Arial"/>
        </w:rPr>
        <w:t>6 December</w:t>
      </w:r>
      <w:r w:rsidR="00040EC3" w:rsidRPr="00B47452">
        <w:rPr>
          <w:rFonts w:ascii="Arial" w:hAnsi="Arial" w:cs="Arial"/>
        </w:rPr>
        <w:t xml:space="preserve"> </w:t>
      </w:r>
      <w:r w:rsidR="00176692" w:rsidRPr="00B47452">
        <w:rPr>
          <w:rFonts w:ascii="Arial" w:hAnsi="Arial" w:cs="Arial"/>
        </w:rPr>
        <w:t>2016</w:t>
      </w:r>
      <w:r w:rsidR="00205BED">
        <w:rPr>
          <w:rFonts w:ascii="Arial" w:hAnsi="Arial" w:cs="Arial"/>
        </w:rPr>
        <w:t xml:space="preserve">, </w:t>
      </w:r>
      <w:r>
        <w:rPr>
          <w:rFonts w:ascii="Arial" w:hAnsi="Arial" w:cs="Arial"/>
        </w:rPr>
        <w:t xml:space="preserve">are made by the </w:t>
      </w:r>
      <w:r w:rsidRPr="003453E1">
        <w:rPr>
          <w:rFonts w:ascii="Arial" w:hAnsi="Arial" w:cs="Arial"/>
        </w:rPr>
        <w:t xml:space="preserve">Justices under the </w:t>
      </w:r>
      <w:r w:rsidRPr="003453E1">
        <w:rPr>
          <w:rFonts w:ascii="Arial" w:hAnsi="Arial" w:cs="Arial"/>
          <w:i/>
        </w:rPr>
        <w:t xml:space="preserve">Judiciary Act </w:t>
      </w:r>
      <w:r w:rsidRPr="003453E1">
        <w:rPr>
          <w:rFonts w:ascii="Arial" w:hAnsi="Arial" w:cs="Arial"/>
        </w:rPr>
        <w:t>1903</w:t>
      </w:r>
      <w:r w:rsidR="004822BC" w:rsidRPr="003453E1">
        <w:rPr>
          <w:rFonts w:ascii="Arial" w:hAnsi="Arial" w:cs="Arial"/>
        </w:rPr>
        <w:t xml:space="preserve">, the </w:t>
      </w:r>
      <w:r w:rsidR="004822BC" w:rsidRPr="003453E1">
        <w:rPr>
          <w:rFonts w:ascii="Arial" w:hAnsi="Arial" w:cs="Arial"/>
          <w:i/>
        </w:rPr>
        <w:t>Commonwealth Electoral Act</w:t>
      </w:r>
      <w:r w:rsidR="004822BC" w:rsidRPr="003453E1">
        <w:rPr>
          <w:rFonts w:ascii="Arial" w:hAnsi="Arial" w:cs="Arial"/>
        </w:rPr>
        <w:t xml:space="preserve"> 1918, the </w:t>
      </w:r>
      <w:r w:rsidR="004822BC" w:rsidRPr="003453E1">
        <w:rPr>
          <w:rFonts w:ascii="Arial" w:hAnsi="Arial" w:cs="Arial"/>
          <w:i/>
        </w:rPr>
        <w:t xml:space="preserve">Nauru (High Court Appeals) Act </w:t>
      </w:r>
      <w:r w:rsidR="004822BC" w:rsidRPr="003453E1">
        <w:rPr>
          <w:rFonts w:ascii="Arial" w:hAnsi="Arial" w:cs="Arial"/>
        </w:rPr>
        <w:t>1976</w:t>
      </w:r>
      <w:r w:rsidR="004822BC" w:rsidRPr="003453E1">
        <w:rPr>
          <w:rFonts w:ascii="Arial" w:hAnsi="Arial" w:cs="Arial"/>
          <w:i/>
        </w:rPr>
        <w:t xml:space="preserve"> </w:t>
      </w:r>
      <w:r w:rsidR="004822BC" w:rsidRPr="003453E1">
        <w:rPr>
          <w:rFonts w:ascii="Arial" w:hAnsi="Arial" w:cs="Arial"/>
        </w:rPr>
        <w:t>and the</w:t>
      </w:r>
      <w:r w:rsidR="004822BC" w:rsidRPr="003453E1">
        <w:rPr>
          <w:rFonts w:ascii="Arial" w:hAnsi="Arial" w:cs="Arial"/>
          <w:i/>
        </w:rPr>
        <w:t xml:space="preserve"> High Court of Australia Act </w:t>
      </w:r>
      <w:r w:rsidR="004822BC" w:rsidRPr="003453E1">
        <w:rPr>
          <w:rFonts w:ascii="Arial" w:hAnsi="Arial" w:cs="Arial"/>
        </w:rPr>
        <w:t>1979</w:t>
      </w:r>
      <w:r w:rsidR="004822BC">
        <w:rPr>
          <w:rFonts w:ascii="Arial" w:hAnsi="Arial" w:cs="Arial"/>
        </w:rPr>
        <w:t>.</w:t>
      </w:r>
    </w:p>
    <w:p w:rsidR="003453E1" w:rsidRDefault="003453E1" w:rsidP="00937E87">
      <w:pPr>
        <w:jc w:val="both"/>
        <w:rPr>
          <w:rFonts w:ascii="Arial" w:hAnsi="Arial" w:cs="Arial"/>
        </w:rPr>
      </w:pPr>
    </w:p>
    <w:p w:rsidR="003A4400" w:rsidRDefault="003A4400" w:rsidP="003A4400">
      <w:pPr>
        <w:ind w:right="-46"/>
        <w:jc w:val="both"/>
        <w:rPr>
          <w:rFonts w:ascii="Arial" w:hAnsi="Arial" w:cs="Arial"/>
          <w:szCs w:val="24"/>
        </w:rPr>
      </w:pPr>
      <w:r>
        <w:rPr>
          <w:rFonts w:ascii="Arial" w:hAnsi="Arial" w:cs="Arial"/>
          <w:szCs w:val="24"/>
        </w:rPr>
        <w:t xml:space="preserve">The Justices of the Court propose amendments to the </w:t>
      </w:r>
      <w:r w:rsidRPr="00ED611B">
        <w:rPr>
          <w:rFonts w:ascii="Arial" w:hAnsi="Arial" w:cs="Arial"/>
          <w:i/>
          <w:szCs w:val="24"/>
        </w:rPr>
        <w:t>High Court Rules</w:t>
      </w:r>
      <w:r>
        <w:rPr>
          <w:rFonts w:ascii="Arial" w:hAnsi="Arial" w:cs="Arial"/>
          <w:szCs w:val="24"/>
        </w:rPr>
        <w:t xml:space="preserve"> 2004 to clarify the requirements of initiating documents filed by parties (for example, applications for an order to show cause and applications for removal) and of initiating process issued by the Court (such as writs of summons and subpoenas).</w:t>
      </w:r>
    </w:p>
    <w:p w:rsidR="003A4400" w:rsidRDefault="003A4400" w:rsidP="003A4400">
      <w:pPr>
        <w:ind w:right="-46"/>
        <w:jc w:val="both"/>
        <w:rPr>
          <w:rFonts w:ascii="Arial" w:hAnsi="Arial" w:cs="Arial"/>
          <w:szCs w:val="24"/>
        </w:rPr>
      </w:pPr>
    </w:p>
    <w:p w:rsidR="003A4400" w:rsidRDefault="003A4400" w:rsidP="003A4400">
      <w:pPr>
        <w:ind w:right="-46"/>
        <w:jc w:val="both"/>
        <w:rPr>
          <w:rFonts w:ascii="Arial" w:hAnsi="Arial" w:cs="Arial"/>
          <w:szCs w:val="24"/>
        </w:rPr>
      </w:pPr>
      <w:r>
        <w:rPr>
          <w:rFonts w:ascii="Arial" w:hAnsi="Arial" w:cs="Arial"/>
          <w:szCs w:val="24"/>
        </w:rPr>
        <w:t xml:space="preserve">The aim of these amendments is to ensure that the Rules and the Forms prescribed by the Rules reflect the requirements of s 33 of the </w:t>
      </w:r>
      <w:r>
        <w:rPr>
          <w:rFonts w:ascii="Arial" w:hAnsi="Arial" w:cs="Arial"/>
          <w:i/>
          <w:szCs w:val="24"/>
        </w:rPr>
        <w:t xml:space="preserve">High Court of Australia Act </w:t>
      </w:r>
      <w:r>
        <w:rPr>
          <w:rFonts w:ascii="Arial" w:hAnsi="Arial" w:cs="Arial"/>
          <w:szCs w:val="24"/>
        </w:rPr>
        <w:t>1979 (Cth) which provides:</w:t>
      </w:r>
    </w:p>
    <w:p w:rsidR="003A4400" w:rsidRPr="00022D78" w:rsidRDefault="003A4400" w:rsidP="005E1F64">
      <w:pPr>
        <w:pStyle w:val="ActHead5"/>
        <w:ind w:right="796" w:hanging="414"/>
        <w:rPr>
          <w:rFonts w:ascii="Arial" w:hAnsi="Arial" w:cs="Arial"/>
          <w:sz w:val="20"/>
        </w:rPr>
      </w:pPr>
      <w:bookmarkStart w:id="1" w:name="_Toc464649968"/>
      <w:r w:rsidRPr="00022D78">
        <w:rPr>
          <w:rStyle w:val="CharSectno"/>
          <w:rFonts w:ascii="Arial" w:hAnsi="Arial" w:cs="Arial"/>
          <w:sz w:val="20"/>
        </w:rPr>
        <w:t>33</w:t>
      </w:r>
      <w:r w:rsidRPr="00022D78">
        <w:rPr>
          <w:rFonts w:ascii="Arial" w:hAnsi="Arial" w:cs="Arial"/>
          <w:sz w:val="20"/>
        </w:rPr>
        <w:t xml:space="preserve">  Writs etc.</w:t>
      </w:r>
      <w:bookmarkEnd w:id="1"/>
    </w:p>
    <w:p w:rsidR="003A4400" w:rsidRPr="00022D78" w:rsidRDefault="003A4400" w:rsidP="005E1F64">
      <w:pPr>
        <w:pStyle w:val="subsection"/>
        <w:ind w:right="796"/>
        <w:rPr>
          <w:rFonts w:ascii="Arial" w:hAnsi="Arial" w:cs="Arial"/>
          <w:sz w:val="20"/>
        </w:rPr>
      </w:pPr>
      <w:r w:rsidRPr="00022D78">
        <w:rPr>
          <w:rFonts w:ascii="Arial" w:hAnsi="Arial" w:cs="Arial"/>
          <w:sz w:val="20"/>
        </w:rPr>
        <w:tab/>
      </w:r>
      <w:r w:rsidRPr="00022D78">
        <w:rPr>
          <w:rFonts w:ascii="Arial" w:hAnsi="Arial" w:cs="Arial"/>
          <w:sz w:val="20"/>
        </w:rPr>
        <w:tab/>
        <w:t>All writs, commissions and process issued from the High Court shall be:</w:t>
      </w:r>
    </w:p>
    <w:p w:rsidR="003A4400" w:rsidRPr="00022D78" w:rsidRDefault="003A4400" w:rsidP="005E1F64">
      <w:pPr>
        <w:pStyle w:val="paragraph"/>
        <w:ind w:right="796"/>
        <w:rPr>
          <w:rFonts w:ascii="Arial" w:hAnsi="Arial" w:cs="Arial"/>
          <w:sz w:val="20"/>
        </w:rPr>
      </w:pPr>
      <w:r w:rsidRPr="00022D78">
        <w:rPr>
          <w:rFonts w:ascii="Arial" w:hAnsi="Arial" w:cs="Arial"/>
          <w:sz w:val="20"/>
        </w:rPr>
        <w:tab/>
        <w:t>(a)</w:t>
      </w:r>
      <w:r w:rsidRPr="00022D78">
        <w:rPr>
          <w:rFonts w:ascii="Arial" w:hAnsi="Arial" w:cs="Arial"/>
          <w:sz w:val="20"/>
        </w:rPr>
        <w:tab/>
        <w:t>in the name of the Queen;</w:t>
      </w:r>
    </w:p>
    <w:p w:rsidR="003A4400" w:rsidRPr="00022D78" w:rsidRDefault="003A4400" w:rsidP="005E1F64">
      <w:pPr>
        <w:pStyle w:val="paragraph"/>
        <w:ind w:right="796"/>
        <w:rPr>
          <w:rFonts w:ascii="Arial" w:hAnsi="Arial" w:cs="Arial"/>
          <w:sz w:val="20"/>
        </w:rPr>
      </w:pPr>
      <w:r w:rsidRPr="00022D78">
        <w:rPr>
          <w:rFonts w:ascii="Arial" w:hAnsi="Arial" w:cs="Arial"/>
          <w:sz w:val="20"/>
        </w:rPr>
        <w:tab/>
        <w:t>(b)</w:t>
      </w:r>
      <w:r w:rsidRPr="00022D78">
        <w:rPr>
          <w:rFonts w:ascii="Arial" w:hAnsi="Arial" w:cs="Arial"/>
          <w:sz w:val="20"/>
        </w:rPr>
        <w:tab/>
        <w:t>under the seal of the Court or a duplicate of that seal or such other seal as is prescribed by Rules of Court; and</w:t>
      </w:r>
    </w:p>
    <w:p w:rsidR="003A4400" w:rsidRPr="00022D78" w:rsidRDefault="003A4400" w:rsidP="005E1F64">
      <w:pPr>
        <w:pStyle w:val="paragraph"/>
        <w:ind w:right="796"/>
        <w:rPr>
          <w:rFonts w:ascii="Arial" w:hAnsi="Arial" w:cs="Arial"/>
          <w:sz w:val="20"/>
        </w:rPr>
      </w:pPr>
      <w:r w:rsidRPr="00022D78">
        <w:rPr>
          <w:rFonts w:ascii="Arial" w:hAnsi="Arial" w:cs="Arial"/>
          <w:sz w:val="20"/>
        </w:rPr>
        <w:tab/>
        <w:t>(c)</w:t>
      </w:r>
      <w:r w:rsidRPr="00022D78">
        <w:rPr>
          <w:rFonts w:ascii="Arial" w:hAnsi="Arial" w:cs="Arial"/>
          <w:sz w:val="20"/>
        </w:rPr>
        <w:tab/>
        <w:t>signed by:</w:t>
      </w:r>
    </w:p>
    <w:p w:rsidR="003A4400" w:rsidRPr="00022D78" w:rsidRDefault="003A4400" w:rsidP="005E1F64">
      <w:pPr>
        <w:pStyle w:val="paragraphsub"/>
        <w:ind w:right="796"/>
        <w:rPr>
          <w:rFonts w:ascii="Arial" w:hAnsi="Arial" w:cs="Arial"/>
          <w:sz w:val="20"/>
        </w:rPr>
      </w:pPr>
      <w:r w:rsidRPr="00022D78">
        <w:rPr>
          <w:rFonts w:ascii="Arial" w:hAnsi="Arial" w:cs="Arial"/>
          <w:sz w:val="20"/>
        </w:rPr>
        <w:tab/>
        <w:t>(i)</w:t>
      </w:r>
      <w:r w:rsidRPr="00022D78">
        <w:rPr>
          <w:rFonts w:ascii="Arial" w:hAnsi="Arial" w:cs="Arial"/>
          <w:sz w:val="20"/>
        </w:rPr>
        <w:tab/>
        <w:t>the Chief Executive and Principal Registrar or an officer acting with the authority of the Chief Executive and Principal Registrar; or</w:t>
      </w:r>
    </w:p>
    <w:p w:rsidR="003A4400" w:rsidRPr="00022D78" w:rsidRDefault="003A4400" w:rsidP="005E1F64">
      <w:pPr>
        <w:pStyle w:val="paragraphsub"/>
        <w:ind w:right="796"/>
        <w:rPr>
          <w:rFonts w:ascii="Arial" w:hAnsi="Arial" w:cs="Arial"/>
          <w:sz w:val="20"/>
        </w:rPr>
      </w:pPr>
      <w:r w:rsidRPr="00022D78">
        <w:rPr>
          <w:rFonts w:ascii="Arial" w:hAnsi="Arial" w:cs="Arial"/>
          <w:sz w:val="20"/>
        </w:rPr>
        <w:tab/>
        <w:t>(ii)</w:t>
      </w:r>
      <w:r w:rsidRPr="00022D78">
        <w:rPr>
          <w:rFonts w:ascii="Arial" w:hAnsi="Arial" w:cs="Arial"/>
          <w:sz w:val="20"/>
        </w:rPr>
        <w:tab/>
        <w:t>an officer authorized by an arrangement in force under subsection 30(4) or (5) or a person acting with the authority of such an officer.</w:t>
      </w:r>
    </w:p>
    <w:p w:rsidR="003A4400" w:rsidRPr="00022D78" w:rsidRDefault="003A4400" w:rsidP="003A4400">
      <w:pPr>
        <w:ind w:right="-46"/>
        <w:jc w:val="both"/>
        <w:rPr>
          <w:rFonts w:ascii="Arial" w:hAnsi="Arial" w:cs="Arial"/>
          <w:sz w:val="20"/>
        </w:rPr>
      </w:pPr>
    </w:p>
    <w:p w:rsidR="00822492" w:rsidRDefault="009726D2" w:rsidP="00937E87">
      <w:pPr>
        <w:jc w:val="both"/>
        <w:rPr>
          <w:rFonts w:ascii="Arial" w:hAnsi="Arial" w:cs="Arial"/>
          <w:szCs w:val="24"/>
        </w:rPr>
      </w:pPr>
      <w:r w:rsidRPr="00EA1578">
        <w:rPr>
          <w:rFonts w:ascii="Arial" w:hAnsi="Arial" w:cs="Arial"/>
        </w:rPr>
        <w:t xml:space="preserve">The Amendment Rules </w:t>
      </w:r>
      <w:r w:rsidR="00AB589F" w:rsidRPr="00EA1578">
        <w:rPr>
          <w:rFonts w:ascii="Arial" w:hAnsi="Arial" w:cs="Arial"/>
        </w:rPr>
        <w:t>amend Part</w:t>
      </w:r>
      <w:r w:rsidR="00EA1578" w:rsidRPr="00EA1578">
        <w:rPr>
          <w:rFonts w:ascii="Arial" w:hAnsi="Arial" w:cs="Arial"/>
        </w:rPr>
        <w:t>s</w:t>
      </w:r>
      <w:r w:rsidR="00AB589F" w:rsidRPr="00EA1578">
        <w:rPr>
          <w:rFonts w:ascii="Arial" w:hAnsi="Arial" w:cs="Arial"/>
        </w:rPr>
        <w:t xml:space="preserve"> 1</w:t>
      </w:r>
      <w:r w:rsidR="00EA1578" w:rsidRPr="00EA1578">
        <w:rPr>
          <w:rFonts w:ascii="Arial" w:hAnsi="Arial" w:cs="Arial"/>
        </w:rPr>
        <w:t>, 4, 6</w:t>
      </w:r>
      <w:r w:rsidR="001D6195">
        <w:rPr>
          <w:rFonts w:ascii="Arial" w:hAnsi="Arial" w:cs="Arial"/>
        </w:rPr>
        <w:t>, 9</w:t>
      </w:r>
      <w:r w:rsidR="00EA1578" w:rsidRPr="00EA1578">
        <w:rPr>
          <w:rFonts w:ascii="Arial" w:hAnsi="Arial" w:cs="Arial"/>
        </w:rPr>
        <w:t xml:space="preserve"> and 20 </w:t>
      </w:r>
      <w:r w:rsidR="00EA1578">
        <w:rPr>
          <w:rFonts w:ascii="Arial" w:hAnsi="Arial" w:cs="Arial"/>
        </w:rPr>
        <w:t xml:space="preserve">and </w:t>
      </w:r>
      <w:r w:rsidR="001D6195">
        <w:rPr>
          <w:rFonts w:ascii="Arial" w:hAnsi="Arial" w:cs="Arial"/>
        </w:rPr>
        <w:t xml:space="preserve">Schedule 1 </w:t>
      </w:r>
      <w:r w:rsidR="00EA1578">
        <w:rPr>
          <w:rFonts w:ascii="Arial" w:hAnsi="Arial" w:cs="Arial"/>
        </w:rPr>
        <w:t xml:space="preserve">Forms 5, 6, 10, 11, 13, </w:t>
      </w:r>
      <w:r w:rsidR="005E1F64">
        <w:rPr>
          <w:rFonts w:ascii="Arial" w:hAnsi="Arial" w:cs="Arial"/>
        </w:rPr>
        <w:t xml:space="preserve">14, 15, 16, 20, 21, 30 and 31 </w:t>
      </w:r>
      <w:r w:rsidR="005E7DFF" w:rsidRPr="00EA1578">
        <w:rPr>
          <w:rFonts w:ascii="Arial" w:hAnsi="Arial" w:cs="Arial"/>
        </w:rPr>
        <w:t xml:space="preserve">of the </w:t>
      </w:r>
      <w:r w:rsidRPr="001D6195">
        <w:rPr>
          <w:rFonts w:ascii="Arial" w:hAnsi="Arial" w:cs="Arial"/>
          <w:i/>
          <w:szCs w:val="24"/>
        </w:rPr>
        <w:t>High Court Rules</w:t>
      </w:r>
      <w:r w:rsidR="001D6195">
        <w:rPr>
          <w:rFonts w:ascii="Arial" w:hAnsi="Arial" w:cs="Arial"/>
          <w:szCs w:val="24"/>
        </w:rPr>
        <w:t xml:space="preserve"> 2004</w:t>
      </w:r>
      <w:r w:rsidR="00AB589F" w:rsidRPr="00EA1578">
        <w:rPr>
          <w:rFonts w:ascii="Arial" w:hAnsi="Arial" w:cs="Arial"/>
          <w:szCs w:val="24"/>
        </w:rPr>
        <w:t xml:space="preserve"> </w:t>
      </w:r>
      <w:r w:rsidR="00EA1578" w:rsidRPr="00EA1578">
        <w:rPr>
          <w:rFonts w:ascii="Arial" w:hAnsi="Arial" w:cs="Arial"/>
          <w:szCs w:val="24"/>
        </w:rPr>
        <w:t>to</w:t>
      </w:r>
      <w:r w:rsidR="00EA1578">
        <w:rPr>
          <w:rFonts w:ascii="Arial" w:hAnsi="Arial" w:cs="Arial"/>
          <w:szCs w:val="24"/>
        </w:rPr>
        <w:t xml:space="preserve"> ensure that the language used throughout the Rules is consistent and reflects the distinction between documents filed by the parties and process issued by the Court.</w:t>
      </w:r>
    </w:p>
    <w:p w:rsidR="005E1F64" w:rsidRDefault="005E1F64" w:rsidP="005E1F64">
      <w:pPr>
        <w:ind w:right="-46"/>
        <w:jc w:val="both"/>
        <w:rPr>
          <w:rFonts w:ascii="Arial" w:hAnsi="Arial" w:cs="Arial"/>
          <w:szCs w:val="24"/>
        </w:rPr>
      </w:pPr>
    </w:p>
    <w:p w:rsidR="005E1F64" w:rsidRDefault="005E1F64" w:rsidP="005E1F64">
      <w:pPr>
        <w:ind w:right="-46"/>
        <w:jc w:val="both"/>
        <w:rPr>
          <w:rFonts w:ascii="Arial" w:hAnsi="Arial" w:cs="Arial"/>
          <w:szCs w:val="24"/>
        </w:rPr>
      </w:pPr>
      <w:r>
        <w:rPr>
          <w:rFonts w:ascii="Arial" w:hAnsi="Arial" w:cs="Arial"/>
          <w:szCs w:val="24"/>
        </w:rPr>
        <w:t xml:space="preserve">The Court also proposes amendments to </w:t>
      </w:r>
      <w:r w:rsidR="001D6195">
        <w:rPr>
          <w:rFonts w:ascii="Arial" w:hAnsi="Arial" w:cs="Arial"/>
          <w:szCs w:val="24"/>
        </w:rPr>
        <w:t xml:space="preserve">Part 13 of the Rules to </w:t>
      </w:r>
      <w:r>
        <w:rPr>
          <w:rFonts w:ascii="Arial" w:hAnsi="Arial" w:cs="Arial"/>
          <w:szCs w:val="24"/>
        </w:rPr>
        <w:t xml:space="preserve">permit the making of orders by a single Justice other than in open court, reflecting the jurisdiction provided by s 16 of the </w:t>
      </w:r>
      <w:r>
        <w:rPr>
          <w:rFonts w:ascii="Arial" w:hAnsi="Arial" w:cs="Arial"/>
          <w:i/>
          <w:szCs w:val="24"/>
        </w:rPr>
        <w:t>Judiciary Act</w:t>
      </w:r>
      <w:r>
        <w:rPr>
          <w:rFonts w:ascii="Arial" w:hAnsi="Arial" w:cs="Arial"/>
          <w:szCs w:val="24"/>
        </w:rPr>
        <w:t xml:space="preserve"> 1903 (Cth) of a Justice sitting in Chambers.</w:t>
      </w:r>
    </w:p>
    <w:p w:rsidR="009726D2" w:rsidRPr="00E429CD" w:rsidRDefault="009726D2" w:rsidP="00937E87">
      <w:pPr>
        <w:pStyle w:val="NoSpacing"/>
        <w:ind w:left="0"/>
        <w:jc w:val="both"/>
        <w:rPr>
          <w:rFonts w:ascii="Arial" w:hAnsi="Arial" w:cs="Arial"/>
          <w:sz w:val="24"/>
          <w:szCs w:val="24"/>
        </w:rPr>
      </w:pPr>
    </w:p>
    <w:p w:rsidR="004C056A" w:rsidRPr="00C20E29" w:rsidRDefault="001D6195" w:rsidP="00937E87">
      <w:pPr>
        <w:jc w:val="both"/>
        <w:rPr>
          <w:rFonts w:ascii="Arial" w:hAnsi="Arial" w:cs="Arial"/>
          <w:u w:val="single"/>
        </w:rPr>
      </w:pPr>
      <w:r>
        <w:rPr>
          <w:rFonts w:ascii="Arial" w:hAnsi="Arial" w:cs="Arial"/>
          <w:u w:val="single"/>
        </w:rPr>
        <w:br w:type="column"/>
      </w:r>
      <w:r w:rsidR="004C056A" w:rsidRPr="00C20E29">
        <w:rPr>
          <w:rFonts w:ascii="Arial" w:hAnsi="Arial" w:cs="Arial"/>
          <w:u w:val="single"/>
        </w:rPr>
        <w:lastRenderedPageBreak/>
        <w:t>Commencement</w:t>
      </w:r>
    </w:p>
    <w:p w:rsidR="004C056A" w:rsidRDefault="004C056A" w:rsidP="00937E87">
      <w:pPr>
        <w:jc w:val="both"/>
        <w:rPr>
          <w:rFonts w:ascii="Arial" w:hAnsi="Arial" w:cs="Arial"/>
        </w:rPr>
      </w:pPr>
    </w:p>
    <w:p w:rsidR="004C056A" w:rsidRDefault="004C056A" w:rsidP="00937E87">
      <w:pPr>
        <w:jc w:val="both"/>
        <w:rPr>
          <w:rFonts w:ascii="Arial" w:hAnsi="Arial" w:cs="Arial"/>
        </w:rPr>
      </w:pPr>
      <w:r w:rsidRPr="0012618D">
        <w:rPr>
          <w:rFonts w:ascii="Arial" w:hAnsi="Arial" w:cs="Arial"/>
        </w:rPr>
        <w:t xml:space="preserve">The </w:t>
      </w:r>
      <w:r w:rsidR="00E429CD">
        <w:rPr>
          <w:rFonts w:ascii="Arial" w:hAnsi="Arial" w:cs="Arial"/>
        </w:rPr>
        <w:t xml:space="preserve">amendment </w:t>
      </w:r>
      <w:r>
        <w:rPr>
          <w:rFonts w:ascii="Arial" w:hAnsi="Arial" w:cs="Arial"/>
        </w:rPr>
        <w:t xml:space="preserve">provisions commence on </w:t>
      </w:r>
      <w:r w:rsidR="00040EC3">
        <w:rPr>
          <w:rFonts w:ascii="Arial" w:hAnsi="Arial" w:cs="Arial"/>
        </w:rPr>
        <w:t>the day after the Rules are registered</w:t>
      </w:r>
      <w:r>
        <w:rPr>
          <w:rFonts w:ascii="Arial" w:hAnsi="Arial" w:cs="Arial"/>
        </w:rPr>
        <w:t>.</w:t>
      </w:r>
    </w:p>
    <w:p w:rsidR="001D6195" w:rsidRPr="006C3CE7" w:rsidRDefault="001D6195" w:rsidP="00937E87">
      <w:pPr>
        <w:jc w:val="both"/>
        <w:rPr>
          <w:rFonts w:ascii="Arial" w:hAnsi="Arial" w:cs="Arial"/>
        </w:rPr>
      </w:pPr>
    </w:p>
    <w:p w:rsidR="00704AC5" w:rsidRPr="00B05A9E" w:rsidRDefault="00B05A9E" w:rsidP="00937E87">
      <w:pPr>
        <w:jc w:val="both"/>
        <w:rPr>
          <w:rFonts w:ascii="Arial" w:hAnsi="Arial" w:cs="Arial"/>
          <w:u w:val="single"/>
        </w:rPr>
      </w:pPr>
      <w:r>
        <w:rPr>
          <w:rFonts w:ascii="Arial" w:hAnsi="Arial" w:cs="Arial"/>
          <w:u w:val="single"/>
        </w:rPr>
        <w:t>Consultation</w:t>
      </w:r>
    </w:p>
    <w:p w:rsidR="00C20E29" w:rsidRDefault="00C20E29" w:rsidP="00937E87">
      <w:pPr>
        <w:jc w:val="both"/>
        <w:rPr>
          <w:rFonts w:ascii="Arial" w:hAnsi="Arial" w:cs="Arial"/>
        </w:rPr>
      </w:pPr>
    </w:p>
    <w:p w:rsidR="006441E7" w:rsidRPr="0012618D" w:rsidRDefault="006441E7" w:rsidP="00937E87">
      <w:pPr>
        <w:jc w:val="both"/>
        <w:rPr>
          <w:rFonts w:ascii="Arial" w:hAnsi="Arial" w:cs="Arial"/>
        </w:rPr>
      </w:pPr>
      <w:r w:rsidRPr="0012618D">
        <w:rPr>
          <w:rFonts w:ascii="Arial" w:hAnsi="Arial" w:cs="Arial"/>
        </w:rPr>
        <w:t>Consultations on the changes have taken place with relevant professional organisations</w:t>
      </w:r>
      <w:r w:rsidR="00B05A9E">
        <w:rPr>
          <w:rFonts w:ascii="Arial" w:hAnsi="Arial" w:cs="Arial"/>
        </w:rPr>
        <w:t xml:space="preserve"> and the Special Co</w:t>
      </w:r>
      <w:r w:rsidR="004C056A">
        <w:rPr>
          <w:rFonts w:ascii="Arial" w:hAnsi="Arial" w:cs="Arial"/>
        </w:rPr>
        <w:t xml:space="preserve">mmittee </w:t>
      </w:r>
      <w:r w:rsidR="00B05A9E">
        <w:rPr>
          <w:rFonts w:ascii="Arial" w:hAnsi="Arial" w:cs="Arial"/>
        </w:rPr>
        <w:t>of Solicitors-General</w:t>
      </w:r>
      <w:r w:rsidR="00C20E29" w:rsidRPr="006F7655">
        <w:rPr>
          <w:rFonts w:ascii="Arial" w:hAnsi="Arial" w:cs="Arial"/>
        </w:rPr>
        <w:t>.</w:t>
      </w:r>
    </w:p>
    <w:p w:rsidR="00FE7BB8" w:rsidRDefault="00FE7BB8" w:rsidP="00937E87">
      <w:pPr>
        <w:jc w:val="both"/>
        <w:rPr>
          <w:rFonts w:ascii="Arial" w:hAnsi="Arial" w:cs="Arial"/>
        </w:rPr>
      </w:pPr>
    </w:p>
    <w:p w:rsidR="00C20E29" w:rsidRPr="00C20E29" w:rsidRDefault="00C20E29" w:rsidP="00937E87">
      <w:pPr>
        <w:jc w:val="both"/>
        <w:rPr>
          <w:rFonts w:ascii="Arial" w:hAnsi="Arial" w:cs="Arial"/>
          <w:u w:val="single"/>
        </w:rPr>
      </w:pPr>
      <w:r>
        <w:rPr>
          <w:rFonts w:ascii="Arial" w:hAnsi="Arial" w:cs="Arial"/>
          <w:u w:val="single"/>
        </w:rPr>
        <w:t>Statement of Comp</w:t>
      </w:r>
      <w:r w:rsidR="008B14BA">
        <w:rPr>
          <w:rFonts w:ascii="Arial" w:hAnsi="Arial" w:cs="Arial"/>
          <w:u w:val="single"/>
        </w:rPr>
        <w:t>ati</w:t>
      </w:r>
      <w:r>
        <w:rPr>
          <w:rFonts w:ascii="Arial" w:hAnsi="Arial" w:cs="Arial"/>
          <w:u w:val="single"/>
        </w:rPr>
        <w:t>bility</w:t>
      </w:r>
    </w:p>
    <w:p w:rsidR="00C20E29" w:rsidRDefault="00C20E29" w:rsidP="00937E87">
      <w:pPr>
        <w:jc w:val="both"/>
        <w:rPr>
          <w:rFonts w:ascii="Arial" w:hAnsi="Arial" w:cs="Arial"/>
        </w:rPr>
      </w:pPr>
    </w:p>
    <w:p w:rsidR="000E3197" w:rsidRPr="000E3197" w:rsidRDefault="000E3197" w:rsidP="00937E87">
      <w:pPr>
        <w:jc w:val="both"/>
        <w:rPr>
          <w:rFonts w:ascii="Arial" w:hAnsi="Arial" w:cs="Arial"/>
        </w:rPr>
      </w:pPr>
      <w:r w:rsidRPr="000E3197">
        <w:rPr>
          <w:rFonts w:ascii="Arial" w:hAnsi="Arial" w:cs="Arial"/>
        </w:rPr>
        <w:t xml:space="preserve">Rules of court are not legislative instruments (see paragraph 8(8)(d) of the </w:t>
      </w:r>
      <w:r w:rsidRPr="000E3197">
        <w:rPr>
          <w:rFonts w:ascii="Arial" w:hAnsi="Arial" w:cs="Arial"/>
          <w:i/>
        </w:rPr>
        <w:t>Legislation Act</w:t>
      </w:r>
      <w:r w:rsidRPr="000E3197">
        <w:rPr>
          <w:rFonts w:ascii="Arial" w:hAnsi="Arial" w:cs="Arial"/>
        </w:rPr>
        <w:t xml:space="preserve"> 2003). Accordingly, section 9 of the </w:t>
      </w:r>
      <w:r w:rsidRPr="000E3197">
        <w:rPr>
          <w:rFonts w:ascii="Arial" w:hAnsi="Arial" w:cs="Arial"/>
          <w:i/>
        </w:rPr>
        <w:t>Human Rights (Parliamentary Scrutiny) Act</w:t>
      </w:r>
      <w:r w:rsidRPr="000E3197">
        <w:rPr>
          <w:rFonts w:ascii="Arial" w:hAnsi="Arial" w:cs="Arial"/>
        </w:rPr>
        <w:t xml:space="preserve"> 2011 does not require a statement of compatibility to be prepared in respect of rules of court made by the High Court, and no statement of compatibility for the purposes of that latter Act is included in the Explanatory Statement.</w:t>
      </w:r>
    </w:p>
    <w:p w:rsidR="000E3197" w:rsidRPr="0012618D" w:rsidRDefault="000E3197" w:rsidP="00FE7BB8">
      <w:pPr>
        <w:jc w:val="both"/>
        <w:rPr>
          <w:rFonts w:ascii="Arial" w:hAnsi="Arial" w:cs="Arial"/>
        </w:rPr>
      </w:pPr>
    </w:p>
    <w:sectPr w:rsidR="000E3197" w:rsidRPr="0012618D" w:rsidSect="00B47452">
      <w:headerReference w:type="even" r:id="rId9"/>
      <w:headerReference w:type="default" r:id="rId10"/>
      <w:headerReference w:type="first" r:id="rId11"/>
      <w:pgSz w:w="11909" w:h="16834" w:code="9"/>
      <w:pgMar w:top="1440" w:right="1800" w:bottom="1418" w:left="1800" w:header="706"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64" w:rsidRDefault="005E1F64">
      <w:r>
        <w:separator/>
      </w:r>
    </w:p>
  </w:endnote>
  <w:endnote w:type="continuationSeparator" w:id="0">
    <w:p w:rsidR="005E1F64" w:rsidRDefault="005E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64" w:rsidRDefault="005E1F64">
      <w:r>
        <w:continuationSeparator/>
      </w:r>
    </w:p>
  </w:footnote>
  <w:footnote w:type="continuationSeparator" w:id="0">
    <w:p w:rsidR="005E1F64" w:rsidRDefault="005E1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64" w:rsidRDefault="005E1F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E1F64" w:rsidRDefault="005E1F64">
    <w:pPr>
      <w:pStyle w:val="Header"/>
      <w:rPr>
        <w:sz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64" w:rsidRDefault="005E1F64">
    <w:pPr>
      <w:pStyle w:val="Header"/>
      <w:pBdr>
        <w:bottom w:val="single" w:sz="4" w:space="1" w:color="auto"/>
      </w:pBdr>
      <w:tabs>
        <w:tab w:val="right" w:pos="3969"/>
        <w:tab w:val="right" w:pos="8222"/>
      </w:tabs>
      <w:jc w:val="left"/>
      <w:rPr>
        <w:rFonts w:ascii="Arial" w:hAnsi="Arial"/>
        <w:smallCaps/>
        <w:sz w:val="18"/>
      </w:rPr>
    </w:pPr>
    <w:r>
      <w:rPr>
        <w:rFonts w:ascii="Arial" w:hAnsi="Arial"/>
      </w:rPr>
      <w:object w:dxaOrig="7470"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23.3pt" o:ole="" fillcolor="window">
          <v:imagedata r:id="rId1" o:title=""/>
        </v:shape>
        <o:OLEObject Type="Embed" ProgID="PBrush" ShapeID="_x0000_i1025" DrawAspect="Content" ObjectID="_1542626451" r:id="rId2"/>
      </w:object>
    </w:r>
    <w:r>
      <w:rPr>
        <w:rFonts w:ascii="Arial" w:hAnsi="Arial"/>
        <w:smallCaps/>
      </w:rPr>
      <w:t xml:space="preserve"> </w:t>
    </w:r>
    <w:r>
      <w:rPr>
        <w:rFonts w:ascii="Arial" w:hAnsi="Arial"/>
        <w:smallCaps/>
        <w:sz w:val="18"/>
      </w:rPr>
      <w:t>High Court of Australia</w:t>
    </w:r>
    <w:r>
      <w:rPr>
        <w:rFonts w:ascii="Arial" w:hAnsi="Arial"/>
        <w:smallCaps/>
        <w:sz w:val="18"/>
      </w:rPr>
      <w:tab/>
    </w:r>
    <w:r>
      <w:rPr>
        <w:rFonts w:ascii="Arial" w:hAnsi="Arial"/>
        <w:smallCaps/>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5E5702">
      <w:rPr>
        <w:rStyle w:val="PageNumber"/>
        <w:rFonts w:ascii="Arial" w:hAnsi="Arial"/>
        <w:noProof/>
        <w:sz w:val="18"/>
      </w:rPr>
      <w:t>2</w:t>
    </w:r>
    <w:r>
      <w:rPr>
        <w:rStyle w:val="PageNumber"/>
        <w:rFonts w:ascii="Arial" w:hAnsi="Arial"/>
        <w:sz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64" w:rsidRDefault="005E1F64">
    <w:pPr>
      <w:jc w:val="center"/>
    </w:pPr>
    <w:r>
      <w:object w:dxaOrig="7470"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54.95pt" o:ole="">
          <v:imagedata r:id="rId1" o:title=""/>
        </v:shape>
        <o:OLEObject Type="Embed" ProgID="PBrush" ShapeID="_x0000_i1026" DrawAspect="Content" ObjectID="_1542626452" r:id="rId2"/>
      </w:object>
    </w:r>
  </w:p>
  <w:p w:rsidR="005E1F64" w:rsidRDefault="005E1F64">
    <w:pPr>
      <w:spacing w:before="200" w:after="200"/>
      <w:jc w:val="center"/>
      <w:rPr>
        <w:rFonts w:ascii="Arial" w:hAnsi="Arial"/>
        <w:spacing w:val="40"/>
        <w:sz w:val="28"/>
      </w:rPr>
    </w:pPr>
    <w:r>
      <w:rPr>
        <w:rFonts w:ascii="Arial" w:hAnsi="Arial"/>
        <w:spacing w:val="40"/>
        <w:sz w:val="28"/>
      </w:rPr>
      <w:t>HIGH COURT OF AUSTRALIA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E547C"/>
    <w:multiLevelType w:val="hybridMultilevel"/>
    <w:tmpl w:val="A8C89B6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F053027"/>
    <w:multiLevelType w:val="hybridMultilevel"/>
    <w:tmpl w:val="F78C6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4307955"/>
    <w:multiLevelType w:val="hybridMultilevel"/>
    <w:tmpl w:val="82161DDC"/>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nsid w:val="72FC6F4E"/>
    <w:multiLevelType w:val="hybridMultilevel"/>
    <w:tmpl w:val="98EC37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39444A1"/>
    <w:multiLevelType w:val="hybridMultilevel"/>
    <w:tmpl w:val="19BA7E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isplayHorizontalDrawingGridEvery w:val="0"/>
  <w:displayVerticalDrawingGridEvery w:val="0"/>
  <w:doNotUseMarginsForDrawingGridOrigin/>
  <w:noPunctuationKerning/>
  <w:characterSpacingControl w:val="doNotCompress"/>
  <w:hdrShapeDefaults>
    <o:shapedefaults v:ext="edit" spidmax="338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90"/>
    <w:rsid w:val="000147F1"/>
    <w:rsid w:val="0002419A"/>
    <w:rsid w:val="00040EC3"/>
    <w:rsid w:val="00047ADB"/>
    <w:rsid w:val="00054C03"/>
    <w:rsid w:val="000810B9"/>
    <w:rsid w:val="000C621D"/>
    <w:rsid w:val="000D7ED9"/>
    <w:rsid w:val="000E3197"/>
    <w:rsid w:val="000F333B"/>
    <w:rsid w:val="001162D0"/>
    <w:rsid w:val="0012618D"/>
    <w:rsid w:val="00134D19"/>
    <w:rsid w:val="001351C4"/>
    <w:rsid w:val="0016015E"/>
    <w:rsid w:val="00165D8A"/>
    <w:rsid w:val="00176692"/>
    <w:rsid w:val="00197E2B"/>
    <w:rsid w:val="001A6453"/>
    <w:rsid w:val="001A7161"/>
    <w:rsid w:val="001B14EF"/>
    <w:rsid w:val="001C496F"/>
    <w:rsid w:val="001D1A37"/>
    <w:rsid w:val="001D6195"/>
    <w:rsid w:val="00205BED"/>
    <w:rsid w:val="00210007"/>
    <w:rsid w:val="00227494"/>
    <w:rsid w:val="00234881"/>
    <w:rsid w:val="00240819"/>
    <w:rsid w:val="002700D4"/>
    <w:rsid w:val="00287423"/>
    <w:rsid w:val="002E49F0"/>
    <w:rsid w:val="002F56B5"/>
    <w:rsid w:val="002F6EAA"/>
    <w:rsid w:val="00315A92"/>
    <w:rsid w:val="00330751"/>
    <w:rsid w:val="003453E1"/>
    <w:rsid w:val="003519D5"/>
    <w:rsid w:val="003A4400"/>
    <w:rsid w:val="003B5379"/>
    <w:rsid w:val="004119C3"/>
    <w:rsid w:val="00426927"/>
    <w:rsid w:val="00431479"/>
    <w:rsid w:val="00452FEE"/>
    <w:rsid w:val="00453107"/>
    <w:rsid w:val="00471CD9"/>
    <w:rsid w:val="004822BC"/>
    <w:rsid w:val="004C056A"/>
    <w:rsid w:val="004F5A9A"/>
    <w:rsid w:val="00504FBC"/>
    <w:rsid w:val="00594290"/>
    <w:rsid w:val="005B7B52"/>
    <w:rsid w:val="005D6A98"/>
    <w:rsid w:val="005E1F64"/>
    <w:rsid w:val="005E5702"/>
    <w:rsid w:val="005E7DFF"/>
    <w:rsid w:val="005F4CE2"/>
    <w:rsid w:val="006040D4"/>
    <w:rsid w:val="00610881"/>
    <w:rsid w:val="006441E7"/>
    <w:rsid w:val="00651A3B"/>
    <w:rsid w:val="00676A57"/>
    <w:rsid w:val="006A2AFB"/>
    <w:rsid w:val="006B5020"/>
    <w:rsid w:val="006C3CE7"/>
    <w:rsid w:val="006C5746"/>
    <w:rsid w:val="006F7655"/>
    <w:rsid w:val="00704AC5"/>
    <w:rsid w:val="0070688B"/>
    <w:rsid w:val="00753456"/>
    <w:rsid w:val="00785C4D"/>
    <w:rsid w:val="007A4815"/>
    <w:rsid w:val="007A5EC9"/>
    <w:rsid w:val="007B3CC5"/>
    <w:rsid w:val="007B6A9C"/>
    <w:rsid w:val="007F2717"/>
    <w:rsid w:val="008017DC"/>
    <w:rsid w:val="008030CE"/>
    <w:rsid w:val="008101DA"/>
    <w:rsid w:val="00822492"/>
    <w:rsid w:val="0084021B"/>
    <w:rsid w:val="008521AE"/>
    <w:rsid w:val="00855B8A"/>
    <w:rsid w:val="00860C7F"/>
    <w:rsid w:val="0088159F"/>
    <w:rsid w:val="00884247"/>
    <w:rsid w:val="008B14BA"/>
    <w:rsid w:val="008F5A81"/>
    <w:rsid w:val="0092522F"/>
    <w:rsid w:val="0092697E"/>
    <w:rsid w:val="00933662"/>
    <w:rsid w:val="00937E87"/>
    <w:rsid w:val="00966DB9"/>
    <w:rsid w:val="009679BE"/>
    <w:rsid w:val="009726D2"/>
    <w:rsid w:val="009C593C"/>
    <w:rsid w:val="00A01018"/>
    <w:rsid w:val="00A12AF0"/>
    <w:rsid w:val="00A42C9D"/>
    <w:rsid w:val="00AB589F"/>
    <w:rsid w:val="00AE5227"/>
    <w:rsid w:val="00B05A9E"/>
    <w:rsid w:val="00B202B4"/>
    <w:rsid w:val="00B32451"/>
    <w:rsid w:val="00B44CF4"/>
    <w:rsid w:val="00B47411"/>
    <w:rsid w:val="00B47452"/>
    <w:rsid w:val="00B5218C"/>
    <w:rsid w:val="00B61889"/>
    <w:rsid w:val="00B63D62"/>
    <w:rsid w:val="00B80C28"/>
    <w:rsid w:val="00B95AB8"/>
    <w:rsid w:val="00BA1D54"/>
    <w:rsid w:val="00BA6917"/>
    <w:rsid w:val="00BA7CFF"/>
    <w:rsid w:val="00BD540C"/>
    <w:rsid w:val="00BF3F4D"/>
    <w:rsid w:val="00C02EE1"/>
    <w:rsid w:val="00C20E29"/>
    <w:rsid w:val="00C243AC"/>
    <w:rsid w:val="00C5039D"/>
    <w:rsid w:val="00C64A98"/>
    <w:rsid w:val="00C80BC4"/>
    <w:rsid w:val="00C81706"/>
    <w:rsid w:val="00C81D9D"/>
    <w:rsid w:val="00C829E2"/>
    <w:rsid w:val="00CB579D"/>
    <w:rsid w:val="00CB7EFE"/>
    <w:rsid w:val="00CD5AAB"/>
    <w:rsid w:val="00CF0582"/>
    <w:rsid w:val="00D16791"/>
    <w:rsid w:val="00D32302"/>
    <w:rsid w:val="00D35ABF"/>
    <w:rsid w:val="00D35E59"/>
    <w:rsid w:val="00D42570"/>
    <w:rsid w:val="00D572B0"/>
    <w:rsid w:val="00D9194B"/>
    <w:rsid w:val="00DA343C"/>
    <w:rsid w:val="00DB2A76"/>
    <w:rsid w:val="00DE4550"/>
    <w:rsid w:val="00DF0B29"/>
    <w:rsid w:val="00E108DC"/>
    <w:rsid w:val="00E429CD"/>
    <w:rsid w:val="00EA1578"/>
    <w:rsid w:val="00EE3C52"/>
    <w:rsid w:val="00F64AE3"/>
    <w:rsid w:val="00F71D1C"/>
    <w:rsid w:val="00F876CD"/>
    <w:rsid w:val="00F8787D"/>
    <w:rsid w:val="00F92066"/>
    <w:rsid w:val="00F92652"/>
    <w:rsid w:val="00FA327A"/>
    <w:rsid w:val="00FA5BA2"/>
    <w:rsid w:val="00FE0354"/>
    <w:rsid w:val="00FE7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8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paragraph" w:styleId="Heading1">
    <w:name w:val="heading 1"/>
    <w:basedOn w:val="Normal"/>
    <w:next w:val="NoIndent"/>
    <w:qFormat/>
    <w:pPr>
      <w:keepNext/>
      <w:spacing w:before="240" w:after="60"/>
      <w:outlineLvl w:val="0"/>
    </w:pPr>
    <w:rPr>
      <w:b/>
      <w:sz w:val="28"/>
    </w:rPr>
  </w:style>
  <w:style w:type="paragraph" w:styleId="Heading2">
    <w:name w:val="heading 2"/>
    <w:basedOn w:val="Normal"/>
    <w:next w:val="NoIndent"/>
    <w:qFormat/>
    <w:pPr>
      <w:keepNext/>
      <w:spacing w:before="240" w:after="60"/>
      <w:outlineLvl w:val="1"/>
    </w:pPr>
    <w:rPr>
      <w:b/>
      <w:i/>
    </w:rPr>
  </w:style>
  <w:style w:type="paragraph" w:styleId="Heading3">
    <w:name w:val="heading 3"/>
    <w:basedOn w:val="Normal"/>
    <w:next w:val="NoIndent"/>
    <w:qFormat/>
    <w:pPr>
      <w:keepNext/>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3519D5"/>
    <w:rPr>
      <w:rFonts w:ascii="Tahoma" w:hAnsi="Tahoma" w:cs="Tahoma"/>
      <w:sz w:val="16"/>
      <w:szCs w:val="16"/>
    </w:rPr>
  </w:style>
  <w:style w:type="character" w:customStyle="1" w:styleId="BalloonTextChar">
    <w:name w:val="Balloon Text Char"/>
    <w:link w:val="BalloonText"/>
    <w:uiPriority w:val="99"/>
    <w:semiHidden/>
    <w:rsid w:val="003519D5"/>
    <w:rPr>
      <w:rFonts w:ascii="Tahoma" w:hAnsi="Tahoma" w:cs="Tahoma"/>
      <w:sz w:val="16"/>
      <w:szCs w:val="16"/>
      <w:lang w:val="en-GB"/>
    </w:rPr>
  </w:style>
  <w:style w:type="paragraph" w:styleId="Header">
    <w:name w:val="header"/>
    <w:basedOn w:val="Normal"/>
    <w:pPr>
      <w:jc w:val="center"/>
    </w:pPr>
  </w:style>
  <w:style w:type="character" w:styleId="PageNumber">
    <w:name w:val="page number"/>
    <w:basedOn w:val="DefaultParagraphFont"/>
  </w:style>
  <w:style w:type="paragraph" w:customStyle="1" w:styleId="Bullet">
    <w:name w:val="Bullet"/>
    <w:basedOn w:val="Normal"/>
    <w:pPr>
      <w:ind w:left="566" w:hanging="283"/>
    </w:pPr>
  </w:style>
  <w:style w:type="paragraph" w:styleId="FootnoteText">
    <w:name w:val="footnote text"/>
    <w:basedOn w:val="Normal"/>
    <w:semiHidden/>
    <w:pPr>
      <w:ind w:firstLine="284"/>
    </w:pPr>
    <w:rPr>
      <w:lang w:val="en-AU"/>
    </w:rPr>
  </w:style>
  <w:style w:type="paragraph" w:customStyle="1" w:styleId="Quotation">
    <w:name w:val="Quotation"/>
    <w:basedOn w:val="Normal"/>
    <w:next w:val="NoIndent"/>
    <w:pPr>
      <w:spacing w:before="120" w:after="120"/>
      <w:ind w:left="567" w:right="510"/>
    </w:pPr>
    <w:rPr>
      <w:lang w:val="en-AU"/>
    </w:rPr>
  </w:style>
  <w:style w:type="paragraph" w:styleId="Footer">
    <w:name w:val="footer"/>
    <w:basedOn w:val="Normal"/>
    <w:link w:val="FooterChar"/>
    <w:uiPriority w:val="99"/>
    <w:pPr>
      <w:jc w:val="center"/>
    </w:pPr>
  </w:style>
  <w:style w:type="paragraph" w:customStyle="1" w:styleId="Indent">
    <w:name w:val="Indent"/>
    <w:basedOn w:val="Normal"/>
    <w:pPr>
      <w:ind w:firstLine="284"/>
    </w:pPr>
  </w:style>
  <w:style w:type="paragraph" w:customStyle="1" w:styleId="NoIndent">
    <w:name w:val="No Indent"/>
    <w:basedOn w:val="Normal"/>
    <w:next w:val="Indent"/>
  </w:style>
  <w:style w:type="paragraph" w:customStyle="1" w:styleId="NoBullet">
    <w:name w:val="No Bullet"/>
    <w:basedOn w:val="Bullet"/>
    <w:next w:val="Bullet"/>
    <w:pPr>
      <w:ind w:left="567" w:firstLine="0"/>
    </w:pPr>
  </w:style>
  <w:style w:type="character" w:customStyle="1" w:styleId="FooterChar">
    <w:name w:val="Footer Char"/>
    <w:link w:val="Footer"/>
    <w:uiPriority w:val="99"/>
    <w:rsid w:val="005B7B52"/>
    <w:rPr>
      <w:sz w:val="24"/>
      <w:lang w:val="en-GB"/>
    </w:rPr>
  </w:style>
  <w:style w:type="paragraph" w:styleId="NoSpacing">
    <w:name w:val="No Spacing"/>
    <w:uiPriority w:val="1"/>
    <w:qFormat/>
    <w:rsid w:val="009726D2"/>
    <w:pPr>
      <w:spacing w:line="276" w:lineRule="auto"/>
      <w:ind w:left="357"/>
    </w:pPr>
    <w:rPr>
      <w:rFonts w:ascii="Calibri" w:eastAsia="Calibri" w:hAnsi="Calibri"/>
      <w:sz w:val="22"/>
      <w:szCs w:val="22"/>
      <w:lang w:eastAsia="en-US"/>
    </w:rPr>
  </w:style>
  <w:style w:type="paragraph" w:styleId="ListParagraph">
    <w:name w:val="List Paragraph"/>
    <w:basedOn w:val="Normal"/>
    <w:uiPriority w:val="34"/>
    <w:qFormat/>
    <w:rsid w:val="009726D2"/>
    <w:pPr>
      <w:spacing w:line="276" w:lineRule="auto"/>
      <w:ind w:left="720"/>
      <w:contextualSpacing/>
    </w:pPr>
    <w:rPr>
      <w:rFonts w:ascii="Calibri" w:eastAsia="Calibri" w:hAnsi="Calibri"/>
      <w:sz w:val="22"/>
      <w:szCs w:val="22"/>
      <w:lang w:val="en-AU" w:eastAsia="en-US"/>
    </w:rPr>
  </w:style>
  <w:style w:type="paragraph" w:customStyle="1" w:styleId="ActHead5">
    <w:name w:val="ActHead 5"/>
    <w:aliases w:val="s"/>
    <w:basedOn w:val="Normal"/>
    <w:next w:val="subsection"/>
    <w:qFormat/>
    <w:rsid w:val="003A4400"/>
    <w:pPr>
      <w:keepNext/>
      <w:keepLines/>
      <w:spacing w:before="280"/>
      <w:ind w:left="1134" w:hanging="1134"/>
      <w:outlineLvl w:val="4"/>
    </w:pPr>
    <w:rPr>
      <w:b/>
      <w:kern w:val="28"/>
      <w:lang w:val="en-AU"/>
    </w:rPr>
  </w:style>
  <w:style w:type="paragraph" w:customStyle="1" w:styleId="subsection">
    <w:name w:val="subsection"/>
    <w:aliases w:val="ss"/>
    <w:basedOn w:val="Normal"/>
    <w:link w:val="subsectionChar"/>
    <w:rsid w:val="003A4400"/>
    <w:pPr>
      <w:tabs>
        <w:tab w:val="right" w:pos="1021"/>
      </w:tabs>
      <w:spacing w:before="180"/>
      <w:ind w:left="1134" w:hanging="1134"/>
    </w:pPr>
    <w:rPr>
      <w:sz w:val="22"/>
      <w:lang w:val="en-AU"/>
    </w:rPr>
  </w:style>
  <w:style w:type="paragraph" w:customStyle="1" w:styleId="paragraph">
    <w:name w:val="paragraph"/>
    <w:aliases w:val="a"/>
    <w:basedOn w:val="Normal"/>
    <w:rsid w:val="003A4400"/>
    <w:pPr>
      <w:tabs>
        <w:tab w:val="right" w:pos="1531"/>
      </w:tabs>
      <w:spacing w:before="40"/>
      <w:ind w:left="1644" w:hanging="1644"/>
    </w:pPr>
    <w:rPr>
      <w:sz w:val="22"/>
      <w:lang w:val="en-AU"/>
    </w:rPr>
  </w:style>
  <w:style w:type="character" w:customStyle="1" w:styleId="CharSectno">
    <w:name w:val="CharSectno"/>
    <w:basedOn w:val="DefaultParagraphFont"/>
    <w:qFormat/>
    <w:rsid w:val="003A4400"/>
  </w:style>
  <w:style w:type="paragraph" w:customStyle="1" w:styleId="paragraphsub">
    <w:name w:val="paragraph(sub)"/>
    <w:aliases w:val="aa"/>
    <w:basedOn w:val="Normal"/>
    <w:rsid w:val="003A4400"/>
    <w:pPr>
      <w:tabs>
        <w:tab w:val="right" w:pos="1985"/>
      </w:tabs>
      <w:spacing w:before="40"/>
      <w:ind w:left="2098" w:hanging="2098"/>
    </w:pPr>
    <w:rPr>
      <w:sz w:val="22"/>
      <w:lang w:val="en-AU"/>
    </w:rPr>
  </w:style>
  <w:style w:type="character" w:customStyle="1" w:styleId="subsectionChar">
    <w:name w:val="subsection Char"/>
    <w:aliases w:val="ss Char"/>
    <w:link w:val="subsection"/>
    <w:locked/>
    <w:rsid w:val="003A440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paragraph" w:styleId="Heading1">
    <w:name w:val="heading 1"/>
    <w:basedOn w:val="Normal"/>
    <w:next w:val="NoIndent"/>
    <w:qFormat/>
    <w:pPr>
      <w:keepNext/>
      <w:spacing w:before="240" w:after="60"/>
      <w:outlineLvl w:val="0"/>
    </w:pPr>
    <w:rPr>
      <w:b/>
      <w:sz w:val="28"/>
    </w:rPr>
  </w:style>
  <w:style w:type="paragraph" w:styleId="Heading2">
    <w:name w:val="heading 2"/>
    <w:basedOn w:val="Normal"/>
    <w:next w:val="NoIndent"/>
    <w:qFormat/>
    <w:pPr>
      <w:keepNext/>
      <w:spacing w:before="240" w:after="60"/>
      <w:outlineLvl w:val="1"/>
    </w:pPr>
    <w:rPr>
      <w:b/>
      <w:i/>
    </w:rPr>
  </w:style>
  <w:style w:type="paragraph" w:styleId="Heading3">
    <w:name w:val="heading 3"/>
    <w:basedOn w:val="Normal"/>
    <w:next w:val="NoIndent"/>
    <w:qFormat/>
    <w:pPr>
      <w:keepNext/>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3519D5"/>
    <w:rPr>
      <w:rFonts w:ascii="Tahoma" w:hAnsi="Tahoma" w:cs="Tahoma"/>
      <w:sz w:val="16"/>
      <w:szCs w:val="16"/>
    </w:rPr>
  </w:style>
  <w:style w:type="character" w:customStyle="1" w:styleId="BalloonTextChar">
    <w:name w:val="Balloon Text Char"/>
    <w:link w:val="BalloonText"/>
    <w:uiPriority w:val="99"/>
    <w:semiHidden/>
    <w:rsid w:val="003519D5"/>
    <w:rPr>
      <w:rFonts w:ascii="Tahoma" w:hAnsi="Tahoma" w:cs="Tahoma"/>
      <w:sz w:val="16"/>
      <w:szCs w:val="16"/>
      <w:lang w:val="en-GB"/>
    </w:rPr>
  </w:style>
  <w:style w:type="paragraph" w:styleId="Header">
    <w:name w:val="header"/>
    <w:basedOn w:val="Normal"/>
    <w:pPr>
      <w:jc w:val="center"/>
    </w:pPr>
  </w:style>
  <w:style w:type="character" w:styleId="PageNumber">
    <w:name w:val="page number"/>
    <w:basedOn w:val="DefaultParagraphFont"/>
  </w:style>
  <w:style w:type="paragraph" w:customStyle="1" w:styleId="Bullet">
    <w:name w:val="Bullet"/>
    <w:basedOn w:val="Normal"/>
    <w:pPr>
      <w:ind w:left="566" w:hanging="283"/>
    </w:pPr>
  </w:style>
  <w:style w:type="paragraph" w:styleId="FootnoteText">
    <w:name w:val="footnote text"/>
    <w:basedOn w:val="Normal"/>
    <w:semiHidden/>
    <w:pPr>
      <w:ind w:firstLine="284"/>
    </w:pPr>
    <w:rPr>
      <w:lang w:val="en-AU"/>
    </w:rPr>
  </w:style>
  <w:style w:type="paragraph" w:customStyle="1" w:styleId="Quotation">
    <w:name w:val="Quotation"/>
    <w:basedOn w:val="Normal"/>
    <w:next w:val="NoIndent"/>
    <w:pPr>
      <w:spacing w:before="120" w:after="120"/>
      <w:ind w:left="567" w:right="510"/>
    </w:pPr>
    <w:rPr>
      <w:lang w:val="en-AU"/>
    </w:rPr>
  </w:style>
  <w:style w:type="paragraph" w:styleId="Footer">
    <w:name w:val="footer"/>
    <w:basedOn w:val="Normal"/>
    <w:link w:val="FooterChar"/>
    <w:uiPriority w:val="99"/>
    <w:pPr>
      <w:jc w:val="center"/>
    </w:pPr>
  </w:style>
  <w:style w:type="paragraph" w:customStyle="1" w:styleId="Indent">
    <w:name w:val="Indent"/>
    <w:basedOn w:val="Normal"/>
    <w:pPr>
      <w:ind w:firstLine="284"/>
    </w:pPr>
  </w:style>
  <w:style w:type="paragraph" w:customStyle="1" w:styleId="NoIndent">
    <w:name w:val="No Indent"/>
    <w:basedOn w:val="Normal"/>
    <w:next w:val="Indent"/>
  </w:style>
  <w:style w:type="paragraph" w:customStyle="1" w:styleId="NoBullet">
    <w:name w:val="No Bullet"/>
    <w:basedOn w:val="Bullet"/>
    <w:next w:val="Bullet"/>
    <w:pPr>
      <w:ind w:left="567" w:firstLine="0"/>
    </w:pPr>
  </w:style>
  <w:style w:type="character" w:customStyle="1" w:styleId="FooterChar">
    <w:name w:val="Footer Char"/>
    <w:link w:val="Footer"/>
    <w:uiPriority w:val="99"/>
    <w:rsid w:val="005B7B52"/>
    <w:rPr>
      <w:sz w:val="24"/>
      <w:lang w:val="en-GB"/>
    </w:rPr>
  </w:style>
  <w:style w:type="paragraph" w:styleId="NoSpacing">
    <w:name w:val="No Spacing"/>
    <w:uiPriority w:val="1"/>
    <w:qFormat/>
    <w:rsid w:val="009726D2"/>
    <w:pPr>
      <w:spacing w:line="276" w:lineRule="auto"/>
      <w:ind w:left="357"/>
    </w:pPr>
    <w:rPr>
      <w:rFonts w:ascii="Calibri" w:eastAsia="Calibri" w:hAnsi="Calibri"/>
      <w:sz w:val="22"/>
      <w:szCs w:val="22"/>
      <w:lang w:eastAsia="en-US"/>
    </w:rPr>
  </w:style>
  <w:style w:type="paragraph" w:styleId="ListParagraph">
    <w:name w:val="List Paragraph"/>
    <w:basedOn w:val="Normal"/>
    <w:uiPriority w:val="34"/>
    <w:qFormat/>
    <w:rsid w:val="009726D2"/>
    <w:pPr>
      <w:spacing w:line="276" w:lineRule="auto"/>
      <w:ind w:left="720"/>
      <w:contextualSpacing/>
    </w:pPr>
    <w:rPr>
      <w:rFonts w:ascii="Calibri" w:eastAsia="Calibri" w:hAnsi="Calibri"/>
      <w:sz w:val="22"/>
      <w:szCs w:val="22"/>
      <w:lang w:val="en-AU" w:eastAsia="en-US"/>
    </w:rPr>
  </w:style>
  <w:style w:type="paragraph" w:customStyle="1" w:styleId="ActHead5">
    <w:name w:val="ActHead 5"/>
    <w:aliases w:val="s"/>
    <w:basedOn w:val="Normal"/>
    <w:next w:val="subsection"/>
    <w:qFormat/>
    <w:rsid w:val="003A4400"/>
    <w:pPr>
      <w:keepNext/>
      <w:keepLines/>
      <w:spacing w:before="280"/>
      <w:ind w:left="1134" w:hanging="1134"/>
      <w:outlineLvl w:val="4"/>
    </w:pPr>
    <w:rPr>
      <w:b/>
      <w:kern w:val="28"/>
      <w:lang w:val="en-AU"/>
    </w:rPr>
  </w:style>
  <w:style w:type="paragraph" w:customStyle="1" w:styleId="subsection">
    <w:name w:val="subsection"/>
    <w:aliases w:val="ss"/>
    <w:basedOn w:val="Normal"/>
    <w:link w:val="subsectionChar"/>
    <w:rsid w:val="003A4400"/>
    <w:pPr>
      <w:tabs>
        <w:tab w:val="right" w:pos="1021"/>
      </w:tabs>
      <w:spacing w:before="180"/>
      <w:ind w:left="1134" w:hanging="1134"/>
    </w:pPr>
    <w:rPr>
      <w:sz w:val="22"/>
      <w:lang w:val="en-AU"/>
    </w:rPr>
  </w:style>
  <w:style w:type="paragraph" w:customStyle="1" w:styleId="paragraph">
    <w:name w:val="paragraph"/>
    <w:aliases w:val="a"/>
    <w:basedOn w:val="Normal"/>
    <w:rsid w:val="003A4400"/>
    <w:pPr>
      <w:tabs>
        <w:tab w:val="right" w:pos="1531"/>
      </w:tabs>
      <w:spacing w:before="40"/>
      <w:ind w:left="1644" w:hanging="1644"/>
    </w:pPr>
    <w:rPr>
      <w:sz w:val="22"/>
      <w:lang w:val="en-AU"/>
    </w:rPr>
  </w:style>
  <w:style w:type="character" w:customStyle="1" w:styleId="CharSectno">
    <w:name w:val="CharSectno"/>
    <w:basedOn w:val="DefaultParagraphFont"/>
    <w:qFormat/>
    <w:rsid w:val="003A4400"/>
  </w:style>
  <w:style w:type="paragraph" w:customStyle="1" w:styleId="paragraphsub">
    <w:name w:val="paragraph(sub)"/>
    <w:aliases w:val="aa"/>
    <w:basedOn w:val="Normal"/>
    <w:rsid w:val="003A4400"/>
    <w:pPr>
      <w:tabs>
        <w:tab w:val="right" w:pos="1985"/>
      </w:tabs>
      <w:spacing w:before="40"/>
      <w:ind w:left="2098" w:hanging="2098"/>
    </w:pPr>
    <w:rPr>
      <w:sz w:val="22"/>
      <w:lang w:val="en-AU"/>
    </w:rPr>
  </w:style>
  <w:style w:type="character" w:customStyle="1" w:styleId="subsectionChar">
    <w:name w:val="subsection Char"/>
    <w:aliases w:val="ss Char"/>
    <w:link w:val="subsection"/>
    <w:locked/>
    <w:rsid w:val="003A44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CA\Acting%20Senior%20Registra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A9109-15F0-49C6-BE1D-E2C334E5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Acting Senior Registrar Letterhead</Template>
  <TotalTime>180</TotalTime>
  <Pages>2</Pages>
  <Words>445</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 from Senior Registrar</vt:lpstr>
    </vt:vector>
  </TitlesOfParts>
  <Company>High Court of Australia</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from Senior Registrar</dc:title>
  <dc:creator>HCA</dc:creator>
  <cp:lastModifiedBy>Administrator</cp:lastModifiedBy>
  <cp:revision>6</cp:revision>
  <cp:lastPrinted>2016-11-30T01:05:00Z</cp:lastPrinted>
  <dcterms:created xsi:type="dcterms:W3CDTF">2016-11-28T01:53:00Z</dcterms:created>
  <dcterms:modified xsi:type="dcterms:W3CDTF">2016-12-07T03:34:00Z</dcterms:modified>
</cp:coreProperties>
</file>