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2C2" w:rsidRDefault="00AC02C2">
      <w:pPr>
        <w:pStyle w:val="Title"/>
      </w:pPr>
    </w:p>
    <w:p w:rsidR="00AC02C2" w:rsidRDefault="00AC02C2">
      <w:pPr>
        <w:pStyle w:val="Title"/>
      </w:pPr>
    </w:p>
    <w:p w:rsidR="00102CB5" w:rsidRDefault="00102CB5" w:rsidP="00102CB5">
      <w:pPr>
        <w:spacing w:before="63" w:line="479" w:lineRule="auto"/>
        <w:jc w:val="center"/>
        <w:rPr>
          <w:b/>
          <w:color w:val="000000"/>
          <w:spacing w:val="-1"/>
          <w:sz w:val="28"/>
        </w:rPr>
      </w:pPr>
      <w:r>
        <w:rPr>
          <w:b/>
          <w:color w:val="000000"/>
          <w:sz w:val="28"/>
        </w:rPr>
        <w:t>EXPLANATORY</w:t>
      </w:r>
      <w:r>
        <w:rPr>
          <w:b/>
          <w:color w:val="000000"/>
          <w:spacing w:val="-39"/>
          <w:sz w:val="28"/>
        </w:rPr>
        <w:t xml:space="preserve"> </w:t>
      </w:r>
      <w:r>
        <w:rPr>
          <w:b/>
          <w:color w:val="000000"/>
          <w:spacing w:val="-1"/>
          <w:sz w:val="28"/>
        </w:rPr>
        <w:t xml:space="preserve">STATEMENT for </w:t>
      </w:r>
      <w:r>
        <w:rPr>
          <w:b/>
          <w:color w:val="000000"/>
          <w:spacing w:val="-1"/>
          <w:sz w:val="28"/>
        </w:rPr>
        <w:br/>
        <w:t xml:space="preserve">ASIC Corporations (Amendment) Instrument 2016/1090 </w:t>
      </w:r>
    </w:p>
    <w:p w:rsidR="00102CB5" w:rsidRDefault="00102CB5" w:rsidP="00102CB5">
      <w:pPr>
        <w:pStyle w:val="BodyText"/>
        <w:jc w:val="center"/>
      </w:pPr>
      <w:r>
        <w:t>Prepared by the Australian Securities and Investments Commission</w:t>
      </w:r>
    </w:p>
    <w:p w:rsidR="00102CB5" w:rsidRDefault="00102CB5" w:rsidP="00102CB5">
      <w:pPr>
        <w:spacing w:before="4" w:line="220" w:lineRule="exact"/>
        <w:jc w:val="center"/>
      </w:pPr>
    </w:p>
    <w:p w:rsidR="00102CB5" w:rsidRDefault="00102CB5" w:rsidP="00102CB5">
      <w:pPr>
        <w:jc w:val="center"/>
        <w:rPr>
          <w:sz w:val="24"/>
          <w:szCs w:val="24"/>
        </w:rPr>
      </w:pPr>
      <w:r>
        <w:rPr>
          <w:i/>
          <w:sz w:val="24"/>
        </w:rPr>
        <w:t>Corporations Act 2001</w:t>
      </w:r>
    </w:p>
    <w:p w:rsidR="00102CB5" w:rsidRDefault="00102CB5" w:rsidP="00102CB5">
      <w:pPr>
        <w:spacing w:before="3" w:line="220" w:lineRule="exact"/>
      </w:pPr>
    </w:p>
    <w:p w:rsidR="00102CB5" w:rsidRPr="00471E99" w:rsidRDefault="00102CB5" w:rsidP="00102CB5">
      <w:pPr>
        <w:pStyle w:val="BodyText"/>
        <w:spacing w:line="261" w:lineRule="auto"/>
      </w:pPr>
      <w:r>
        <w:t xml:space="preserve">The Australian Securities and </w:t>
      </w:r>
      <w:r>
        <w:rPr>
          <w:spacing w:val="-1"/>
        </w:rPr>
        <w:t>Investments</w:t>
      </w:r>
      <w:r>
        <w:t xml:space="preserve"> </w:t>
      </w:r>
      <w:r>
        <w:rPr>
          <w:spacing w:val="-1"/>
        </w:rPr>
        <w:t>Commission</w:t>
      </w:r>
      <w:r>
        <w:t xml:space="preserve"> (ASIC) </w:t>
      </w:r>
      <w:r>
        <w:rPr>
          <w:spacing w:val="-1"/>
        </w:rPr>
        <w:t>makes ASIC Corporations (Amendment) Instrument 2016/1090 (</w:t>
      </w:r>
      <w:r w:rsidRPr="00223A60">
        <w:rPr>
          <w:b/>
          <w:spacing w:val="-1"/>
        </w:rPr>
        <w:t>Instrument</w:t>
      </w:r>
      <w:r>
        <w:rPr>
          <w:spacing w:val="-1"/>
        </w:rPr>
        <w:t xml:space="preserve">). </w:t>
      </w:r>
    </w:p>
    <w:p w:rsidR="00102CB5" w:rsidRDefault="00102CB5" w:rsidP="00102CB5">
      <w:pPr>
        <w:pStyle w:val="BodyText"/>
        <w:spacing w:line="261" w:lineRule="auto"/>
        <w:rPr>
          <w:color w:val="000000"/>
          <w:spacing w:val="-1"/>
        </w:rPr>
      </w:pPr>
      <w:r>
        <w:rPr>
          <w:spacing w:val="-1"/>
        </w:rPr>
        <w:t xml:space="preserve">The Instrument is made under </w:t>
      </w:r>
      <w:r>
        <w:rPr>
          <w:color w:val="000000"/>
          <w:spacing w:val="-1"/>
        </w:rPr>
        <w:t xml:space="preserve">paragraphs 926A(2)(a) and 951B(1)(a) of the </w:t>
      </w:r>
      <w:r w:rsidRPr="000F5863">
        <w:rPr>
          <w:i/>
          <w:color w:val="000000"/>
          <w:spacing w:val="-1"/>
        </w:rPr>
        <w:t>Corporations Act 2001</w:t>
      </w:r>
      <w:r>
        <w:rPr>
          <w:i/>
          <w:color w:val="000000"/>
          <w:spacing w:val="-1"/>
        </w:rPr>
        <w:t xml:space="preserve"> </w:t>
      </w:r>
      <w:r>
        <w:rPr>
          <w:color w:val="000000"/>
          <w:spacing w:val="-1"/>
        </w:rPr>
        <w:t xml:space="preserve">(Corporations Act). </w:t>
      </w:r>
    </w:p>
    <w:p w:rsidR="00102CB5" w:rsidRDefault="00102CB5" w:rsidP="00102CB5">
      <w:pPr>
        <w:pStyle w:val="BodyText"/>
        <w:spacing w:line="261" w:lineRule="auto"/>
      </w:pPr>
      <w:r>
        <w:t>Section 926A(2)(a) provides that ASIC may exempt a class of persons from all or specified provisions of Part 7.6 of the Corporations Act, other than Divisions 4 and 8 of Part 7.6.</w:t>
      </w:r>
    </w:p>
    <w:p w:rsidR="00102CB5" w:rsidRDefault="00102CB5" w:rsidP="00102CB5">
      <w:pPr>
        <w:pStyle w:val="BodyText"/>
        <w:spacing w:line="261" w:lineRule="auto"/>
      </w:pPr>
      <w:r>
        <w:t xml:space="preserve">Section 951B(1)(a) provides that ASIC may exempt a class of persons from all or specified provisions of Part 7.7 of the Act. </w:t>
      </w:r>
    </w:p>
    <w:p w:rsidR="00102CB5" w:rsidRDefault="00102CB5" w:rsidP="00102CB5">
      <w:pPr>
        <w:pStyle w:val="BodyText"/>
        <w:spacing w:line="261" w:lineRule="auto"/>
      </w:pPr>
      <w:r w:rsidRPr="00722C2D">
        <w:t xml:space="preserve">Under subsection 33(3) of the </w:t>
      </w:r>
      <w:r w:rsidRPr="00722C2D">
        <w:rPr>
          <w:i/>
        </w:rPr>
        <w:t>Acts Interpretation Act 1901</w:t>
      </w:r>
      <w:r w:rsidRPr="00722C2D">
        <w:t xml:space="preserve"> (as in force as at 1 January 2005 and as applicable to the relevant powers because of section 5C of the </w:t>
      </w:r>
      <w:r>
        <w:t xml:space="preserve">Corporations </w:t>
      </w:r>
      <w:r w:rsidRPr="00722C2D">
        <w:t>Act), where an Act confers a power to make, grant or issue any instrument (including rules, regulations or by-laws), the power shall be construed as including a power exercisable in the like manner and subject to the like conditions (if any) to repeal, rescind, revoke, amend, or vary any such instrument.</w:t>
      </w:r>
    </w:p>
    <w:p w:rsidR="00102CB5" w:rsidRDefault="00102CB5" w:rsidP="00102CB5">
      <w:pPr>
        <w:widowControl w:val="0"/>
        <w:numPr>
          <w:ilvl w:val="0"/>
          <w:numId w:val="7"/>
        </w:numPr>
        <w:tabs>
          <w:tab w:val="left" w:pos="1592"/>
        </w:tabs>
        <w:spacing w:before="145" w:after="0"/>
        <w:ind w:left="0" w:firstLine="0"/>
        <w:rPr>
          <w:rFonts w:ascii="Arial" w:eastAsia="Arial" w:hAnsi="Arial" w:cs="Arial"/>
          <w:sz w:val="24"/>
          <w:szCs w:val="24"/>
        </w:rPr>
      </w:pPr>
      <w:r>
        <w:rPr>
          <w:rFonts w:ascii="Arial"/>
          <w:b/>
          <w:spacing w:val="-1"/>
          <w:sz w:val="24"/>
        </w:rPr>
        <w:t>Background</w:t>
      </w:r>
    </w:p>
    <w:p w:rsidR="00102CB5" w:rsidRDefault="00102CB5" w:rsidP="00102CB5">
      <w:pPr>
        <w:pStyle w:val="BodyText"/>
        <w:spacing w:before="199"/>
      </w:pPr>
      <w:r>
        <w:t>The Instrument amends ASIC Corporations (Generic Calculators) Instrument 2016/20</w:t>
      </w:r>
      <w:r w:rsidR="009B7766">
        <w:t>7</w:t>
      </w:r>
      <w:r>
        <w:t xml:space="preserve"> (</w:t>
      </w:r>
      <w:r w:rsidRPr="00223A60">
        <w:rPr>
          <w:b/>
        </w:rPr>
        <w:t>Principal Instrument</w:t>
      </w:r>
      <w:r>
        <w:t xml:space="preserve">). </w:t>
      </w:r>
    </w:p>
    <w:p w:rsidR="00102CB5" w:rsidRPr="00B45CAF" w:rsidRDefault="00102CB5" w:rsidP="00102CB5">
      <w:pPr>
        <w:pStyle w:val="BodyText"/>
        <w:tabs>
          <w:tab w:val="clear" w:pos="567"/>
          <w:tab w:val="clear" w:pos="680"/>
        </w:tabs>
        <w:overflowPunct/>
        <w:autoSpaceDE/>
        <w:autoSpaceDN/>
        <w:adjustRightInd/>
        <w:textAlignment w:val="auto"/>
        <w:rPr>
          <w:lang w:val="en-ZW"/>
        </w:rPr>
      </w:pPr>
      <w:r>
        <w:t>A generic financial calculator is a facility, device, table or other thing that:</w:t>
      </w:r>
    </w:p>
    <w:p w:rsidR="00102CB5" w:rsidRPr="00D87552" w:rsidRDefault="00102CB5" w:rsidP="00102CB5">
      <w:pPr>
        <w:pStyle w:val="BodyText"/>
        <w:numPr>
          <w:ilvl w:val="0"/>
          <w:numId w:val="16"/>
        </w:numPr>
        <w:spacing w:before="120"/>
        <w:ind w:left="357" w:hanging="357"/>
      </w:pPr>
      <w:r>
        <w:t>is used to make a numerical calculation or find out the result of a numerical calculation about a financial product; and</w:t>
      </w:r>
    </w:p>
    <w:p w:rsidR="00102CB5" w:rsidRPr="00D87552" w:rsidRDefault="00102CB5" w:rsidP="00102CB5">
      <w:pPr>
        <w:pStyle w:val="BodyText"/>
        <w:numPr>
          <w:ilvl w:val="0"/>
          <w:numId w:val="16"/>
        </w:numPr>
        <w:spacing w:before="120"/>
        <w:ind w:left="357" w:hanging="357"/>
      </w:pPr>
      <w:r>
        <w:t xml:space="preserve">does </w:t>
      </w:r>
      <w:r w:rsidRPr="00D87552">
        <w:t>not</w:t>
      </w:r>
      <w:r>
        <w:t xml:space="preserve"> advertise or promote one or more specific financial products.</w:t>
      </w:r>
    </w:p>
    <w:p w:rsidR="00102CB5" w:rsidRDefault="00102CB5" w:rsidP="00102CB5">
      <w:pPr>
        <w:pStyle w:val="BodyText"/>
        <w:tabs>
          <w:tab w:val="clear" w:pos="567"/>
          <w:tab w:val="clear" w:pos="680"/>
        </w:tabs>
        <w:overflowPunct/>
        <w:autoSpaceDE/>
        <w:autoSpaceDN/>
        <w:adjustRightInd/>
        <w:textAlignment w:val="auto"/>
      </w:pPr>
      <w:r>
        <w:t xml:space="preserve">Generic financial calculators can be a useful and cost-effective educational tool through which consumers can better understand their financial circumstances and goals. Calculators can help consumers engage with their superannuation, insurance and investment strategies. </w:t>
      </w:r>
    </w:p>
    <w:p w:rsidR="00102CB5" w:rsidRDefault="00102CB5" w:rsidP="00102CB5">
      <w:pPr>
        <w:pStyle w:val="BodyText"/>
      </w:pPr>
      <w:r>
        <w:lastRenderedPageBreak/>
        <w:t xml:space="preserve">A generic financial calculator involves financial product advice if it produces recommendations or statements of opinion that are (or could reasonably be regarded as being) intended to influence the user in making a decision about a financial product or class of financial product: see s766B of the Corporations Act. </w:t>
      </w:r>
    </w:p>
    <w:p w:rsidR="00102CB5" w:rsidRDefault="00102CB5" w:rsidP="00102CB5">
      <w:pPr>
        <w:pStyle w:val="BodyText"/>
      </w:pPr>
      <w:r>
        <w:t>Personal advice is financial product advice that is given or directed to a person (including by electronic means) in circumstances where:</w:t>
      </w:r>
    </w:p>
    <w:p w:rsidR="00102CB5" w:rsidRDefault="00102CB5" w:rsidP="00102CB5">
      <w:pPr>
        <w:pStyle w:val="BodyText"/>
        <w:numPr>
          <w:ilvl w:val="0"/>
          <w:numId w:val="25"/>
        </w:numPr>
      </w:pPr>
      <w:r>
        <w:t>the provider of the advice has considered one or more of the client’s objectives, financial situation and needs; or</w:t>
      </w:r>
    </w:p>
    <w:p w:rsidR="00102CB5" w:rsidRDefault="00102CB5" w:rsidP="00102CB5">
      <w:pPr>
        <w:pStyle w:val="BodyText"/>
        <w:numPr>
          <w:ilvl w:val="0"/>
          <w:numId w:val="25"/>
        </w:numPr>
      </w:pPr>
      <w:r>
        <w:t>a reasonable person might expect the provider of the advice to have considered one or more of those matters (see s766B(3) of the Corporations Act).</w:t>
      </w:r>
    </w:p>
    <w:p w:rsidR="00102CB5" w:rsidRDefault="00102CB5" w:rsidP="00102CB5">
      <w:pPr>
        <w:pStyle w:val="BodyText"/>
        <w:tabs>
          <w:tab w:val="clear" w:pos="567"/>
          <w:tab w:val="clear" w:pos="680"/>
        </w:tabs>
        <w:overflowPunct/>
        <w:autoSpaceDE/>
        <w:autoSpaceDN/>
        <w:adjustRightInd/>
        <w:textAlignment w:val="auto"/>
      </w:pPr>
      <w:r>
        <w:t xml:space="preserve">Whether a particular </w:t>
      </w:r>
      <w:r w:rsidR="00223A60">
        <w:t xml:space="preserve">generic financial </w:t>
      </w:r>
      <w:r>
        <w:t>calculator involves financial product advice and whether the financial product advice is likely to be personal advice will depend on the facts of the particular case.</w:t>
      </w:r>
    </w:p>
    <w:p w:rsidR="00102CB5" w:rsidRDefault="00102CB5" w:rsidP="00102CB5">
      <w:pPr>
        <w:pStyle w:val="BodyText"/>
      </w:pPr>
      <w:r>
        <w:t xml:space="preserve">The Principal Instrument gives providers of generic financial calculators relief from the requirement to hold an AFS licence with an advice authorisation or (where they currently hold a licence) relief from the conduct and disclosure requirements in Divs 2,3 and 4 of Pt 7.7 of the Corporations Act in relation to that advice. </w:t>
      </w:r>
    </w:p>
    <w:p w:rsidR="00102CB5" w:rsidRDefault="00102CB5" w:rsidP="00102CB5">
      <w:pPr>
        <w:pStyle w:val="BodyText"/>
      </w:pPr>
      <w:r>
        <w:t xml:space="preserve">The relief only applies where the provider of a generic financial calculator takes reasonable steps to meet certain requirements. One of these requirements is that if </w:t>
      </w:r>
      <w:r w:rsidRPr="003D032E">
        <w:t>the calculator provides an estimate of an amount payable or receivable at a future time of 2 years or more</w:t>
      </w:r>
      <w:r>
        <w:t xml:space="preserve">, it must </w:t>
      </w:r>
      <w:r w:rsidR="00223A60">
        <w:t xml:space="preserve">display to the user </w:t>
      </w:r>
      <w:r>
        <w:t xml:space="preserve">a clear and prominent statement setting out </w:t>
      </w:r>
      <w:r w:rsidRPr="003D032E">
        <w:t xml:space="preserve">the present value of the estimate </w:t>
      </w:r>
      <w:r w:rsidRPr="004C0CB5">
        <w:t xml:space="preserve">using an assumed rate of inflation of 2.5% (being the mid-point of the Reserve Bank of Australia's target range for inflation over the cycle). </w:t>
      </w:r>
      <w:r>
        <w:t xml:space="preserve">This requirement applies from 1 April 2017. </w:t>
      </w:r>
    </w:p>
    <w:p w:rsidR="00102CB5" w:rsidRPr="00D15B3A" w:rsidRDefault="00102CB5" w:rsidP="00102CB5">
      <w:pPr>
        <w:widowControl w:val="0"/>
        <w:numPr>
          <w:ilvl w:val="0"/>
          <w:numId w:val="7"/>
        </w:numPr>
        <w:tabs>
          <w:tab w:val="left" w:pos="1592"/>
        </w:tabs>
        <w:spacing w:before="145" w:after="0"/>
        <w:ind w:left="0" w:firstLine="0"/>
        <w:rPr>
          <w:rFonts w:ascii="Arial"/>
          <w:b/>
          <w:spacing w:val="-1"/>
          <w:sz w:val="24"/>
        </w:rPr>
      </w:pPr>
      <w:r w:rsidRPr="00D15B3A">
        <w:rPr>
          <w:rFonts w:ascii="Arial"/>
          <w:b/>
          <w:spacing w:val="-1"/>
          <w:sz w:val="24"/>
        </w:rPr>
        <w:t>Purpose of the instrument</w:t>
      </w:r>
    </w:p>
    <w:p w:rsidR="00102CB5" w:rsidRDefault="00102CB5" w:rsidP="00102CB5">
      <w:pPr>
        <w:pStyle w:val="BodyText"/>
        <w:tabs>
          <w:tab w:val="clear" w:pos="567"/>
          <w:tab w:val="clear" w:pos="680"/>
        </w:tabs>
        <w:overflowPunct/>
        <w:autoSpaceDE/>
        <w:autoSpaceDN/>
        <w:adjustRightInd/>
        <w:textAlignment w:val="auto"/>
        <w:rPr>
          <w:lang w:val="en-ZW"/>
        </w:rPr>
      </w:pPr>
      <w:r>
        <w:rPr>
          <w:lang w:val="en-ZW"/>
        </w:rPr>
        <w:t xml:space="preserve">The purpose of the Instrument </w:t>
      </w:r>
      <w:r w:rsidRPr="006638A1">
        <w:rPr>
          <w:lang w:val="en-ZW"/>
        </w:rPr>
        <w:t xml:space="preserve">is to </w:t>
      </w:r>
      <w:r>
        <w:rPr>
          <w:lang w:val="en-ZW"/>
        </w:rPr>
        <w:t xml:space="preserve">defer the commencement of the requirement for </w:t>
      </w:r>
      <w:r w:rsidR="00740EC3">
        <w:rPr>
          <w:lang w:val="en-ZW"/>
        </w:rPr>
        <w:t xml:space="preserve">a generic financial calculator relating to </w:t>
      </w:r>
      <w:r>
        <w:rPr>
          <w:lang w:val="en-ZW"/>
        </w:rPr>
        <w:t xml:space="preserve">superannuation and retirement </w:t>
      </w:r>
      <w:r w:rsidR="00740EC3">
        <w:rPr>
          <w:lang w:val="en-ZW"/>
        </w:rPr>
        <w:t>(</w:t>
      </w:r>
      <w:r w:rsidR="00740EC3" w:rsidRPr="00740EC3">
        <w:rPr>
          <w:b/>
          <w:lang w:val="en-ZW"/>
        </w:rPr>
        <w:t>Superannuation and Retirement Calculator Calculator</w:t>
      </w:r>
      <w:r w:rsidR="00740EC3">
        <w:rPr>
          <w:lang w:val="en-ZW"/>
        </w:rPr>
        <w:t xml:space="preserve">) </w:t>
      </w:r>
      <w:r>
        <w:rPr>
          <w:lang w:val="en-ZW"/>
        </w:rPr>
        <w:t xml:space="preserve">to include the present value of future receipts and payments </w:t>
      </w:r>
      <w:r w:rsidRPr="001F2EF3">
        <w:rPr>
          <w:lang w:val="en-ZW"/>
        </w:rPr>
        <w:t>using an assumed rate of inflation of 2.5%</w:t>
      </w:r>
      <w:r>
        <w:rPr>
          <w:lang w:val="en-ZW"/>
        </w:rPr>
        <w:t xml:space="preserve"> until 1 July 2018. </w:t>
      </w:r>
    </w:p>
    <w:p w:rsidR="00102CB5" w:rsidRPr="001F2EF3" w:rsidRDefault="00102CB5" w:rsidP="00102CB5">
      <w:pPr>
        <w:pStyle w:val="BodyText"/>
        <w:rPr>
          <w:lang w:val="en-ZW"/>
        </w:rPr>
      </w:pPr>
      <w:r w:rsidRPr="001F2EF3">
        <w:rPr>
          <w:lang w:val="en-ZW"/>
        </w:rPr>
        <w:t xml:space="preserve">ASIC has deferred the commencement of this requirement for </w:t>
      </w:r>
      <w:r w:rsidR="00740EC3">
        <w:rPr>
          <w:lang w:val="en-ZW"/>
        </w:rPr>
        <w:t>S</w:t>
      </w:r>
      <w:r w:rsidRPr="001F2EF3">
        <w:rPr>
          <w:lang w:val="en-ZW"/>
        </w:rPr>
        <w:t xml:space="preserve">uperannuation and </w:t>
      </w:r>
      <w:r w:rsidR="00740EC3">
        <w:rPr>
          <w:lang w:val="en-ZW"/>
        </w:rPr>
        <w:t>R</w:t>
      </w:r>
      <w:r w:rsidRPr="001F2EF3">
        <w:rPr>
          <w:lang w:val="en-ZW"/>
        </w:rPr>
        <w:t xml:space="preserve">etirement </w:t>
      </w:r>
      <w:r w:rsidR="00740EC3">
        <w:rPr>
          <w:lang w:val="en-ZW"/>
        </w:rPr>
        <w:t>C</w:t>
      </w:r>
      <w:r w:rsidRPr="001F2EF3">
        <w:rPr>
          <w:lang w:val="en-ZW"/>
        </w:rPr>
        <w:t xml:space="preserve">alculators because there are a number of current superannuation reforms that may impact on how superannuation calculators should present and calculate estimates in the future. </w:t>
      </w:r>
    </w:p>
    <w:p w:rsidR="00102CB5" w:rsidRDefault="00102CB5" w:rsidP="00102CB5">
      <w:pPr>
        <w:pStyle w:val="BodyText"/>
        <w:tabs>
          <w:tab w:val="clear" w:pos="567"/>
          <w:tab w:val="clear" w:pos="680"/>
        </w:tabs>
        <w:overflowPunct/>
        <w:autoSpaceDE/>
        <w:autoSpaceDN/>
        <w:adjustRightInd/>
        <w:textAlignment w:val="auto"/>
        <w:rPr>
          <w:lang w:val="en-ZW"/>
        </w:rPr>
      </w:pPr>
      <w:r w:rsidRPr="001F2EF3">
        <w:rPr>
          <w:lang w:val="en-ZW"/>
        </w:rPr>
        <w:t xml:space="preserve">AISC will monitor the impact of these reforms to assess the ongoing appropriateness of the requirement under </w:t>
      </w:r>
      <w:r w:rsidR="00223A60">
        <w:rPr>
          <w:lang w:val="en-ZW"/>
        </w:rPr>
        <w:t xml:space="preserve">the Principal Instrument </w:t>
      </w:r>
      <w:r w:rsidR="00740EC3">
        <w:rPr>
          <w:lang w:val="en-ZW"/>
        </w:rPr>
        <w:t xml:space="preserve">for Superannuation and </w:t>
      </w:r>
      <w:r w:rsidR="00DA5EA4">
        <w:rPr>
          <w:lang w:val="en-ZW"/>
        </w:rPr>
        <w:t>Retirement</w:t>
      </w:r>
      <w:r w:rsidR="00740EC3">
        <w:rPr>
          <w:lang w:val="en-ZW"/>
        </w:rPr>
        <w:t xml:space="preserve"> Calculators </w:t>
      </w:r>
      <w:r w:rsidRPr="001F2EF3">
        <w:rPr>
          <w:lang w:val="en-ZW"/>
        </w:rPr>
        <w:t xml:space="preserve">to adjust future returns for inflation using a rate of 2.5%. </w:t>
      </w:r>
    </w:p>
    <w:p w:rsidR="00102CB5" w:rsidRPr="00D75F22" w:rsidRDefault="00102CB5" w:rsidP="00102CB5">
      <w:pPr>
        <w:widowControl w:val="0"/>
        <w:numPr>
          <w:ilvl w:val="0"/>
          <w:numId w:val="7"/>
        </w:numPr>
        <w:tabs>
          <w:tab w:val="left" w:pos="1592"/>
        </w:tabs>
        <w:spacing w:before="145" w:after="0"/>
        <w:ind w:left="0" w:firstLine="0"/>
        <w:rPr>
          <w:rFonts w:ascii="Arial"/>
          <w:b/>
          <w:spacing w:val="-1"/>
          <w:sz w:val="24"/>
        </w:rPr>
      </w:pPr>
      <w:r w:rsidRPr="00D75F22">
        <w:rPr>
          <w:rFonts w:ascii="Arial"/>
          <w:b/>
          <w:spacing w:val="-1"/>
          <w:sz w:val="24"/>
        </w:rPr>
        <w:t>Operation of the instrument</w:t>
      </w:r>
    </w:p>
    <w:p w:rsidR="004803FE" w:rsidRDefault="004803FE" w:rsidP="00102CB5">
      <w:pPr>
        <w:pStyle w:val="BodyText"/>
        <w:spacing w:before="199"/>
      </w:pPr>
      <w:r>
        <w:t>The Instrument repeals the existing section 7 and substitutes a new section 7.</w:t>
      </w:r>
    </w:p>
    <w:p w:rsidR="00314089" w:rsidRDefault="00314089" w:rsidP="00102CB5">
      <w:pPr>
        <w:pStyle w:val="BodyText"/>
        <w:spacing w:before="199"/>
      </w:pPr>
      <w:r w:rsidRPr="00314089">
        <w:lastRenderedPageBreak/>
        <w:t>Under the Principal Instrument, a generic financial calculator that provides an estimate of an amount payable or receivable at a future time of 2 years or more must include a clear and prominent statement setting out the present value of the estimate calculated using a discount rate of 2.5% (being the mid-point of the Reserve Bank of Australia's target range for inflation over the cycle).</w:t>
      </w:r>
    </w:p>
    <w:p w:rsidR="00102CB5" w:rsidRDefault="00102CB5" w:rsidP="00102CB5">
      <w:pPr>
        <w:pStyle w:val="BodyText"/>
        <w:spacing w:before="199"/>
      </w:pPr>
      <w:r>
        <w:t xml:space="preserve">The </w:t>
      </w:r>
      <w:r w:rsidR="004A1010">
        <w:t xml:space="preserve">new section 7 </w:t>
      </w:r>
      <w:r>
        <w:t>defers the commencement date of this requirement for a Superannu</w:t>
      </w:r>
      <w:r w:rsidR="00740EC3">
        <w:t xml:space="preserve">ation or Retirement Calculator </w:t>
      </w:r>
      <w:r>
        <w:t xml:space="preserve">until 1 July 2018. </w:t>
      </w:r>
    </w:p>
    <w:p w:rsidR="00102CB5" w:rsidRDefault="00102CB5" w:rsidP="00102CB5">
      <w:pPr>
        <w:pStyle w:val="BodyText"/>
        <w:spacing w:before="199"/>
      </w:pPr>
      <w:r>
        <w:t xml:space="preserve">Until 1 July 2018, a </w:t>
      </w:r>
      <w:r w:rsidR="00314089">
        <w:t>S</w:t>
      </w:r>
      <w:r>
        <w:t xml:space="preserve">uperannuation or </w:t>
      </w:r>
      <w:r w:rsidR="00314089">
        <w:t>R</w:t>
      </w:r>
      <w:r>
        <w:t xml:space="preserve">etirement </w:t>
      </w:r>
      <w:r w:rsidR="00314089">
        <w:t>C</w:t>
      </w:r>
      <w:r>
        <w:t xml:space="preserve">alculator must display to the user </w:t>
      </w:r>
      <w:r w:rsidRPr="009443CE">
        <w:t>in the ordinary course of its use or ha</w:t>
      </w:r>
      <w:r w:rsidR="00174DF7">
        <w:t xml:space="preserve">ve </w:t>
      </w:r>
      <w:r w:rsidRPr="009443CE">
        <w:t>printed on it a clear and prominent statement specifying whether or not the estimate takes into account an assumed change in the cost of living between the time of the preparation of the estimate and the future time</w:t>
      </w:r>
      <w:r w:rsidRPr="0058251D">
        <w:t xml:space="preserve">. </w:t>
      </w:r>
    </w:p>
    <w:p w:rsidR="00102CB5" w:rsidRPr="00F97884" w:rsidRDefault="00102CB5" w:rsidP="00102CB5">
      <w:pPr>
        <w:widowControl w:val="0"/>
        <w:numPr>
          <w:ilvl w:val="0"/>
          <w:numId w:val="7"/>
        </w:numPr>
        <w:tabs>
          <w:tab w:val="left" w:pos="1592"/>
        </w:tabs>
        <w:spacing w:before="145" w:after="0"/>
        <w:ind w:left="0" w:firstLine="0"/>
        <w:rPr>
          <w:rFonts w:ascii="Arial"/>
          <w:b/>
          <w:spacing w:val="-1"/>
          <w:sz w:val="24"/>
        </w:rPr>
      </w:pPr>
      <w:r w:rsidRPr="00F97884">
        <w:rPr>
          <w:rFonts w:ascii="Arial"/>
          <w:b/>
          <w:spacing w:val="-1"/>
          <w:sz w:val="24"/>
        </w:rPr>
        <w:t>Consultation</w:t>
      </w:r>
    </w:p>
    <w:p w:rsidR="005B0E3A" w:rsidRDefault="00102CB5" w:rsidP="00F97884">
      <w:pPr>
        <w:pStyle w:val="Bodytextplain"/>
        <w:ind w:left="0"/>
        <w:sectPr w:rsidR="005B0E3A" w:rsidSect="000F5863">
          <w:headerReference w:type="even" r:id="rId9"/>
          <w:headerReference w:type="default" r:id="rId10"/>
          <w:footerReference w:type="even" r:id="rId11"/>
          <w:footerReference w:type="default" r:id="rId12"/>
          <w:headerReference w:type="first" r:id="rId13"/>
          <w:pgSz w:w="11906" w:h="16838" w:code="9"/>
          <w:pgMar w:top="1644" w:right="1418" w:bottom="1418" w:left="1418" w:header="567" w:footer="567" w:gutter="0"/>
          <w:cols w:space="720"/>
          <w:docGrid w:linePitch="299"/>
        </w:sectPr>
      </w:pPr>
      <w:r w:rsidRPr="00B177DF">
        <w:rPr>
          <w:sz w:val="24"/>
          <w:szCs w:val="24"/>
        </w:rPr>
        <w:t xml:space="preserve">ASIC did not undertake consultation </w:t>
      </w:r>
      <w:r>
        <w:rPr>
          <w:sz w:val="24"/>
          <w:szCs w:val="24"/>
        </w:rPr>
        <w:t xml:space="preserve">with respect to the Instrument because </w:t>
      </w:r>
      <w:r w:rsidRPr="00B177DF">
        <w:rPr>
          <w:sz w:val="24"/>
          <w:szCs w:val="24"/>
        </w:rPr>
        <w:t xml:space="preserve">it is minor and machinery in nature and provides relief only for a short period pending superannuation reforms that may impact on how </w:t>
      </w:r>
      <w:r>
        <w:rPr>
          <w:sz w:val="24"/>
          <w:szCs w:val="24"/>
        </w:rPr>
        <w:t xml:space="preserve">a Superannuation or Retirement Calculator </w:t>
      </w:r>
      <w:r w:rsidRPr="00B177DF">
        <w:rPr>
          <w:sz w:val="24"/>
          <w:szCs w:val="24"/>
        </w:rPr>
        <w:t xml:space="preserve">should present </w:t>
      </w:r>
      <w:r w:rsidRPr="00441D44">
        <w:rPr>
          <w:sz w:val="24"/>
          <w:szCs w:val="24"/>
        </w:rPr>
        <w:t>and calculate estimates</w:t>
      </w:r>
      <w:bookmarkStart w:id="0" w:name="_GoBack"/>
      <w:bookmarkEnd w:id="0"/>
      <w:r w:rsidRPr="00441D44">
        <w:rPr>
          <w:sz w:val="24"/>
          <w:szCs w:val="24"/>
        </w:rPr>
        <w:t xml:space="preserve"> in the future.</w:t>
      </w:r>
      <w:r w:rsidR="00F97884">
        <w:t xml:space="preserve"> </w:t>
      </w:r>
    </w:p>
    <w:p w:rsidR="000076D6" w:rsidRDefault="000076D6">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492760</wp:posOffset>
                </wp:positionV>
                <wp:extent cx="5311140" cy="6791325"/>
                <wp:effectExtent l="38100" t="38100" r="41910" b="476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140" cy="6791325"/>
                        </a:xfrm>
                        <a:prstGeom prst="rect">
                          <a:avLst/>
                        </a:prstGeom>
                        <a:solidFill>
                          <a:srgbClr val="FFFFFF"/>
                        </a:solidFill>
                        <a:ln w="76200" cmpd="tri">
                          <a:solidFill>
                            <a:srgbClr val="000000"/>
                          </a:solidFill>
                          <a:miter lim="800000"/>
                          <a:headEnd/>
                          <a:tailEnd/>
                        </a:ln>
                      </wps:spPr>
                      <wps:txbx>
                        <w:txbxContent>
                          <w:p w:rsidR="00E742E0" w:rsidRPr="00834797" w:rsidRDefault="00E742E0" w:rsidP="000076D6">
                            <w:pPr>
                              <w:spacing w:before="360" w:after="120"/>
                              <w:jc w:val="center"/>
                              <w:rPr>
                                <w:b/>
                              </w:rPr>
                            </w:pPr>
                            <w:r w:rsidRPr="00834797">
                              <w:rPr>
                                <w:b/>
                              </w:rPr>
                              <w:t>Statement of Compatibility with Human Rights</w:t>
                            </w:r>
                          </w:p>
                          <w:p w:rsidR="00E742E0" w:rsidRPr="00247F54" w:rsidRDefault="00E742E0" w:rsidP="000076D6">
                            <w:pPr>
                              <w:spacing w:before="120" w:after="120"/>
                              <w:jc w:val="center"/>
                            </w:pPr>
                            <w:r w:rsidRPr="00247F54">
                              <w:rPr>
                                <w:i/>
                              </w:rPr>
                              <w:t>Prepared in accordance with Part 3 of the Human Rights (Parliamentary Scrutiny) Act 2011</w:t>
                            </w:r>
                          </w:p>
                          <w:p w:rsidR="00BF1523" w:rsidRDefault="00BF1523" w:rsidP="000076D6">
                            <w:pPr>
                              <w:spacing w:before="120" w:after="120"/>
                              <w:jc w:val="center"/>
                            </w:pPr>
                          </w:p>
                          <w:p w:rsidR="00BF1523" w:rsidRPr="00247F54" w:rsidRDefault="00BF1523" w:rsidP="00BF1523">
                            <w:pPr>
                              <w:spacing w:before="120" w:after="120"/>
                              <w:jc w:val="center"/>
                              <w:rPr>
                                <w:b/>
                              </w:rPr>
                            </w:pPr>
                            <w:r w:rsidRPr="004F3FD8">
                              <w:rPr>
                                <w:b/>
                              </w:rPr>
                              <w:t xml:space="preserve">ASIC Corporations (Amendment) Instrument 2016/1090 </w:t>
                            </w:r>
                          </w:p>
                          <w:p w:rsidR="00BF1523" w:rsidRPr="00247F54" w:rsidRDefault="00BF1523" w:rsidP="00BF1523">
                            <w:pPr>
                              <w:spacing w:before="120" w:after="120"/>
                              <w:jc w:val="center"/>
                              <w:rPr>
                                <w:b/>
                              </w:rPr>
                            </w:pPr>
                          </w:p>
                          <w:p w:rsidR="00BF1523" w:rsidRPr="00247F54" w:rsidRDefault="00BF1523" w:rsidP="00BF1523">
                            <w:pPr>
                              <w:spacing w:before="120" w:after="120"/>
                              <w:jc w:val="center"/>
                            </w:pPr>
                          </w:p>
                          <w:p w:rsidR="00BF1523" w:rsidRPr="00247F54" w:rsidRDefault="00BF1523" w:rsidP="00BF1523">
                            <w:pPr>
                              <w:spacing w:before="120" w:after="120"/>
                              <w:jc w:val="center"/>
                            </w:pPr>
                            <w:r w:rsidRPr="007812F6">
                              <w:t>ASIC Corporations (</w:t>
                            </w:r>
                            <w:r>
                              <w:t>Amendment</w:t>
                            </w:r>
                            <w:r w:rsidRPr="007812F6">
                              <w:t>) Instrument 2016/</w:t>
                            </w:r>
                            <w:r>
                              <w:t xml:space="preserve">1090 is </w:t>
                            </w:r>
                            <w:r w:rsidRPr="00247F54">
                              <w:t xml:space="preserve">compatible with the human rights and freedoms recognised or declared in the international instruments listed in section 3 of the </w:t>
                            </w:r>
                            <w:r w:rsidRPr="00247F54">
                              <w:rPr>
                                <w:i/>
                              </w:rPr>
                              <w:t>Human Rights (Parliamentary Scrutiny) Act 2011</w:t>
                            </w:r>
                            <w:r w:rsidRPr="00247F54">
                              <w:t>.</w:t>
                            </w:r>
                          </w:p>
                          <w:p w:rsidR="00BF1523" w:rsidRPr="00247F54" w:rsidRDefault="00BF1523" w:rsidP="00BF1523">
                            <w:pPr>
                              <w:spacing w:before="120" w:after="120"/>
                              <w:jc w:val="center"/>
                            </w:pPr>
                          </w:p>
                          <w:p w:rsidR="00BF1523" w:rsidRPr="00247F54" w:rsidRDefault="00BF1523" w:rsidP="00BF1523">
                            <w:pPr>
                              <w:spacing w:before="120" w:after="120"/>
                              <w:jc w:val="center"/>
                            </w:pPr>
                          </w:p>
                          <w:p w:rsidR="00BF1523" w:rsidRPr="00247F54" w:rsidRDefault="00BF1523" w:rsidP="00BF1523">
                            <w:pPr>
                              <w:spacing w:before="120" w:after="120"/>
                              <w:jc w:val="both"/>
                              <w:rPr>
                                <w:b/>
                              </w:rPr>
                            </w:pPr>
                            <w:r w:rsidRPr="00247F54">
                              <w:rPr>
                                <w:b/>
                              </w:rPr>
                              <w:t>Overview</w:t>
                            </w:r>
                          </w:p>
                          <w:p w:rsidR="00BF1523" w:rsidRPr="009A5EDA" w:rsidRDefault="00BF1523" w:rsidP="00BF1523">
                            <w:pPr>
                              <w:spacing w:before="120" w:after="120"/>
                            </w:pPr>
                            <w:r>
                              <w:t>AS</w:t>
                            </w:r>
                            <w:r w:rsidRPr="007812F6">
                              <w:t>IC Corporations (</w:t>
                            </w:r>
                            <w:r>
                              <w:t xml:space="preserve">Amendment) </w:t>
                            </w:r>
                            <w:r w:rsidRPr="007812F6">
                              <w:t>Instrument 2016/</w:t>
                            </w:r>
                            <w:r>
                              <w:t xml:space="preserve">1090 extends until 1 July 2018 the relief for superannuation and retirement calculators from the requirement that if </w:t>
                            </w:r>
                            <w:r w:rsidRPr="002B0B4C">
                              <w:t xml:space="preserve">a generic financial calculator makes an estimate of a future return or payment it must </w:t>
                            </w:r>
                            <w:r w:rsidR="00174DF7">
                              <w:t>calculate the present value of the estimate u</w:t>
                            </w:r>
                            <w:r w:rsidRPr="002B0B4C">
                              <w:t xml:space="preserve">sing an assumed rate of inflation of 2.5% (being the mid-point of the Reserve Bank of Australia's target range for inflation over the cycle). </w:t>
                            </w:r>
                          </w:p>
                          <w:p w:rsidR="00BF1523" w:rsidRDefault="00BF1523" w:rsidP="00BF1523">
                            <w:pPr>
                              <w:spacing w:before="120" w:after="120"/>
                            </w:pPr>
                            <w:r w:rsidRPr="009A5EDA">
                              <w:t xml:space="preserve">The objective of </w:t>
                            </w:r>
                            <w:r w:rsidRPr="002B0B4C">
                              <w:t xml:space="preserve">ASIC Corporations (Amendment) Instrument 2016/1090 </w:t>
                            </w:r>
                            <w:r w:rsidRPr="009A5EDA">
                              <w:t xml:space="preserve">is to allow time for </w:t>
                            </w:r>
                            <w:r>
                              <w:t xml:space="preserve">ASIC </w:t>
                            </w:r>
                            <w:r w:rsidRPr="009A5EDA">
                              <w:t xml:space="preserve">to </w:t>
                            </w:r>
                            <w:r w:rsidRPr="002B0B4C">
                              <w:t xml:space="preserve">assess the ongoing appropriateness </w:t>
                            </w:r>
                            <w:r>
                              <w:t xml:space="preserve">of this requirement for superannuation and retirement calculators in light of current superannuation reforms that may impact on how superannuation calculators should present and calculate estimates in the future. </w:t>
                            </w:r>
                          </w:p>
                          <w:p w:rsidR="00BF1523" w:rsidRDefault="00BF1523" w:rsidP="00BF1523">
                            <w:pPr>
                              <w:spacing w:before="120" w:after="120"/>
                            </w:pPr>
                          </w:p>
                          <w:p w:rsidR="00BF1523" w:rsidRPr="00247F54" w:rsidRDefault="00BF1523" w:rsidP="00BF1523">
                            <w:pPr>
                              <w:spacing w:before="120" w:after="120"/>
                              <w:rPr>
                                <w:b/>
                              </w:rPr>
                            </w:pPr>
                            <w:r w:rsidRPr="00247F54">
                              <w:rPr>
                                <w:b/>
                              </w:rPr>
                              <w:t>Human rights implications</w:t>
                            </w:r>
                          </w:p>
                          <w:p w:rsidR="00BF1523" w:rsidRPr="00247F54" w:rsidRDefault="00BF1523" w:rsidP="00BF1523">
                            <w:pPr>
                              <w:spacing w:before="120" w:after="120"/>
                            </w:pPr>
                            <w:r w:rsidRPr="00247F54">
                              <w:t>Th</w:t>
                            </w:r>
                            <w:r>
                              <w:t>e l</w:t>
                            </w:r>
                            <w:r w:rsidRPr="00247F54">
                              <w:t xml:space="preserve">egislative </w:t>
                            </w:r>
                            <w:r>
                              <w:t>i</w:t>
                            </w:r>
                            <w:r w:rsidRPr="00247F54">
                              <w:t>nstrument do</w:t>
                            </w:r>
                            <w:r>
                              <w:t>es</w:t>
                            </w:r>
                            <w:r w:rsidRPr="00247F54">
                              <w:t xml:space="preserve"> not engage any of the applicable rights or freedoms.</w:t>
                            </w:r>
                          </w:p>
                          <w:p w:rsidR="00BF1523" w:rsidRPr="00247F54" w:rsidRDefault="00BF1523" w:rsidP="00BF1523">
                            <w:pPr>
                              <w:spacing w:before="120" w:after="120"/>
                            </w:pPr>
                          </w:p>
                          <w:p w:rsidR="00BF1523" w:rsidRPr="00247F54" w:rsidRDefault="00BF1523" w:rsidP="00BF1523">
                            <w:pPr>
                              <w:spacing w:before="120" w:after="120"/>
                              <w:rPr>
                                <w:b/>
                              </w:rPr>
                            </w:pPr>
                            <w:r w:rsidRPr="00247F54">
                              <w:rPr>
                                <w:b/>
                              </w:rPr>
                              <w:t>Conclusion</w:t>
                            </w:r>
                          </w:p>
                          <w:p w:rsidR="00BF1523" w:rsidRPr="00247F54" w:rsidRDefault="00BF1523" w:rsidP="00BF1523">
                            <w:pPr>
                              <w:spacing w:before="120" w:after="120"/>
                            </w:pPr>
                            <w:r w:rsidRPr="00247F54">
                              <w:t>Th</w:t>
                            </w:r>
                            <w:r>
                              <w:t>e</w:t>
                            </w:r>
                            <w:r w:rsidRPr="00247F54">
                              <w:t xml:space="preserve"> </w:t>
                            </w:r>
                            <w:r>
                              <w:t>l</w:t>
                            </w:r>
                            <w:r w:rsidRPr="00247F54">
                              <w:t xml:space="preserve">egislative </w:t>
                            </w:r>
                            <w:r>
                              <w:t>i</w:t>
                            </w:r>
                            <w:r w:rsidRPr="00247F54">
                              <w:t>nstrument</w:t>
                            </w:r>
                            <w:r>
                              <w:t xml:space="preserve"> is </w:t>
                            </w:r>
                            <w:r w:rsidRPr="00247F54">
                              <w:t xml:space="preserve">compatible with human rights as </w:t>
                            </w:r>
                            <w:r>
                              <w:t xml:space="preserve">they </w:t>
                            </w:r>
                            <w:r w:rsidRPr="00247F54">
                              <w:t>do not raise any human rights issues.</w:t>
                            </w: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pt;margin-top:38.8pt;width:418.2pt;height:53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" strokeweight="6pt">
                <v:stroke linestyle="thickBetweenThin"/>
                <v:textbox inset="5mm,,5mm">
                  <w:txbxContent>
                    <w:p w:rsidR="00E742E0" w:rsidRPr="00834797" w:rsidRDefault="00E742E0" w:rsidP="000076D6">
                      <w:pPr>
                        <w:spacing w:before="360" w:after="120"/>
                        <w:jc w:val="center"/>
                        <w:rPr>
                          <w:b/>
                        </w:rPr>
                      </w:pPr>
                      <w:r w:rsidRPr="00834797">
                        <w:rPr>
                          <w:b/>
                        </w:rPr>
                        <w:t>Statement of Compatibility with Human Rights</w:t>
                      </w:r>
                    </w:p>
                    <w:p w:rsidR="00E742E0" w:rsidRPr="00247F54" w:rsidRDefault="00E742E0" w:rsidP="000076D6">
                      <w:pPr>
                        <w:spacing w:before="120" w:after="120"/>
                        <w:jc w:val="center"/>
                      </w:pPr>
                      <w:r w:rsidRPr="00247F54">
                        <w:rPr>
                          <w:i/>
                        </w:rPr>
                        <w:t>Prepared in accordance with Part 3 of the Human Rights (Parliamentary Scrutiny) Act 2011</w:t>
                      </w:r>
                    </w:p>
                    <w:p w:rsidR="00BF1523" w:rsidRDefault="00BF1523" w:rsidP="000076D6">
                      <w:pPr>
                        <w:spacing w:before="120" w:after="120"/>
                        <w:jc w:val="center"/>
                      </w:pPr>
                    </w:p>
                    <w:p w:rsidR="00BF1523" w:rsidRPr="00247F54" w:rsidRDefault="00BF1523" w:rsidP="00BF1523">
                      <w:pPr>
                        <w:spacing w:before="120" w:after="120"/>
                        <w:jc w:val="center"/>
                        <w:rPr>
                          <w:b/>
                        </w:rPr>
                      </w:pPr>
                      <w:r w:rsidRPr="004F3FD8">
                        <w:rPr>
                          <w:b/>
                        </w:rPr>
                        <w:t xml:space="preserve">ASIC Corporations (Amendment) Instrument 2016/1090 </w:t>
                      </w:r>
                    </w:p>
                    <w:p w:rsidR="00BF1523" w:rsidRPr="00247F54" w:rsidRDefault="00BF1523" w:rsidP="00BF1523">
                      <w:pPr>
                        <w:spacing w:before="120" w:after="120"/>
                        <w:jc w:val="center"/>
                        <w:rPr>
                          <w:b/>
                        </w:rPr>
                      </w:pPr>
                    </w:p>
                    <w:p w:rsidR="00BF1523" w:rsidRPr="00247F54" w:rsidRDefault="00BF1523" w:rsidP="00BF1523">
                      <w:pPr>
                        <w:spacing w:before="120" w:after="120"/>
                        <w:jc w:val="center"/>
                      </w:pPr>
                    </w:p>
                    <w:p w:rsidR="00BF1523" w:rsidRPr="00247F54" w:rsidRDefault="00BF1523" w:rsidP="00BF1523">
                      <w:pPr>
                        <w:spacing w:before="120" w:after="120"/>
                        <w:jc w:val="center"/>
                      </w:pPr>
                      <w:r w:rsidRPr="007812F6">
                        <w:t>ASIC Corporations (</w:t>
                      </w:r>
                      <w:r>
                        <w:t>Amendment</w:t>
                      </w:r>
                      <w:r w:rsidRPr="007812F6">
                        <w:t>) Instrument 2016/</w:t>
                      </w:r>
                      <w:r>
                        <w:t xml:space="preserve">1090 is </w:t>
                      </w:r>
                      <w:r w:rsidRPr="00247F54">
                        <w:t xml:space="preserve">compatible with the human rights and freedoms recognised or declared in the international instruments listed in section 3 of the </w:t>
                      </w:r>
                      <w:r w:rsidRPr="00247F54">
                        <w:rPr>
                          <w:i/>
                        </w:rPr>
                        <w:t>Human Rights (Parliamentary Scrutiny) Act 2011</w:t>
                      </w:r>
                      <w:r w:rsidRPr="00247F54">
                        <w:t>.</w:t>
                      </w:r>
                    </w:p>
                    <w:p w:rsidR="00BF1523" w:rsidRPr="00247F54" w:rsidRDefault="00BF1523" w:rsidP="00BF1523">
                      <w:pPr>
                        <w:spacing w:before="120" w:after="120"/>
                        <w:jc w:val="center"/>
                      </w:pPr>
                    </w:p>
                    <w:p w:rsidR="00BF1523" w:rsidRPr="00247F54" w:rsidRDefault="00BF1523" w:rsidP="00BF1523">
                      <w:pPr>
                        <w:spacing w:before="120" w:after="120"/>
                        <w:jc w:val="center"/>
                      </w:pPr>
                    </w:p>
                    <w:p w:rsidR="00BF1523" w:rsidRPr="00247F54" w:rsidRDefault="00BF1523" w:rsidP="00BF1523">
                      <w:pPr>
                        <w:spacing w:before="120" w:after="120"/>
                        <w:jc w:val="both"/>
                        <w:rPr>
                          <w:b/>
                        </w:rPr>
                      </w:pPr>
                      <w:r w:rsidRPr="00247F54">
                        <w:rPr>
                          <w:b/>
                        </w:rPr>
                        <w:t>Overview</w:t>
                      </w:r>
                    </w:p>
                    <w:p w:rsidR="00BF1523" w:rsidRPr="009A5EDA" w:rsidRDefault="00BF1523" w:rsidP="00BF1523">
                      <w:pPr>
                        <w:spacing w:before="120" w:after="120"/>
                      </w:pPr>
                      <w:r>
                        <w:t>AS</w:t>
                      </w:r>
                      <w:r w:rsidRPr="007812F6">
                        <w:t>IC Corporations (</w:t>
                      </w:r>
                      <w:r>
                        <w:t xml:space="preserve">Amendment) </w:t>
                      </w:r>
                      <w:r w:rsidRPr="007812F6">
                        <w:t>Instrument 2016/</w:t>
                      </w:r>
                      <w:r>
                        <w:t xml:space="preserve">1090 extends until 1 July 2018 the relief for superannuation and retirement calculators from the requirement that if </w:t>
                      </w:r>
                      <w:r w:rsidRPr="002B0B4C">
                        <w:t xml:space="preserve">a generic financial calculator makes an estimate of a future return or payment it must </w:t>
                      </w:r>
                      <w:r w:rsidR="00174DF7">
                        <w:t>calculate the present value of the estimate u</w:t>
                      </w:r>
                      <w:r w:rsidRPr="002B0B4C">
                        <w:t xml:space="preserve">sing an assumed rate of inflation of 2.5% (being the mid-point of the Reserve Bank of Australia's target range for inflation over the cycle). </w:t>
                      </w:r>
                    </w:p>
                    <w:p w:rsidR="00BF1523" w:rsidRDefault="00BF1523" w:rsidP="00BF1523">
                      <w:pPr>
                        <w:spacing w:before="120" w:after="120"/>
                      </w:pPr>
                      <w:r w:rsidRPr="009A5EDA">
                        <w:t xml:space="preserve">The objective of </w:t>
                      </w:r>
                      <w:r w:rsidRPr="002B0B4C">
                        <w:t xml:space="preserve">ASIC Corporations (Amendment) Instrument 2016/1090 </w:t>
                      </w:r>
                      <w:r w:rsidRPr="009A5EDA">
                        <w:t xml:space="preserve">is to allow time for </w:t>
                      </w:r>
                      <w:r>
                        <w:t xml:space="preserve">ASIC </w:t>
                      </w:r>
                      <w:r w:rsidRPr="009A5EDA">
                        <w:t xml:space="preserve">to </w:t>
                      </w:r>
                      <w:r w:rsidRPr="002B0B4C">
                        <w:t xml:space="preserve">assess the ongoing appropriateness </w:t>
                      </w:r>
                      <w:r>
                        <w:t xml:space="preserve">of this requirement for superannuation and retirement calculators in light of current superannuation reforms that may impact on how superannuation calculators should present and calculate estimates in the future. </w:t>
                      </w:r>
                    </w:p>
                    <w:p w:rsidR="00BF1523" w:rsidRDefault="00BF1523" w:rsidP="00BF1523">
                      <w:pPr>
                        <w:spacing w:before="120" w:after="120"/>
                      </w:pPr>
                      <w:bookmarkStart w:id="1" w:name="_GoBack"/>
                      <w:bookmarkEnd w:id="1"/>
                    </w:p>
                    <w:p w:rsidR="00BF1523" w:rsidRPr="00247F54" w:rsidRDefault="00BF1523" w:rsidP="00BF1523">
                      <w:pPr>
                        <w:spacing w:before="120" w:after="120"/>
                        <w:rPr>
                          <w:b/>
                        </w:rPr>
                      </w:pPr>
                      <w:r w:rsidRPr="00247F54">
                        <w:rPr>
                          <w:b/>
                        </w:rPr>
                        <w:t>Human rights implications</w:t>
                      </w:r>
                    </w:p>
                    <w:p w:rsidR="00BF1523" w:rsidRPr="00247F54" w:rsidRDefault="00BF1523" w:rsidP="00BF1523">
                      <w:pPr>
                        <w:spacing w:before="120" w:after="120"/>
                      </w:pPr>
                      <w:r w:rsidRPr="00247F54">
                        <w:t>Th</w:t>
                      </w:r>
                      <w:r>
                        <w:t>e l</w:t>
                      </w:r>
                      <w:r w:rsidRPr="00247F54">
                        <w:t xml:space="preserve">egislative </w:t>
                      </w:r>
                      <w:r>
                        <w:t>i</w:t>
                      </w:r>
                      <w:r w:rsidRPr="00247F54">
                        <w:t>nstrument do</w:t>
                      </w:r>
                      <w:r>
                        <w:t>es</w:t>
                      </w:r>
                      <w:r w:rsidRPr="00247F54">
                        <w:t xml:space="preserve"> not engage any of the applicable rights or freedoms.</w:t>
                      </w:r>
                    </w:p>
                    <w:p w:rsidR="00BF1523" w:rsidRPr="00247F54" w:rsidRDefault="00BF1523" w:rsidP="00BF1523">
                      <w:pPr>
                        <w:spacing w:before="120" w:after="120"/>
                      </w:pPr>
                    </w:p>
                    <w:p w:rsidR="00BF1523" w:rsidRPr="00247F54" w:rsidRDefault="00BF1523" w:rsidP="00BF1523">
                      <w:pPr>
                        <w:spacing w:before="120" w:after="120"/>
                        <w:rPr>
                          <w:b/>
                        </w:rPr>
                      </w:pPr>
                      <w:r w:rsidRPr="00247F54">
                        <w:rPr>
                          <w:b/>
                        </w:rPr>
                        <w:t>Conclusion</w:t>
                      </w:r>
                    </w:p>
                    <w:p w:rsidR="00BF1523" w:rsidRPr="00247F54" w:rsidRDefault="00BF1523" w:rsidP="00BF1523">
                      <w:pPr>
                        <w:spacing w:before="120" w:after="120"/>
                      </w:pPr>
                      <w:r w:rsidRPr="00247F54">
                        <w:t>Th</w:t>
                      </w:r>
                      <w:r>
                        <w:t>e</w:t>
                      </w:r>
                      <w:r w:rsidRPr="00247F54">
                        <w:t xml:space="preserve"> </w:t>
                      </w:r>
                      <w:r>
                        <w:t>l</w:t>
                      </w:r>
                      <w:r w:rsidRPr="00247F54">
                        <w:t xml:space="preserve">egislative </w:t>
                      </w:r>
                      <w:r>
                        <w:t>i</w:t>
                      </w:r>
                      <w:r w:rsidRPr="00247F54">
                        <w:t>nstrument</w:t>
                      </w:r>
                      <w:r>
                        <w:t xml:space="preserve"> is </w:t>
                      </w:r>
                      <w:r w:rsidRPr="00247F54">
                        <w:t xml:space="preserve">compatible with human rights as </w:t>
                      </w:r>
                      <w:r>
                        <w:t xml:space="preserve">they </w:t>
                      </w:r>
                      <w:r w:rsidRPr="00247F54">
                        <w:t>do not raise any human rights issues.</w:t>
                      </w:r>
                    </w:p>
                  </w:txbxContent>
                </v:textbox>
              </v:rect>
            </w:pict>
          </mc:Fallback>
        </mc:AlternateContent>
      </w:r>
    </w:p>
    <w:sectPr w:rsidR="000076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2E0" w:rsidRDefault="00E742E0">
      <w:pPr>
        <w:spacing w:after="0"/>
      </w:pPr>
      <w:r>
        <w:separator/>
      </w:r>
    </w:p>
  </w:endnote>
  <w:endnote w:type="continuationSeparator" w:id="0">
    <w:p w:rsidR="00E742E0" w:rsidRDefault="00E742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2E0" w:rsidRDefault="00E742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E742E0" w:rsidRDefault="00E742E0">
    <w:pPr>
      <w:pStyle w:val="Footer"/>
      <w:ind w:right="360"/>
    </w:pPr>
  </w:p>
  <w:p w:rsidR="00E742E0" w:rsidRDefault="00E742E0"/>
  <w:p w:rsidR="00E742E0" w:rsidRDefault="00E742E0"/>
  <w:p w:rsidR="00E742E0" w:rsidRDefault="00E742E0"/>
  <w:p w:rsidR="00E742E0" w:rsidRDefault="00E742E0"/>
  <w:p w:rsidR="00E742E0" w:rsidRDefault="00E742E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2E0" w:rsidRDefault="00E742E0">
    <w:pPr>
      <w:pStyle w:val="Footer"/>
      <w:pBdr>
        <w:top w:val="single" w:sz="4" w:space="1" w:color="117DC7"/>
      </w:pBdr>
      <w:rPr>
        <w:b/>
        <w:color w:val="117DC7"/>
      </w:rPr>
    </w:pPr>
    <w:r>
      <w:rPr>
        <w:noProof/>
        <w:color w:val="117DC7"/>
        <w:sz w:val="20"/>
      </w:rPr>
      <mc:AlternateContent>
        <mc:Choice Requires="wps">
          <w:drawing>
            <wp:anchor distT="0" distB="0" distL="114300" distR="114300" simplePos="0" relativeHeight="251657216" behindDoc="0" locked="1" layoutInCell="1" allowOverlap="1" wp14:anchorId="6E70CA2C" wp14:editId="7808F13B">
              <wp:simplePos x="0" y="0"/>
              <wp:positionH relativeFrom="rightMargin">
                <wp:posOffset>-648335</wp:posOffset>
              </wp:positionH>
              <wp:positionV relativeFrom="paragraph">
                <wp:posOffset>36195</wp:posOffset>
              </wp:positionV>
              <wp:extent cx="657860" cy="158750"/>
              <wp:effectExtent l="1270" t="2540" r="0" b="6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42E0" w:rsidRPr="008F541E" w:rsidRDefault="00E742E0" w:rsidP="000F5863">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DA5EA4">
                            <w:rPr>
                              <w:rStyle w:val="PageNumber"/>
                              <w:rFonts w:ascii="Arial" w:hAnsi="Arial" w:cs="Arial"/>
                              <w:noProof/>
                              <w:color w:val="117DC7"/>
                              <w:sz w:val="16"/>
                              <w:szCs w:val="16"/>
                            </w:rPr>
                            <w:t>4</w:t>
                          </w:r>
                          <w:r w:rsidRPr="008F541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51.05pt;margin-top:2.85pt;width:51.8pt;height:12.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" stroked="f">
              <v:textbox inset="0,0,0,0">
                <w:txbxContent>
                  <w:p w:rsidR="00E742E0" w:rsidRPr="008F541E" w:rsidRDefault="00E742E0" w:rsidP="000F5863">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DA5EA4">
                      <w:rPr>
                        <w:rStyle w:val="PageNumber"/>
                        <w:rFonts w:ascii="Arial" w:hAnsi="Arial" w:cs="Arial"/>
                        <w:noProof/>
                        <w:color w:val="117DC7"/>
                        <w:sz w:val="16"/>
                        <w:szCs w:val="16"/>
                      </w:rPr>
                      <w:t>4</w:t>
                    </w:r>
                    <w:r w:rsidRPr="008F541E">
                      <w:rPr>
                        <w:rStyle w:val="PageNumber"/>
                        <w:rFonts w:ascii="Arial" w:hAnsi="Arial" w:cs="Arial"/>
                        <w:color w:val="117DC7"/>
                        <w:sz w:val="16"/>
                        <w:szCs w:val="16"/>
                      </w:rPr>
                      <w:fldChar w:fldCharType="end"/>
                    </w:r>
                  </w:p>
                </w:txbxContent>
              </v:textbox>
              <w10:wrap anchorx="margin"/>
              <w10:anchorlock/>
            </v:shape>
          </w:pict>
        </mc:Fallback>
      </mc:AlternateContent>
    </w:r>
    <w:r>
      <w:rPr>
        <w:color w:val="117DC7"/>
      </w:rPr>
      <w:t>© Australian Securities and Investments Commission</w:t>
    </w:r>
    <w:r>
      <w:rPr>
        <w:color w:val="117DC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2E0" w:rsidRDefault="00E742E0">
      <w:pPr>
        <w:spacing w:after="0"/>
      </w:pPr>
      <w:r>
        <w:separator/>
      </w:r>
    </w:p>
  </w:footnote>
  <w:footnote w:type="continuationSeparator" w:id="0">
    <w:p w:rsidR="00E742E0" w:rsidRDefault="00E742E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2E0" w:rsidRDefault="00E742E0"/>
  <w:p w:rsidR="00E742E0" w:rsidRDefault="00E742E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970" w:rsidRDefault="00E742E0" w:rsidP="00596D1F">
    <w:pPr>
      <w:pStyle w:val="Footer"/>
      <w:pBdr>
        <w:bottom w:val="single" w:sz="4" w:space="1" w:color="117DC7"/>
      </w:pBdr>
      <w:tabs>
        <w:tab w:val="clear" w:pos="9070"/>
        <w:tab w:val="right" w:pos="8364"/>
      </w:tabs>
      <w:jc w:val="right"/>
    </w:pPr>
    <w:r>
      <w:tab/>
      <w:t xml:space="preserve">Explanatory Statement </w:t>
    </w:r>
    <w:r w:rsidR="006B0970">
      <w:t>for</w:t>
    </w:r>
  </w:p>
  <w:p w:rsidR="006B0970" w:rsidRDefault="00E742E0">
    <w:pPr>
      <w:pStyle w:val="Footer"/>
      <w:pBdr>
        <w:bottom w:val="single" w:sz="4" w:space="1" w:color="117DC7"/>
      </w:pBdr>
      <w:jc w:val="right"/>
      <w:rPr>
        <w:color w:val="117DC7"/>
      </w:rPr>
    </w:pPr>
    <w:r>
      <w:t>ASIC Corporations (</w:t>
    </w:r>
    <w:r w:rsidR="00102CB5">
      <w:t>Amendment</w:t>
    </w:r>
    <w:r>
      <w:t>) Instrument 2016/</w:t>
    </w:r>
    <w:r w:rsidR="00102CB5">
      <w:t>1090</w:t>
    </w:r>
  </w:p>
  <w:p w:rsidR="00E742E0" w:rsidRDefault="00E742E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2E0" w:rsidRDefault="00E742E0">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6FB"/>
    <w:multiLevelType w:val="hybridMultilevel"/>
    <w:tmpl w:val="EAF8EFCC"/>
    <w:lvl w:ilvl="0" w:tplc="0C090017">
      <w:start w:val="1"/>
      <w:numFmt w:val="lowerLetter"/>
      <w:lvlText w:val="%1)"/>
      <w:lvlJc w:val="left"/>
      <w:pPr>
        <w:ind w:left="720" w:hanging="360"/>
      </w:pPr>
      <w:rPr>
        <w:rFonts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462C71"/>
    <w:multiLevelType w:val="hybridMultilevel"/>
    <w:tmpl w:val="2E5AA0D2"/>
    <w:lvl w:ilvl="0" w:tplc="0C090017">
      <w:start w:val="1"/>
      <w:numFmt w:val="lowerLetter"/>
      <w:lvlText w:val="%1)"/>
      <w:lvlJc w:val="left"/>
      <w:pPr>
        <w:ind w:left="360" w:hanging="360"/>
      </w:pPr>
    </w:lvl>
    <w:lvl w:ilvl="1" w:tplc="0C090017">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0B957CCC"/>
    <w:multiLevelType w:val="hybridMultilevel"/>
    <w:tmpl w:val="DC38FDD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D7F7B94"/>
    <w:multiLevelType w:val="hybridMultilevel"/>
    <w:tmpl w:val="2E5AA0D2"/>
    <w:lvl w:ilvl="0" w:tplc="0C090017">
      <w:start w:val="1"/>
      <w:numFmt w:val="lowerLetter"/>
      <w:lvlText w:val="%1)"/>
      <w:lvlJc w:val="left"/>
      <w:pPr>
        <w:ind w:left="360" w:hanging="360"/>
      </w:pPr>
    </w:lvl>
    <w:lvl w:ilvl="1" w:tplc="0C090017">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10897B14"/>
    <w:multiLevelType w:val="hybridMultilevel"/>
    <w:tmpl w:val="1330559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5953580"/>
    <w:multiLevelType w:val="hybridMultilevel"/>
    <w:tmpl w:val="6F36FAF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59D5EBF"/>
    <w:multiLevelType w:val="hybridMultilevel"/>
    <w:tmpl w:val="02AE4EDA"/>
    <w:lvl w:ilvl="0" w:tplc="4DAE7A4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0C6808"/>
    <w:multiLevelType w:val="multilevel"/>
    <w:tmpl w:val="A044F19C"/>
    <w:lvl w:ilvl="0">
      <w:start w:val="1"/>
      <w:numFmt w:val="decimal"/>
      <w:lvlText w:val="%1"/>
      <w:lvlJc w:val="left"/>
      <w:pPr>
        <w:tabs>
          <w:tab w:val="num" w:pos="1134"/>
        </w:tabs>
        <w:ind w:left="1134"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8">
    <w:nsid w:val="1FCA404E"/>
    <w:multiLevelType w:val="hybridMultilevel"/>
    <w:tmpl w:val="577CC70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243B1A7D"/>
    <w:multiLevelType w:val="multilevel"/>
    <w:tmpl w:val="2BF2360A"/>
    <w:name w:val="ASIC proposal"/>
    <w:lvl w:ilvl="0">
      <w:start w:val="1"/>
      <w:numFmt w:val="upperLetter"/>
      <w:lvlText w:val="%1"/>
      <w:lvlJc w:val="left"/>
      <w:pPr>
        <w:tabs>
          <w:tab w:val="num" w:pos="851"/>
        </w:tabs>
        <w:ind w:left="851" w:hanging="851"/>
      </w:pPr>
      <w:rPr>
        <w:rFonts w:hint="default"/>
        <w:b/>
        <w:i w:val="0"/>
        <w:color w:val="117DC7"/>
        <w:sz w:val="36"/>
        <w:szCs w:val="72"/>
      </w:rPr>
    </w:lvl>
    <w:lvl w:ilvl="1">
      <w:start w:val="1"/>
      <w:numFmt w:val="decimal"/>
      <w:lvlText w:val="%1%2"/>
      <w:lvlJc w:val="left"/>
      <w:pPr>
        <w:tabs>
          <w:tab w:val="num" w:pos="2693"/>
        </w:tabs>
        <w:ind w:left="2693" w:hanging="425"/>
      </w:pPr>
      <w:rPr>
        <w:rFonts w:hint="default"/>
        <w:b/>
        <w:i w:val="0"/>
        <w:color w:val="auto"/>
        <w:sz w:val="16"/>
        <w:szCs w:val="16"/>
      </w:rPr>
    </w:lvl>
    <w:lvl w:ilvl="2">
      <w:start w:val="1"/>
      <w:numFmt w:val="lowerLetter"/>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544"/>
        </w:tabs>
        <w:ind w:left="3544" w:hanging="425"/>
      </w:pPr>
      <w:rPr>
        <w:rFonts w:hint="default"/>
        <w:sz w:val="18"/>
        <w:szCs w:val="18"/>
      </w:rPr>
    </w:lvl>
    <w:lvl w:ilvl="4">
      <w:start w:val="1"/>
      <w:numFmt w:val="decimal"/>
      <w:lvlText w:val="%1%2Q%5"/>
      <w:lvlJc w:val="left"/>
      <w:pPr>
        <w:tabs>
          <w:tab w:val="num" w:pos="3799"/>
        </w:tabs>
        <w:ind w:left="3799" w:hanging="567"/>
      </w:pPr>
      <w:rPr>
        <w:rFonts w:hint="default"/>
        <w:sz w:val="16"/>
        <w:szCs w:val="16"/>
      </w:rPr>
    </w:lvl>
    <w:lvl w:ilvl="5">
      <w:start w:val="1"/>
      <w:numFmt w:val="lowerLetter"/>
      <w:lvlText w:val="             (%6)"/>
      <w:lvlJc w:val="left"/>
      <w:pPr>
        <w:tabs>
          <w:tab w:val="num" w:pos="4139"/>
        </w:tabs>
        <w:ind w:left="4139" w:hanging="907"/>
      </w:pPr>
      <w:rPr>
        <w:rFonts w:hint="default"/>
        <w:sz w:val="16"/>
        <w:szCs w:val="16"/>
      </w:rPr>
    </w:lvl>
    <w:lvl w:ilvl="6">
      <w:start w:val="1"/>
      <w:numFmt w:val="lowerRoma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0">
    <w:nsid w:val="26D1652F"/>
    <w:multiLevelType w:val="hybridMultilevel"/>
    <w:tmpl w:val="2A2AD262"/>
    <w:lvl w:ilvl="0" w:tplc="0C090009">
      <w:start w:val="1"/>
      <w:numFmt w:val="bullet"/>
      <w:lvlText w:val=""/>
      <w:lvlJc w:val="left"/>
      <w:pPr>
        <w:ind w:left="1210" w:hanging="360"/>
      </w:pPr>
      <w:rPr>
        <w:rFonts w:ascii="Wingdings" w:hAnsi="Wingdings"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11">
    <w:nsid w:val="283668A8"/>
    <w:multiLevelType w:val="hybridMultilevel"/>
    <w:tmpl w:val="5F14EC80"/>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ADF6EDA"/>
    <w:multiLevelType w:val="hybridMultilevel"/>
    <w:tmpl w:val="2E5AA0D2"/>
    <w:lvl w:ilvl="0" w:tplc="0C090017">
      <w:start w:val="1"/>
      <w:numFmt w:val="lowerLetter"/>
      <w:lvlText w:val="%1)"/>
      <w:lvlJc w:val="left"/>
      <w:pPr>
        <w:ind w:left="360" w:hanging="360"/>
      </w:pPr>
    </w:lvl>
    <w:lvl w:ilvl="1" w:tplc="0C090017">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34B84359"/>
    <w:multiLevelType w:val="hybridMultilevel"/>
    <w:tmpl w:val="FA8EC35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F333E7B"/>
    <w:multiLevelType w:val="hybridMultilevel"/>
    <w:tmpl w:val="480E8D74"/>
    <w:lvl w:ilvl="0" w:tplc="230AAAF4">
      <w:start w:val="1"/>
      <w:numFmt w:val="decimal"/>
      <w:lvlText w:val="%1."/>
      <w:lvlJc w:val="left"/>
      <w:pPr>
        <w:ind w:left="861" w:hanging="720"/>
      </w:pPr>
      <w:rPr>
        <w:rFonts w:ascii="Arial" w:eastAsia="Arial" w:hAnsi="Arial"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abstractNum w:abstractNumId="15">
    <w:nsid w:val="44E12992"/>
    <w:multiLevelType w:val="hybridMultilevel"/>
    <w:tmpl w:val="40046D04"/>
    <w:lvl w:ilvl="0" w:tplc="9D02CC36">
      <w:start w:val="1"/>
      <w:numFmt w:val="lowerRoman"/>
      <w:pStyle w:val="Subsubpara"/>
      <w:lvlText w:val="(%1)"/>
      <w:lvlJc w:val="left"/>
      <w:pPr>
        <w:tabs>
          <w:tab w:val="num" w:pos="1799"/>
        </w:tabs>
        <w:ind w:left="1259"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5B57195"/>
    <w:multiLevelType w:val="hybridMultilevel"/>
    <w:tmpl w:val="5E08D03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FE72A03"/>
    <w:multiLevelType w:val="hybridMultilevel"/>
    <w:tmpl w:val="C070255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5304E69"/>
    <w:multiLevelType w:val="hybridMultilevel"/>
    <w:tmpl w:val="EAF8EFCC"/>
    <w:lvl w:ilvl="0" w:tplc="0C090017">
      <w:start w:val="1"/>
      <w:numFmt w:val="lowerLetter"/>
      <w:lvlText w:val="%1)"/>
      <w:lvlJc w:val="left"/>
      <w:pPr>
        <w:ind w:left="720" w:hanging="360"/>
      </w:pPr>
      <w:rPr>
        <w:rFonts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73B1B9B"/>
    <w:multiLevelType w:val="hybridMultilevel"/>
    <w:tmpl w:val="2E5AA0D2"/>
    <w:lvl w:ilvl="0" w:tplc="0C090017">
      <w:start w:val="1"/>
      <w:numFmt w:val="lowerLetter"/>
      <w:lvlText w:val="%1)"/>
      <w:lvlJc w:val="left"/>
      <w:pPr>
        <w:ind w:left="360" w:hanging="360"/>
      </w:pPr>
    </w:lvl>
    <w:lvl w:ilvl="1" w:tplc="0C090017">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6B9B5C87"/>
    <w:multiLevelType w:val="hybridMultilevel"/>
    <w:tmpl w:val="E11C976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22">
    <w:nsid w:val="77857696"/>
    <w:multiLevelType w:val="hybridMultilevel"/>
    <w:tmpl w:val="4E6618A8"/>
    <w:lvl w:ilvl="0" w:tplc="5726AC30">
      <w:start w:val="1"/>
      <w:numFmt w:val="lowerLetter"/>
      <w:pStyle w:val="Subpar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7DA3710"/>
    <w:multiLevelType w:val="hybridMultilevel"/>
    <w:tmpl w:val="2488FF92"/>
    <w:lvl w:ilvl="0" w:tplc="32B002F2">
      <w:start w:val="1"/>
      <w:numFmt w:val="lowerLetter"/>
      <w:lvlText w:val="%1)"/>
      <w:lvlJc w:val="left"/>
      <w:pPr>
        <w:ind w:left="570" w:hanging="57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nsid w:val="77F72358"/>
    <w:multiLevelType w:val="hybridMultilevel"/>
    <w:tmpl w:val="2E5AA0D2"/>
    <w:lvl w:ilvl="0" w:tplc="0C090017">
      <w:start w:val="1"/>
      <w:numFmt w:val="lowerLetter"/>
      <w:lvlText w:val="%1)"/>
      <w:lvlJc w:val="left"/>
      <w:pPr>
        <w:ind w:left="360" w:hanging="360"/>
      </w:pPr>
    </w:lvl>
    <w:lvl w:ilvl="1" w:tplc="0C090017">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6"/>
  </w:num>
  <w:num w:numId="2">
    <w:abstractNumId w:val="22"/>
  </w:num>
  <w:num w:numId="3">
    <w:abstractNumId w:val="15"/>
  </w:num>
  <w:num w:numId="4">
    <w:abstractNumId w:val="21"/>
  </w:num>
  <w:num w:numId="5">
    <w:abstractNumId w:val="9"/>
  </w:num>
  <w:num w:numId="6">
    <w:abstractNumId w:val="7"/>
  </w:num>
  <w:num w:numId="7">
    <w:abstractNumId w:val="14"/>
  </w:num>
  <w:num w:numId="8">
    <w:abstractNumId w:val="5"/>
  </w:num>
  <w:num w:numId="9">
    <w:abstractNumId w:val="2"/>
  </w:num>
  <w:num w:numId="10">
    <w:abstractNumId w:val="0"/>
  </w:num>
  <w:num w:numId="11">
    <w:abstractNumId w:val="13"/>
  </w:num>
  <w:num w:numId="12">
    <w:abstractNumId w:val="20"/>
  </w:num>
  <w:num w:numId="13">
    <w:abstractNumId w:val="17"/>
  </w:num>
  <w:num w:numId="14">
    <w:abstractNumId w:val="10"/>
  </w:num>
  <w:num w:numId="15">
    <w:abstractNumId w:val="3"/>
  </w:num>
  <w:num w:numId="16">
    <w:abstractNumId w:val="24"/>
  </w:num>
  <w:num w:numId="17">
    <w:abstractNumId w:val="19"/>
  </w:num>
  <w:num w:numId="18">
    <w:abstractNumId w:val="4"/>
  </w:num>
  <w:num w:numId="19">
    <w:abstractNumId w:val="18"/>
  </w:num>
  <w:num w:numId="20">
    <w:abstractNumId w:val="1"/>
  </w:num>
  <w:num w:numId="21">
    <w:abstractNumId w:val="12"/>
  </w:num>
  <w:num w:numId="22">
    <w:abstractNumId w:val="11"/>
  </w:num>
  <w:num w:numId="23">
    <w:abstractNumId w:val="8"/>
  </w:num>
  <w:num w:numId="24">
    <w:abstractNumId w:val="1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E3A"/>
    <w:rsid w:val="0000485D"/>
    <w:rsid w:val="000076D6"/>
    <w:rsid w:val="000417D3"/>
    <w:rsid w:val="00090541"/>
    <w:rsid w:val="000D7B60"/>
    <w:rsid w:val="000F5863"/>
    <w:rsid w:val="00102CB5"/>
    <w:rsid w:val="00134C50"/>
    <w:rsid w:val="001553FB"/>
    <w:rsid w:val="00174DF7"/>
    <w:rsid w:val="001A550E"/>
    <w:rsid w:val="00223A60"/>
    <w:rsid w:val="00314089"/>
    <w:rsid w:val="00327D22"/>
    <w:rsid w:val="00354A0C"/>
    <w:rsid w:val="00365361"/>
    <w:rsid w:val="003B76B5"/>
    <w:rsid w:val="003E1855"/>
    <w:rsid w:val="003F767B"/>
    <w:rsid w:val="00435ECE"/>
    <w:rsid w:val="00466894"/>
    <w:rsid w:val="00471E99"/>
    <w:rsid w:val="004803FE"/>
    <w:rsid w:val="00484BAA"/>
    <w:rsid w:val="004A1010"/>
    <w:rsid w:val="004A5C24"/>
    <w:rsid w:val="004C07F0"/>
    <w:rsid w:val="004D63D8"/>
    <w:rsid w:val="004F720A"/>
    <w:rsid w:val="00505C5D"/>
    <w:rsid w:val="005501BC"/>
    <w:rsid w:val="00555FA6"/>
    <w:rsid w:val="00587A2D"/>
    <w:rsid w:val="00596D1F"/>
    <w:rsid w:val="005A40B6"/>
    <w:rsid w:val="005B0E3A"/>
    <w:rsid w:val="005E2A33"/>
    <w:rsid w:val="006638A1"/>
    <w:rsid w:val="006B0970"/>
    <w:rsid w:val="006B5693"/>
    <w:rsid w:val="006D0AEC"/>
    <w:rsid w:val="00713CFE"/>
    <w:rsid w:val="00722C2D"/>
    <w:rsid w:val="00740EC3"/>
    <w:rsid w:val="007515CD"/>
    <w:rsid w:val="00770610"/>
    <w:rsid w:val="00773731"/>
    <w:rsid w:val="007744F7"/>
    <w:rsid w:val="007812F6"/>
    <w:rsid w:val="007A78FD"/>
    <w:rsid w:val="007B55E6"/>
    <w:rsid w:val="00906E3D"/>
    <w:rsid w:val="00915816"/>
    <w:rsid w:val="009209CD"/>
    <w:rsid w:val="009442B1"/>
    <w:rsid w:val="00945B54"/>
    <w:rsid w:val="00947F86"/>
    <w:rsid w:val="0097404E"/>
    <w:rsid w:val="009B7766"/>
    <w:rsid w:val="009E359D"/>
    <w:rsid w:val="00A43793"/>
    <w:rsid w:val="00A443A5"/>
    <w:rsid w:val="00A465AE"/>
    <w:rsid w:val="00A56329"/>
    <w:rsid w:val="00A74F88"/>
    <w:rsid w:val="00A753EE"/>
    <w:rsid w:val="00A870A2"/>
    <w:rsid w:val="00AA685B"/>
    <w:rsid w:val="00AC02C2"/>
    <w:rsid w:val="00BB793D"/>
    <w:rsid w:val="00BC5BC3"/>
    <w:rsid w:val="00BF1523"/>
    <w:rsid w:val="00C3069D"/>
    <w:rsid w:val="00CB38E9"/>
    <w:rsid w:val="00CD321D"/>
    <w:rsid w:val="00CE7552"/>
    <w:rsid w:val="00D15B3A"/>
    <w:rsid w:val="00D25E2A"/>
    <w:rsid w:val="00D3228F"/>
    <w:rsid w:val="00D75F22"/>
    <w:rsid w:val="00D87552"/>
    <w:rsid w:val="00DA5EA4"/>
    <w:rsid w:val="00DB1D21"/>
    <w:rsid w:val="00DB6D12"/>
    <w:rsid w:val="00DE4614"/>
    <w:rsid w:val="00E21E54"/>
    <w:rsid w:val="00E62241"/>
    <w:rsid w:val="00E742E0"/>
    <w:rsid w:val="00E906B1"/>
    <w:rsid w:val="00E93663"/>
    <w:rsid w:val="00EB4513"/>
    <w:rsid w:val="00F3123A"/>
    <w:rsid w:val="00F96629"/>
    <w:rsid w:val="00F97884"/>
    <w:rsid w:val="00FB38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link w:val="CommentTextChar"/>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paragraph" w:customStyle="1" w:styleId="Note">
    <w:name w:val="Note"/>
    <w:basedOn w:val="BodyText"/>
    <w:next w:val="BodyText"/>
    <w:rsid w:val="00D25E2A"/>
    <w:pPr>
      <w:tabs>
        <w:tab w:val="clear" w:pos="567"/>
        <w:tab w:val="clear" w:pos="680"/>
      </w:tabs>
      <w:overflowPunct/>
      <w:autoSpaceDE/>
      <w:autoSpaceDN/>
      <w:adjustRightInd/>
      <w:spacing w:line="240" w:lineRule="atLeast"/>
      <w:ind w:left="2693"/>
      <w:textAlignment w:val="auto"/>
    </w:pPr>
    <w:rPr>
      <w:sz w:val="18"/>
      <w:szCs w:val="22"/>
      <w:lang w:eastAsia="en-AU"/>
    </w:rPr>
  </w:style>
  <w:style w:type="character" w:styleId="CommentReference">
    <w:name w:val="annotation reference"/>
    <w:basedOn w:val="DefaultParagraphFont"/>
    <w:semiHidden/>
    <w:rsid w:val="00D25E2A"/>
    <w:rPr>
      <w:sz w:val="16"/>
      <w:szCs w:val="16"/>
    </w:rPr>
  </w:style>
  <w:style w:type="character" w:customStyle="1" w:styleId="CommentTextChar">
    <w:name w:val="Comment Text Char"/>
    <w:basedOn w:val="DefaultParagraphFont"/>
    <w:link w:val="CommentText"/>
    <w:semiHidden/>
    <w:rsid w:val="00D25E2A"/>
  </w:style>
  <w:style w:type="paragraph" w:styleId="BalloonText">
    <w:name w:val="Balloon Text"/>
    <w:basedOn w:val="Normal"/>
    <w:link w:val="BalloonTextChar"/>
    <w:uiPriority w:val="99"/>
    <w:semiHidden/>
    <w:unhideWhenUsed/>
    <w:rsid w:val="00D25E2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E2A"/>
    <w:rPr>
      <w:rFonts w:ascii="Tahoma" w:hAnsi="Tahoma" w:cs="Tahoma"/>
      <w:sz w:val="16"/>
      <w:szCs w:val="16"/>
    </w:rPr>
  </w:style>
  <w:style w:type="paragraph" w:styleId="Quote">
    <w:name w:val="Quote"/>
    <w:basedOn w:val="Normal"/>
    <w:next w:val="Normal"/>
    <w:link w:val="QuoteChar"/>
    <w:uiPriority w:val="29"/>
    <w:qFormat/>
    <w:rsid w:val="0097404E"/>
    <w:rPr>
      <w:i/>
      <w:iCs/>
      <w:color w:val="000000" w:themeColor="text1"/>
    </w:rPr>
  </w:style>
  <w:style w:type="character" w:customStyle="1" w:styleId="QuoteChar">
    <w:name w:val="Quote Char"/>
    <w:basedOn w:val="DefaultParagraphFont"/>
    <w:link w:val="Quote"/>
    <w:uiPriority w:val="29"/>
    <w:rsid w:val="0097404E"/>
    <w:rPr>
      <w:i/>
      <w:iCs/>
      <w:color w:val="000000" w:themeColor="text1"/>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link w:val="CommentTextChar"/>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paragraph" w:customStyle="1" w:styleId="Note">
    <w:name w:val="Note"/>
    <w:basedOn w:val="BodyText"/>
    <w:next w:val="BodyText"/>
    <w:rsid w:val="00D25E2A"/>
    <w:pPr>
      <w:tabs>
        <w:tab w:val="clear" w:pos="567"/>
        <w:tab w:val="clear" w:pos="680"/>
      </w:tabs>
      <w:overflowPunct/>
      <w:autoSpaceDE/>
      <w:autoSpaceDN/>
      <w:adjustRightInd/>
      <w:spacing w:line="240" w:lineRule="atLeast"/>
      <w:ind w:left="2693"/>
      <w:textAlignment w:val="auto"/>
    </w:pPr>
    <w:rPr>
      <w:sz w:val="18"/>
      <w:szCs w:val="22"/>
      <w:lang w:eastAsia="en-AU"/>
    </w:rPr>
  </w:style>
  <w:style w:type="character" w:styleId="CommentReference">
    <w:name w:val="annotation reference"/>
    <w:basedOn w:val="DefaultParagraphFont"/>
    <w:semiHidden/>
    <w:rsid w:val="00D25E2A"/>
    <w:rPr>
      <w:sz w:val="16"/>
      <w:szCs w:val="16"/>
    </w:rPr>
  </w:style>
  <w:style w:type="character" w:customStyle="1" w:styleId="CommentTextChar">
    <w:name w:val="Comment Text Char"/>
    <w:basedOn w:val="DefaultParagraphFont"/>
    <w:link w:val="CommentText"/>
    <w:semiHidden/>
    <w:rsid w:val="00D25E2A"/>
  </w:style>
  <w:style w:type="paragraph" w:styleId="BalloonText">
    <w:name w:val="Balloon Text"/>
    <w:basedOn w:val="Normal"/>
    <w:link w:val="BalloonTextChar"/>
    <w:uiPriority w:val="99"/>
    <w:semiHidden/>
    <w:unhideWhenUsed/>
    <w:rsid w:val="00D25E2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E2A"/>
    <w:rPr>
      <w:rFonts w:ascii="Tahoma" w:hAnsi="Tahoma" w:cs="Tahoma"/>
      <w:sz w:val="16"/>
      <w:szCs w:val="16"/>
    </w:rPr>
  </w:style>
  <w:style w:type="paragraph" w:styleId="Quote">
    <w:name w:val="Quote"/>
    <w:basedOn w:val="Normal"/>
    <w:next w:val="Normal"/>
    <w:link w:val="QuoteChar"/>
    <w:uiPriority w:val="29"/>
    <w:qFormat/>
    <w:rsid w:val="0097404E"/>
    <w:rPr>
      <w:i/>
      <w:iCs/>
      <w:color w:val="000000" w:themeColor="text1"/>
    </w:rPr>
  </w:style>
  <w:style w:type="character" w:customStyle="1" w:styleId="QuoteChar">
    <w:name w:val="Quote Char"/>
    <w:basedOn w:val="DefaultParagraphFont"/>
    <w:link w:val="Quote"/>
    <w:uiPriority w:val="29"/>
    <w:rsid w:val="0097404E"/>
    <w:rPr>
      <w:i/>
      <w:iCs/>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A7565-3E6D-41FD-BB95-407CCED93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4</Pages>
  <Words>917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ASIC CLASS ORDER [CO xx/xxx]</vt:lpstr>
    </vt:vector>
  </TitlesOfParts>
  <Company>ASIC</Company>
  <LinksUpToDate>false</LinksUpToDate>
  <CharactersWithSpaces>5848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CLASS ORDER [CO xx/xxx]</dc:title>
  <dc:creator>gillian.kreuiter</dc:creator>
  <cp:lastModifiedBy>Tony.christie</cp:lastModifiedBy>
  <cp:revision>19</cp:revision>
  <cp:lastPrinted>2016-11-22T23:53:00Z</cp:lastPrinted>
  <dcterms:created xsi:type="dcterms:W3CDTF">2016-11-11T00:31:00Z</dcterms:created>
  <dcterms:modified xsi:type="dcterms:W3CDTF">2016-11-23T00:32:00Z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A4331450</vt:lpwstr>
  </property>
  <property fmtid="{D5CDD505-2E9C-101B-9397-08002B2CF9AE}" pid="4" name="Objective-Title">
    <vt:lpwstr>ASIC CLASS ORDER EXPLANATORY STATEMENT TEMPLATE</vt:lpwstr>
  </property>
  <property fmtid="{D5CDD505-2E9C-101B-9397-08002B2CF9AE}" pid="5" name="Objective-Comment">
    <vt:lpwstr>
    </vt:lpwstr>
  </property>
  <property fmtid="{D5CDD505-2E9C-101B-9397-08002B2CF9AE}" pid="6" name="Objective-CreationStamp">
    <vt:filetime>2014-11-20T00:23:54Z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2014-11-20T00:54:25Z</vt:filetime>
  </property>
  <property fmtid="{D5CDD505-2E9C-101B-9397-08002B2CF9AE}" pid="11" name="Objective-Owner">
    <vt:lpwstr>Gillian Kreuiter</vt:lpwstr>
  </property>
  <property fmtid="{D5CDD505-2E9C-101B-9397-08002B2CF9AE}" pid="12" name="Objective-Path">
    <vt:lpwstr>ASIC BCS:POLICY &amp; REGULATORY FRAMEWORK:Policy Development:Technical Updates &amp; Other:Sunsetting Class Orders Project:Sunsetting of legislative instruments:Project Management:Training:</vt:lpwstr>
  </property>
  <property fmtid="{D5CDD505-2E9C-101B-9397-08002B2CF9AE}" pid="13" name="Objective-Parent">
    <vt:lpwstr>Training</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2012 - 002402</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ies>
</file>