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00" w:rsidRPr="009A0500" w:rsidRDefault="009A0500" w:rsidP="00AA55B1">
      <w:pPr>
        <w:pBdr>
          <w:top w:val="double" w:sz="4" w:space="1" w:color="auto"/>
          <w:bottom w:val="double" w:sz="4" w:space="1" w:color="auto"/>
        </w:pBdr>
        <w:jc w:val="center"/>
        <w:rPr>
          <w:rFonts w:ascii="Arial" w:hAnsi="Arial" w:cs="Arial"/>
          <w:sz w:val="48"/>
          <w:szCs w:val="48"/>
        </w:rPr>
      </w:pPr>
      <w:bookmarkStart w:id="0" w:name="FDocName"/>
      <w:bookmarkStart w:id="1" w:name="_GoBack"/>
      <w:bookmarkEnd w:id="1"/>
      <w:r w:rsidRPr="009A0500">
        <w:rPr>
          <w:rFonts w:ascii="Arial" w:hAnsi="Arial" w:cs="Arial"/>
          <w:sz w:val="34"/>
          <w:szCs w:val="34"/>
        </w:rPr>
        <w:t xml:space="preserve">Income Tax Assessment Act 1997 – Exploration Development Incentive Modulation Factor – Declaration Instrument (No. </w:t>
      </w:r>
      <w:r w:rsidR="00235888">
        <w:rPr>
          <w:rFonts w:ascii="Arial" w:hAnsi="Arial" w:cs="Arial"/>
          <w:sz w:val="34"/>
          <w:szCs w:val="34"/>
        </w:rPr>
        <w:t>2</w:t>
      </w:r>
      <w:r w:rsidRPr="009A0500">
        <w:rPr>
          <w:rFonts w:ascii="Arial" w:hAnsi="Arial" w:cs="Arial"/>
          <w:sz w:val="34"/>
          <w:szCs w:val="34"/>
        </w:rPr>
        <w:t>) 201</w:t>
      </w:r>
      <w:r w:rsidR="00194A1C">
        <w:rPr>
          <w:rFonts w:ascii="Arial" w:hAnsi="Arial" w:cs="Arial"/>
          <w:sz w:val="34"/>
          <w:szCs w:val="34"/>
        </w:rPr>
        <w:t>6</w:t>
      </w:r>
    </w:p>
    <w:p w:rsidR="009A0500" w:rsidRPr="009A0500" w:rsidRDefault="009A0500" w:rsidP="00015FE6">
      <w:pPr>
        <w:jc w:val="center"/>
        <w:rPr>
          <w:rFonts w:ascii="Arial" w:hAnsi="Arial" w:cs="Arial"/>
          <w:sz w:val="36"/>
          <w:szCs w:val="36"/>
        </w:rPr>
      </w:pPr>
    </w:p>
    <w:p w:rsidR="009A0500" w:rsidRPr="009A0500" w:rsidRDefault="009A0500" w:rsidP="00015FE6">
      <w:pPr>
        <w:jc w:val="center"/>
        <w:rPr>
          <w:rFonts w:ascii="Arial" w:hAnsi="Arial" w:cs="Arial"/>
          <w:sz w:val="48"/>
          <w:szCs w:val="48"/>
        </w:rPr>
      </w:pPr>
      <w:r w:rsidRPr="009A0500">
        <w:rPr>
          <w:rFonts w:ascii="Arial" w:hAnsi="Arial" w:cs="Arial"/>
          <w:sz w:val="48"/>
          <w:szCs w:val="48"/>
        </w:rPr>
        <w:t>Explanatory Statement</w:t>
      </w:r>
    </w:p>
    <w:p w:rsidR="009A0500" w:rsidRPr="009A0500" w:rsidRDefault="009A0500" w:rsidP="00015FE6">
      <w:pPr>
        <w:spacing w:after="120"/>
        <w:rPr>
          <w:sz w:val="20"/>
        </w:rPr>
      </w:pPr>
    </w:p>
    <w:p w:rsidR="009A0500" w:rsidRPr="009A0500" w:rsidRDefault="009A0500" w:rsidP="00015FE6">
      <w:pPr>
        <w:keepNext/>
        <w:spacing w:after="120"/>
        <w:outlineLvl w:val="1"/>
        <w:rPr>
          <w:rFonts w:ascii="Arial" w:hAnsi="Arial"/>
          <w:b/>
          <w:szCs w:val="24"/>
        </w:rPr>
      </w:pPr>
      <w:bookmarkStart w:id="2" w:name="EDisclaimer"/>
      <w:bookmarkStart w:id="3" w:name="HBody"/>
      <w:bookmarkStart w:id="4" w:name="LReferences"/>
      <w:bookmarkStart w:id="5" w:name="NRulingRef"/>
      <w:bookmarkStart w:id="6" w:name="OSubjectRef"/>
      <w:bookmarkStart w:id="7" w:name="PLegrefText"/>
      <w:bookmarkStart w:id="8" w:name="QLegref"/>
      <w:bookmarkStart w:id="9" w:name="RCaseRefText"/>
      <w:bookmarkStart w:id="10" w:name="SCaseRef"/>
      <w:bookmarkStart w:id="11" w:name="VISSN"/>
      <w:bookmarkEnd w:id="0"/>
      <w:bookmarkEnd w:id="2"/>
      <w:bookmarkEnd w:id="3"/>
      <w:bookmarkEnd w:id="4"/>
      <w:bookmarkEnd w:id="5"/>
      <w:bookmarkEnd w:id="6"/>
      <w:bookmarkEnd w:id="7"/>
      <w:bookmarkEnd w:id="8"/>
      <w:bookmarkEnd w:id="9"/>
      <w:bookmarkEnd w:id="10"/>
      <w:bookmarkEnd w:id="11"/>
      <w:r w:rsidRPr="009A0500">
        <w:rPr>
          <w:rFonts w:ascii="Arial" w:hAnsi="Arial"/>
          <w:b/>
          <w:szCs w:val="24"/>
        </w:rPr>
        <w:t>General Outline of Instrument</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bookmarkStart w:id="12" w:name="IComments"/>
      <w:r w:rsidRPr="009A0500">
        <w:rPr>
          <w:rFonts w:ascii="Arial" w:hAnsi="Arial" w:cs="Arial"/>
          <w:sz w:val="22"/>
          <w:szCs w:val="22"/>
        </w:rPr>
        <w:t>This instrument is made under subsection 418</w:t>
      </w:r>
      <w:r w:rsidRPr="009A0500">
        <w:rPr>
          <w:rFonts w:ascii="Arial" w:hAnsi="Arial" w:cs="Arial"/>
          <w:sz w:val="22"/>
          <w:szCs w:val="22"/>
        </w:rPr>
        <w:noBreakHyphen/>
        <w:t xml:space="preserve">90(1) of the </w:t>
      </w:r>
      <w:r w:rsidRPr="00AA55B1">
        <w:rPr>
          <w:rFonts w:ascii="Arial" w:hAnsi="Arial" w:cs="Arial"/>
          <w:sz w:val="22"/>
          <w:szCs w:val="22"/>
        </w:rPr>
        <w:t>Income Tax Assessment Act 1997 </w:t>
      </w:r>
      <w:r w:rsidRPr="009A0500">
        <w:rPr>
          <w:rFonts w:ascii="Arial" w:hAnsi="Arial" w:cs="Arial"/>
          <w:sz w:val="22"/>
          <w:szCs w:val="22"/>
        </w:rPr>
        <w:t>(ITAA 1997).</w:t>
      </w:r>
    </w:p>
    <w:p w:rsid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D82AD0">
        <w:rPr>
          <w:rFonts w:ascii="Arial" w:hAnsi="Arial" w:cs="Arial"/>
          <w:sz w:val="22"/>
          <w:szCs w:val="22"/>
        </w:rPr>
        <w:t>The instrument declares that the modulation factor for the 201</w:t>
      </w:r>
      <w:r w:rsidR="00194A1C" w:rsidRPr="00D82AD0">
        <w:rPr>
          <w:rFonts w:ascii="Arial" w:hAnsi="Arial" w:cs="Arial"/>
          <w:sz w:val="22"/>
          <w:szCs w:val="22"/>
        </w:rPr>
        <w:t>6</w:t>
      </w:r>
      <w:r w:rsidRPr="00D82AD0">
        <w:rPr>
          <w:rFonts w:ascii="Arial" w:hAnsi="Arial" w:cs="Arial"/>
          <w:sz w:val="22"/>
          <w:szCs w:val="22"/>
        </w:rPr>
        <w:t>-1</w:t>
      </w:r>
      <w:r w:rsidR="00194A1C" w:rsidRPr="00D82AD0">
        <w:rPr>
          <w:rFonts w:ascii="Arial" w:hAnsi="Arial" w:cs="Arial"/>
          <w:sz w:val="22"/>
          <w:szCs w:val="22"/>
        </w:rPr>
        <w:t>7</w:t>
      </w:r>
      <w:r w:rsidRPr="00D82AD0">
        <w:rPr>
          <w:rFonts w:ascii="Arial" w:hAnsi="Arial" w:cs="Arial"/>
          <w:sz w:val="22"/>
          <w:szCs w:val="22"/>
        </w:rPr>
        <w:t xml:space="preserve"> income year is 1</w:t>
      </w:r>
      <w:r w:rsidR="002B04F0">
        <w:rPr>
          <w:rFonts w:ascii="Arial" w:hAnsi="Arial" w:cs="Arial"/>
          <w:sz w:val="22"/>
          <w:szCs w:val="22"/>
        </w:rPr>
        <w:t>.00</w:t>
      </w:r>
      <w:r w:rsidR="00D82AD0" w:rsidRPr="00D82AD0">
        <w:rPr>
          <w:rFonts w:ascii="Arial" w:hAnsi="Arial" w:cs="Arial"/>
          <w:sz w:val="22"/>
          <w:szCs w:val="22"/>
        </w:rPr>
        <w:t>.</w:t>
      </w:r>
    </w:p>
    <w:p w:rsidR="00235888" w:rsidRPr="00235888" w:rsidRDefault="00235888">
      <w:pPr>
        <w:numPr>
          <w:ilvl w:val="0"/>
          <w:numId w:val="16"/>
        </w:numPr>
        <w:tabs>
          <w:tab w:val="clear" w:pos="720"/>
          <w:tab w:val="num" w:pos="709"/>
        </w:tabs>
        <w:spacing w:after="120"/>
        <w:ind w:left="709" w:hanging="709"/>
        <w:rPr>
          <w:rFonts w:ascii="Arial" w:hAnsi="Arial" w:cs="Arial"/>
          <w:sz w:val="22"/>
          <w:szCs w:val="22"/>
        </w:rPr>
      </w:pPr>
      <w:r w:rsidRPr="00235888">
        <w:rPr>
          <w:rFonts w:ascii="Arial" w:hAnsi="Arial" w:cs="Arial"/>
          <w:sz w:val="22"/>
          <w:szCs w:val="22"/>
        </w:rPr>
        <w:t xml:space="preserve">This replacement instrument rectifies an incorrect date reference in the previous Legislative Instrument </w:t>
      </w:r>
      <w:r w:rsidRPr="00DA7F6C">
        <w:rPr>
          <w:rFonts w:ascii="Arial" w:hAnsi="Arial" w:cs="Arial"/>
          <w:i/>
          <w:sz w:val="22"/>
          <w:szCs w:val="22"/>
        </w:rPr>
        <w:t>Income Tax Assessment Act 1997 – Exploration Development Incentive Modulation Factor – Declaration Instrument (No. 1) 2016</w:t>
      </w:r>
      <w:r w:rsidRPr="00235888">
        <w:rPr>
          <w:rFonts w:ascii="Arial" w:hAnsi="Arial" w:cs="Arial"/>
          <w:sz w:val="22"/>
          <w:szCs w:val="22"/>
        </w:rPr>
        <w:t>, R20161124L007 registered on 25 November 2016.</w:t>
      </w:r>
    </w:p>
    <w:p w:rsid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 xml:space="preserve">The instrument is a legislative instrument for the purposes of the </w:t>
      </w:r>
      <w:r w:rsidR="00F9512E">
        <w:rPr>
          <w:rFonts w:ascii="Arial" w:hAnsi="Arial" w:cs="Arial"/>
          <w:sz w:val="22"/>
          <w:szCs w:val="22"/>
        </w:rPr>
        <w:t>Legislation</w:t>
      </w:r>
      <w:r w:rsidRPr="00AA55B1">
        <w:rPr>
          <w:rFonts w:ascii="Arial" w:hAnsi="Arial" w:cs="Arial"/>
          <w:sz w:val="22"/>
          <w:szCs w:val="22"/>
        </w:rPr>
        <w:t xml:space="preserve"> Act 2003</w:t>
      </w:r>
      <w:r w:rsidRPr="009A0500">
        <w:rPr>
          <w:rFonts w:ascii="Arial" w:hAnsi="Arial" w:cs="Arial"/>
          <w:sz w:val="22"/>
          <w:szCs w:val="22"/>
        </w:rPr>
        <w:t>.</w:t>
      </w:r>
    </w:p>
    <w:p w:rsidR="00F9512E" w:rsidRPr="009A0500" w:rsidRDefault="00F9512E" w:rsidP="00AA55B1">
      <w:pPr>
        <w:numPr>
          <w:ilvl w:val="0"/>
          <w:numId w:val="16"/>
        </w:numPr>
        <w:tabs>
          <w:tab w:val="clear" w:pos="720"/>
          <w:tab w:val="num" w:pos="709"/>
        </w:tabs>
        <w:spacing w:after="120"/>
        <w:ind w:left="709" w:hanging="709"/>
        <w:rPr>
          <w:rFonts w:ascii="Arial" w:hAnsi="Arial" w:cs="Arial"/>
          <w:sz w:val="22"/>
          <w:szCs w:val="22"/>
        </w:rPr>
      </w:pPr>
      <w:r>
        <w:rPr>
          <w:rFonts w:ascii="Arial" w:hAnsi="Arial" w:cs="Arial"/>
          <w:sz w:val="22"/>
          <w:szCs w:val="22"/>
        </w:rPr>
        <w:t xml:space="preserve">Under subsection 33(3) of the </w:t>
      </w:r>
      <w:r>
        <w:rPr>
          <w:rFonts w:ascii="Arial" w:hAnsi="Arial" w:cs="Arial"/>
          <w:i/>
          <w:sz w:val="22"/>
          <w:szCs w:val="22"/>
        </w:rPr>
        <w:t>Acts Interpretation Act 1901</w:t>
      </w:r>
      <w:r>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87852">
        <w:rPr>
          <w:rFonts w:ascii="Arial" w:hAnsi="Arial" w:cs="Arial"/>
          <w:sz w:val="22"/>
          <w:szCs w:val="22"/>
        </w:rPr>
        <w:t>.</w:t>
      </w:r>
    </w:p>
    <w:p w:rsidR="009A0500" w:rsidRPr="009A0500" w:rsidRDefault="009A0500" w:rsidP="00015FE6">
      <w:pPr>
        <w:spacing w:after="120"/>
        <w:rPr>
          <w:rFonts w:ascii="Arial" w:hAnsi="Arial" w:cs="Arial"/>
          <w:sz w:val="22"/>
          <w:szCs w:val="22"/>
        </w:rPr>
      </w:pPr>
    </w:p>
    <w:bookmarkEnd w:id="12"/>
    <w:p w:rsidR="009A0500" w:rsidRPr="009A0500" w:rsidRDefault="009A0500" w:rsidP="00015FE6">
      <w:pPr>
        <w:keepNext/>
        <w:spacing w:after="120"/>
        <w:outlineLvl w:val="1"/>
        <w:rPr>
          <w:rFonts w:ascii="Arial" w:hAnsi="Arial"/>
          <w:b/>
          <w:szCs w:val="24"/>
        </w:rPr>
      </w:pPr>
      <w:r w:rsidRPr="009A0500">
        <w:rPr>
          <w:rFonts w:ascii="Arial" w:hAnsi="Arial"/>
          <w:b/>
          <w:szCs w:val="24"/>
        </w:rPr>
        <w:t>Date of effect</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 xml:space="preserve">The instrument commences on the day after its registration on the Federal Register of Legislative Instruments. </w:t>
      </w:r>
    </w:p>
    <w:p w:rsidR="009A0500" w:rsidRPr="009A0500" w:rsidRDefault="009A0500" w:rsidP="00015FE6">
      <w:pPr>
        <w:spacing w:after="120"/>
        <w:rPr>
          <w:rFonts w:ascii="Arial" w:hAnsi="Arial" w:cs="Arial"/>
          <w:color w:val="000000"/>
          <w:sz w:val="22"/>
          <w:szCs w:val="22"/>
        </w:rPr>
      </w:pPr>
    </w:p>
    <w:p w:rsidR="009A0500" w:rsidRPr="009A0500" w:rsidRDefault="009A0500" w:rsidP="00015FE6">
      <w:pPr>
        <w:keepNext/>
        <w:spacing w:after="120"/>
        <w:outlineLvl w:val="1"/>
        <w:rPr>
          <w:rFonts w:ascii="Arial" w:hAnsi="Arial"/>
          <w:b/>
          <w:szCs w:val="24"/>
        </w:rPr>
      </w:pPr>
      <w:r w:rsidRPr="009A0500">
        <w:rPr>
          <w:rFonts w:ascii="Arial" w:hAnsi="Arial"/>
          <w:b/>
          <w:szCs w:val="24"/>
        </w:rPr>
        <w:t>What is this instrument about</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purpose of this instrument is to declare the modulation factor for the exploration development incentive for the 201</w:t>
      </w:r>
      <w:r w:rsidR="00194A1C">
        <w:rPr>
          <w:rFonts w:ascii="Arial" w:hAnsi="Arial" w:cs="Arial"/>
          <w:sz w:val="22"/>
          <w:szCs w:val="22"/>
        </w:rPr>
        <w:t>6</w:t>
      </w:r>
      <w:r w:rsidRPr="009A0500">
        <w:rPr>
          <w:rFonts w:ascii="Arial" w:hAnsi="Arial" w:cs="Arial"/>
          <w:sz w:val="22"/>
          <w:szCs w:val="22"/>
        </w:rPr>
        <w:t>-1</w:t>
      </w:r>
      <w:r w:rsidR="00194A1C">
        <w:rPr>
          <w:rFonts w:ascii="Arial" w:hAnsi="Arial" w:cs="Arial"/>
          <w:sz w:val="22"/>
          <w:szCs w:val="22"/>
        </w:rPr>
        <w:t>7</w:t>
      </w:r>
      <w:r w:rsidRPr="009A0500">
        <w:rPr>
          <w:rFonts w:ascii="Arial" w:hAnsi="Arial" w:cs="Arial"/>
          <w:sz w:val="22"/>
          <w:szCs w:val="22"/>
        </w:rPr>
        <w:t xml:space="preserve"> income year.</w:t>
      </w:r>
    </w:p>
    <w:p w:rsidR="009A0500" w:rsidRPr="009A0500" w:rsidRDefault="009A0500" w:rsidP="00015FE6">
      <w:pPr>
        <w:keepNext/>
        <w:keepLines/>
        <w:rPr>
          <w:rFonts w:ascii="Arial" w:hAnsi="Arial" w:cs="Arial"/>
          <w:sz w:val="22"/>
          <w:szCs w:val="22"/>
        </w:rPr>
      </w:pPr>
    </w:p>
    <w:p w:rsidR="009A0500" w:rsidRPr="009A0500" w:rsidRDefault="009A0500" w:rsidP="00015FE6">
      <w:pPr>
        <w:keepNext/>
        <w:spacing w:after="120"/>
        <w:outlineLvl w:val="1"/>
        <w:rPr>
          <w:rFonts w:ascii="Arial" w:hAnsi="Arial"/>
          <w:b/>
          <w:szCs w:val="24"/>
        </w:rPr>
      </w:pPr>
      <w:r w:rsidRPr="009A0500">
        <w:rPr>
          <w:rFonts w:ascii="Arial" w:hAnsi="Arial"/>
          <w:b/>
          <w:szCs w:val="24"/>
        </w:rPr>
        <w:t>What is the effect of this instrument</w:t>
      </w:r>
    </w:p>
    <w:p w:rsidR="009A0500" w:rsidRPr="00AA55B1"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effect of this instrument is that the modulation factor for the 201</w:t>
      </w:r>
      <w:r w:rsidR="00194A1C">
        <w:rPr>
          <w:rFonts w:ascii="Arial" w:hAnsi="Arial" w:cs="Arial"/>
          <w:sz w:val="22"/>
          <w:szCs w:val="22"/>
        </w:rPr>
        <w:t>6</w:t>
      </w:r>
      <w:r w:rsidRPr="009A0500">
        <w:rPr>
          <w:rFonts w:ascii="Arial" w:hAnsi="Arial" w:cs="Arial"/>
          <w:sz w:val="22"/>
          <w:szCs w:val="22"/>
        </w:rPr>
        <w:t>-1</w:t>
      </w:r>
      <w:r w:rsidR="00194A1C">
        <w:rPr>
          <w:rFonts w:ascii="Arial" w:hAnsi="Arial" w:cs="Arial"/>
          <w:sz w:val="22"/>
          <w:szCs w:val="22"/>
        </w:rPr>
        <w:t>7</w:t>
      </w:r>
      <w:r w:rsidRPr="009A0500">
        <w:rPr>
          <w:rFonts w:ascii="Arial" w:hAnsi="Arial" w:cs="Arial"/>
          <w:sz w:val="22"/>
          <w:szCs w:val="22"/>
        </w:rPr>
        <w:t xml:space="preserve"> income year is </w:t>
      </w:r>
      <w:r w:rsidRPr="00D82AD0">
        <w:rPr>
          <w:rFonts w:ascii="Arial" w:hAnsi="Arial" w:cs="Arial"/>
          <w:sz w:val="22"/>
          <w:szCs w:val="22"/>
        </w:rPr>
        <w:t>1</w:t>
      </w:r>
      <w:r w:rsidR="00932043">
        <w:rPr>
          <w:rFonts w:ascii="Arial" w:hAnsi="Arial" w:cs="Arial"/>
          <w:sz w:val="22"/>
          <w:szCs w:val="22"/>
        </w:rPr>
        <w:t>.00</w:t>
      </w:r>
      <w:r w:rsidRPr="00D82AD0">
        <w:rPr>
          <w:rFonts w:ascii="Arial" w:hAnsi="Arial" w:cs="Arial"/>
          <w:sz w:val="22"/>
          <w:szCs w:val="22"/>
        </w:rPr>
        <w:t xml:space="preserve">. </w:t>
      </w:r>
    </w:p>
    <w:p w:rsidR="009A0500" w:rsidRPr="00AA55B1"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modulation factor ensures that the total amount of exploration credits created by entities cannot exceed the exploration credit cap for the relevant income year ($</w:t>
      </w:r>
      <w:r w:rsidR="00194A1C">
        <w:rPr>
          <w:rFonts w:ascii="Arial" w:hAnsi="Arial" w:cs="Arial"/>
          <w:sz w:val="22"/>
          <w:szCs w:val="22"/>
        </w:rPr>
        <w:t>35</w:t>
      </w:r>
      <w:r w:rsidRPr="009A0500">
        <w:rPr>
          <w:rFonts w:ascii="Arial" w:hAnsi="Arial" w:cs="Arial"/>
          <w:sz w:val="22"/>
          <w:szCs w:val="22"/>
        </w:rPr>
        <w:t xml:space="preserve"> million for 201</w:t>
      </w:r>
      <w:r w:rsidR="00194A1C">
        <w:rPr>
          <w:rFonts w:ascii="Arial" w:hAnsi="Arial" w:cs="Arial"/>
          <w:sz w:val="22"/>
          <w:szCs w:val="22"/>
        </w:rPr>
        <w:t>6</w:t>
      </w:r>
      <w:r w:rsidRPr="009A0500">
        <w:rPr>
          <w:rFonts w:ascii="Arial" w:hAnsi="Arial" w:cs="Arial"/>
          <w:sz w:val="22"/>
          <w:szCs w:val="22"/>
        </w:rPr>
        <w:t>-1</w:t>
      </w:r>
      <w:r w:rsidR="00194A1C">
        <w:rPr>
          <w:rFonts w:ascii="Arial" w:hAnsi="Arial" w:cs="Arial"/>
          <w:sz w:val="22"/>
          <w:szCs w:val="22"/>
        </w:rPr>
        <w:t>7</w:t>
      </w:r>
      <w:r w:rsidRPr="009A0500">
        <w:rPr>
          <w:rFonts w:ascii="Arial" w:hAnsi="Arial" w:cs="Arial"/>
          <w:sz w:val="22"/>
          <w:szCs w:val="22"/>
        </w:rPr>
        <w:t xml:space="preserve">). </w:t>
      </w:r>
    </w:p>
    <w:p w:rsidR="009A0500" w:rsidRPr="00AA55B1"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 xml:space="preserve">Entities must apply the modulation factor in working out the maximum </w:t>
      </w:r>
      <w:r w:rsidR="00D82AD0">
        <w:rPr>
          <w:rFonts w:ascii="Arial" w:hAnsi="Arial" w:cs="Arial"/>
          <w:sz w:val="22"/>
          <w:szCs w:val="22"/>
        </w:rPr>
        <w:t xml:space="preserve">amount of </w:t>
      </w:r>
      <w:r w:rsidRPr="009A0500">
        <w:rPr>
          <w:rFonts w:ascii="Arial" w:hAnsi="Arial" w:cs="Arial"/>
          <w:sz w:val="22"/>
          <w:szCs w:val="22"/>
        </w:rPr>
        <w:t>exploration credit</w:t>
      </w:r>
      <w:r w:rsidR="00D82AD0">
        <w:rPr>
          <w:rFonts w:ascii="Arial" w:hAnsi="Arial" w:cs="Arial"/>
          <w:sz w:val="22"/>
          <w:szCs w:val="22"/>
        </w:rPr>
        <w:t xml:space="preserve">s they can create and </w:t>
      </w:r>
      <w:r w:rsidR="00D5057C">
        <w:rPr>
          <w:rFonts w:ascii="Arial" w:hAnsi="Arial" w:cs="Arial"/>
          <w:sz w:val="22"/>
          <w:szCs w:val="22"/>
        </w:rPr>
        <w:t>issue</w:t>
      </w:r>
      <w:r w:rsidR="00D82AD0">
        <w:rPr>
          <w:rFonts w:ascii="Arial" w:hAnsi="Arial" w:cs="Arial"/>
          <w:sz w:val="22"/>
          <w:szCs w:val="22"/>
        </w:rPr>
        <w:t xml:space="preserve"> </w:t>
      </w:r>
      <w:r w:rsidRPr="009A0500">
        <w:rPr>
          <w:rFonts w:ascii="Arial" w:hAnsi="Arial" w:cs="Arial"/>
          <w:sz w:val="22"/>
          <w:szCs w:val="22"/>
        </w:rPr>
        <w:t xml:space="preserve">for the relevant year. </w:t>
      </w:r>
    </w:p>
    <w:p w:rsidR="004C0159" w:rsidRPr="00761234" w:rsidRDefault="004C0159" w:rsidP="004C0159">
      <w:pPr>
        <w:numPr>
          <w:ilvl w:val="0"/>
          <w:numId w:val="16"/>
        </w:numPr>
        <w:tabs>
          <w:tab w:val="clear" w:pos="720"/>
          <w:tab w:val="num" w:pos="709"/>
        </w:tabs>
        <w:spacing w:after="120"/>
        <w:ind w:left="709" w:hanging="709"/>
        <w:rPr>
          <w:rFonts w:ascii="Arial" w:hAnsi="Arial" w:cs="Arial"/>
          <w:sz w:val="22"/>
          <w:szCs w:val="22"/>
        </w:rPr>
      </w:pPr>
      <w:r w:rsidRPr="00761234">
        <w:rPr>
          <w:rFonts w:ascii="Arial" w:hAnsi="Arial" w:cs="Arial"/>
          <w:sz w:val="22"/>
          <w:szCs w:val="22"/>
        </w:rPr>
        <w:lastRenderedPageBreak/>
        <w:t>Compliance Cost Impact: Minor – There will be no or minimal impacts for both implementation and ongoing compliance costs. The legislative instrument is minor or machinery in nature.</w:t>
      </w:r>
    </w:p>
    <w:p w:rsidR="009A0500" w:rsidRPr="009A0500" w:rsidRDefault="009A0500" w:rsidP="00015FE6">
      <w:pPr>
        <w:rPr>
          <w:rFonts w:ascii="Arial" w:hAnsi="Arial" w:cs="Arial"/>
          <w:sz w:val="20"/>
        </w:rPr>
      </w:pPr>
    </w:p>
    <w:p w:rsidR="009A0500" w:rsidRPr="009A0500" w:rsidRDefault="009A0500" w:rsidP="00015FE6">
      <w:pPr>
        <w:keepNext/>
        <w:keepLines/>
        <w:spacing w:after="120"/>
        <w:outlineLvl w:val="1"/>
        <w:rPr>
          <w:rFonts w:ascii="Arial" w:hAnsi="Arial"/>
          <w:b/>
          <w:szCs w:val="24"/>
        </w:rPr>
      </w:pPr>
      <w:r w:rsidRPr="009A0500">
        <w:rPr>
          <w:rFonts w:ascii="Arial" w:hAnsi="Arial"/>
          <w:b/>
          <w:szCs w:val="24"/>
        </w:rPr>
        <w:t>Background</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Subsection 418</w:t>
      </w:r>
      <w:r w:rsidRPr="009A0500">
        <w:rPr>
          <w:rFonts w:ascii="Arial" w:hAnsi="Arial" w:cs="Arial"/>
          <w:sz w:val="22"/>
          <w:szCs w:val="22"/>
        </w:rPr>
        <w:noBreakHyphen/>
        <w:t>90(1) of the ITAA 1997 provides that the Commissioner must declare, by legislative instrument, a modulation factor for the exploration development incentive for the 201</w:t>
      </w:r>
      <w:r w:rsidR="00194A1C">
        <w:rPr>
          <w:rFonts w:ascii="Arial" w:hAnsi="Arial" w:cs="Arial"/>
          <w:sz w:val="22"/>
          <w:szCs w:val="22"/>
        </w:rPr>
        <w:t>6</w:t>
      </w:r>
      <w:r w:rsidRPr="009A0500">
        <w:rPr>
          <w:rFonts w:ascii="Arial" w:hAnsi="Arial" w:cs="Arial"/>
          <w:sz w:val="22"/>
          <w:szCs w:val="22"/>
        </w:rPr>
        <w:noBreakHyphen/>
        <w:t>1</w:t>
      </w:r>
      <w:r w:rsidR="00194A1C">
        <w:rPr>
          <w:rFonts w:ascii="Arial" w:hAnsi="Arial" w:cs="Arial"/>
          <w:sz w:val="22"/>
          <w:szCs w:val="22"/>
        </w:rPr>
        <w:t>7</w:t>
      </w:r>
      <w:r w:rsidRPr="009A0500">
        <w:rPr>
          <w:rFonts w:ascii="Arial" w:hAnsi="Arial" w:cs="Arial"/>
          <w:sz w:val="22"/>
          <w:szCs w:val="22"/>
        </w:rPr>
        <w:t xml:space="preserve"> income year.</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total financial impact of the exploration development incentive, in terms of the value of tax offsets and franking credits that shareholders of entities may receive, is limited by the exploration credit cap. For the 201</w:t>
      </w:r>
      <w:r w:rsidR="00194A1C">
        <w:rPr>
          <w:rFonts w:ascii="Arial" w:hAnsi="Arial" w:cs="Arial"/>
          <w:sz w:val="22"/>
          <w:szCs w:val="22"/>
        </w:rPr>
        <w:t>6</w:t>
      </w:r>
      <w:r w:rsidRPr="009A0500">
        <w:rPr>
          <w:rFonts w:ascii="Arial" w:hAnsi="Arial" w:cs="Arial"/>
          <w:sz w:val="22"/>
          <w:szCs w:val="22"/>
        </w:rPr>
        <w:noBreakHyphen/>
        <w:t>1</w:t>
      </w:r>
      <w:r w:rsidR="00194A1C">
        <w:rPr>
          <w:rFonts w:ascii="Arial" w:hAnsi="Arial" w:cs="Arial"/>
          <w:sz w:val="22"/>
          <w:szCs w:val="22"/>
        </w:rPr>
        <w:t>7</w:t>
      </w:r>
      <w:r w:rsidRPr="009A0500">
        <w:rPr>
          <w:rFonts w:ascii="Arial" w:hAnsi="Arial" w:cs="Arial"/>
          <w:sz w:val="22"/>
          <w:szCs w:val="22"/>
        </w:rPr>
        <w:t xml:space="preserve"> income year the exploration credit cap is $</w:t>
      </w:r>
      <w:r w:rsidR="00932043">
        <w:rPr>
          <w:rFonts w:ascii="Arial" w:hAnsi="Arial" w:cs="Arial"/>
          <w:sz w:val="22"/>
          <w:szCs w:val="22"/>
        </w:rPr>
        <w:t>35</w:t>
      </w:r>
      <w:r w:rsidRPr="009A0500">
        <w:rPr>
          <w:rFonts w:ascii="Arial" w:hAnsi="Arial" w:cs="Arial"/>
          <w:sz w:val="22"/>
          <w:szCs w:val="22"/>
        </w:rPr>
        <w:t xml:space="preserve"> million. </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modulation factor is calculated by the Commissioner to ensure the exploration credit cap is not exceeded. The modulation factor is used by entities in working out the maximum exploration credit amount of credits they can issue in the 201</w:t>
      </w:r>
      <w:r w:rsidR="00194A1C">
        <w:rPr>
          <w:rFonts w:ascii="Arial" w:hAnsi="Arial" w:cs="Arial"/>
          <w:sz w:val="22"/>
          <w:szCs w:val="22"/>
        </w:rPr>
        <w:t>6</w:t>
      </w:r>
      <w:r w:rsidRPr="009A0500">
        <w:rPr>
          <w:rFonts w:ascii="Arial" w:hAnsi="Arial" w:cs="Arial"/>
          <w:sz w:val="22"/>
          <w:szCs w:val="22"/>
        </w:rPr>
        <w:t>-1</w:t>
      </w:r>
      <w:r w:rsidR="00194A1C">
        <w:rPr>
          <w:rFonts w:ascii="Arial" w:hAnsi="Arial" w:cs="Arial"/>
          <w:sz w:val="22"/>
          <w:szCs w:val="22"/>
        </w:rPr>
        <w:t>7</w:t>
      </w:r>
      <w:r w:rsidRPr="009A0500">
        <w:rPr>
          <w:rFonts w:ascii="Arial" w:hAnsi="Arial" w:cs="Arial"/>
          <w:sz w:val="22"/>
          <w:szCs w:val="22"/>
        </w:rPr>
        <w:t xml:space="preserve"> income year.</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Commissioner calculates the modulation factor using the following formula:</w:t>
      </w:r>
    </w:p>
    <w:tbl>
      <w:tblPr>
        <w:tblW w:w="6457" w:type="dxa"/>
        <w:tblInd w:w="817" w:type="dxa"/>
        <w:tblLook w:val="04A0" w:firstRow="1" w:lastRow="0" w:firstColumn="1" w:lastColumn="0" w:noHBand="0" w:noVBand="1"/>
      </w:tblPr>
      <w:tblGrid>
        <w:gridCol w:w="1293"/>
        <w:gridCol w:w="345"/>
        <w:gridCol w:w="142"/>
        <w:gridCol w:w="4677"/>
      </w:tblGrid>
      <w:tr w:rsidR="009A0500" w:rsidRPr="009A0500" w:rsidTr="00A16DB5">
        <w:trPr>
          <w:trHeight w:val="285"/>
        </w:trPr>
        <w:tc>
          <w:tcPr>
            <w:tcW w:w="1293" w:type="dxa"/>
            <w:shd w:val="clear" w:color="auto" w:fill="auto"/>
            <w:noWrap/>
            <w:vAlign w:val="bottom"/>
            <w:hideMark/>
          </w:tcPr>
          <w:p w:rsidR="009A0500" w:rsidRPr="009A0500" w:rsidRDefault="009A0500" w:rsidP="00015FE6">
            <w:pPr>
              <w:rPr>
                <w:rFonts w:ascii="Arial" w:hAnsi="Arial" w:cs="Arial"/>
                <w:sz w:val="22"/>
                <w:szCs w:val="22"/>
              </w:rPr>
            </w:pPr>
          </w:p>
        </w:tc>
        <w:tc>
          <w:tcPr>
            <w:tcW w:w="345" w:type="dxa"/>
            <w:shd w:val="clear" w:color="auto" w:fill="auto"/>
            <w:noWrap/>
            <w:vAlign w:val="bottom"/>
            <w:hideMark/>
          </w:tcPr>
          <w:p w:rsidR="009A0500" w:rsidRPr="009A0500" w:rsidRDefault="009A0500" w:rsidP="00015FE6">
            <w:pPr>
              <w:rPr>
                <w:rFonts w:ascii="Arial" w:hAnsi="Arial" w:cs="Arial"/>
                <w:sz w:val="22"/>
                <w:szCs w:val="22"/>
              </w:rPr>
            </w:pPr>
          </w:p>
        </w:tc>
        <w:tc>
          <w:tcPr>
            <w:tcW w:w="4819" w:type="dxa"/>
            <w:gridSpan w:val="2"/>
            <w:tcBorders>
              <w:bottom w:val="single" w:sz="4" w:space="0" w:color="auto"/>
            </w:tcBorders>
            <w:shd w:val="clear" w:color="auto" w:fill="auto"/>
            <w:noWrap/>
            <w:vAlign w:val="bottom"/>
            <w:hideMark/>
          </w:tcPr>
          <w:p w:rsidR="009A0500" w:rsidRPr="009A0500" w:rsidRDefault="009A0500" w:rsidP="00015FE6">
            <w:pPr>
              <w:rPr>
                <w:rFonts w:ascii="Arial" w:hAnsi="Arial" w:cs="Arial"/>
                <w:sz w:val="22"/>
                <w:szCs w:val="22"/>
              </w:rPr>
            </w:pPr>
            <w:r w:rsidRPr="009A0500">
              <w:rPr>
                <w:rFonts w:ascii="Arial" w:hAnsi="Arial" w:cs="Arial"/>
                <w:sz w:val="22"/>
                <w:szCs w:val="22"/>
              </w:rPr>
              <w:t>Exploration credit cap expenditure amount</w:t>
            </w:r>
          </w:p>
        </w:tc>
      </w:tr>
      <w:tr w:rsidR="009A0500" w:rsidRPr="009A0500" w:rsidTr="00A16DB5">
        <w:trPr>
          <w:trHeight w:val="285"/>
        </w:trPr>
        <w:tc>
          <w:tcPr>
            <w:tcW w:w="1293" w:type="dxa"/>
            <w:shd w:val="clear" w:color="auto" w:fill="auto"/>
            <w:noWrap/>
            <w:vAlign w:val="bottom"/>
            <w:hideMark/>
          </w:tcPr>
          <w:p w:rsidR="009A0500" w:rsidRPr="009A0500" w:rsidRDefault="009A0500" w:rsidP="00015FE6">
            <w:pPr>
              <w:rPr>
                <w:rFonts w:ascii="Arial" w:hAnsi="Arial" w:cs="Arial"/>
                <w:sz w:val="22"/>
                <w:szCs w:val="22"/>
              </w:rPr>
            </w:pPr>
          </w:p>
        </w:tc>
        <w:tc>
          <w:tcPr>
            <w:tcW w:w="487" w:type="dxa"/>
            <w:gridSpan w:val="2"/>
            <w:shd w:val="clear" w:color="auto" w:fill="auto"/>
            <w:noWrap/>
            <w:vAlign w:val="bottom"/>
            <w:hideMark/>
          </w:tcPr>
          <w:p w:rsidR="009A0500" w:rsidRPr="009A0500" w:rsidRDefault="009A0500" w:rsidP="00015FE6">
            <w:pPr>
              <w:rPr>
                <w:rFonts w:ascii="Arial" w:hAnsi="Arial" w:cs="Arial"/>
                <w:sz w:val="22"/>
                <w:szCs w:val="22"/>
              </w:rPr>
            </w:pPr>
          </w:p>
        </w:tc>
        <w:tc>
          <w:tcPr>
            <w:tcW w:w="4677" w:type="dxa"/>
            <w:tcBorders>
              <w:top w:val="single" w:sz="4" w:space="0" w:color="auto"/>
            </w:tcBorders>
            <w:shd w:val="clear" w:color="auto" w:fill="auto"/>
            <w:noWrap/>
            <w:vAlign w:val="bottom"/>
            <w:hideMark/>
          </w:tcPr>
          <w:p w:rsidR="009A0500" w:rsidRPr="009A0500" w:rsidRDefault="009A0500" w:rsidP="00015FE6">
            <w:pPr>
              <w:rPr>
                <w:rFonts w:ascii="Arial" w:hAnsi="Arial" w:cs="Arial"/>
                <w:sz w:val="22"/>
                <w:szCs w:val="22"/>
              </w:rPr>
            </w:pPr>
            <w:r w:rsidRPr="009A0500">
              <w:rPr>
                <w:rFonts w:ascii="Arial" w:hAnsi="Arial" w:cs="Arial"/>
                <w:sz w:val="22"/>
                <w:szCs w:val="22"/>
              </w:rPr>
              <w:t>Total notified exploration expenditure amount</w:t>
            </w:r>
          </w:p>
        </w:tc>
      </w:tr>
    </w:tbl>
    <w:p w:rsidR="009A0500" w:rsidRPr="009A0500" w:rsidRDefault="009A0500" w:rsidP="00AA55B1">
      <w:pPr>
        <w:spacing w:after="120"/>
        <w:ind w:left="709"/>
        <w:rPr>
          <w:rFonts w:ascii="Arial" w:hAnsi="Arial" w:cs="Arial"/>
          <w:sz w:val="22"/>
          <w:szCs w:val="22"/>
        </w:rPr>
      </w:pPr>
      <w:r w:rsidRPr="009A0500">
        <w:rPr>
          <w:rFonts w:ascii="Arial" w:hAnsi="Arial" w:cs="Arial"/>
          <w:sz w:val="22"/>
          <w:szCs w:val="22"/>
        </w:rPr>
        <w:t>where:</w:t>
      </w:r>
    </w:p>
    <w:p w:rsidR="009A0500" w:rsidRPr="009A0500" w:rsidRDefault="009A0500" w:rsidP="00AA55B1">
      <w:pPr>
        <w:spacing w:after="120"/>
        <w:ind w:left="709"/>
        <w:rPr>
          <w:rFonts w:ascii="Arial" w:hAnsi="Arial" w:cs="Arial"/>
          <w:b/>
          <w:sz w:val="22"/>
          <w:szCs w:val="22"/>
        </w:rPr>
      </w:pPr>
      <w:r w:rsidRPr="009A0500">
        <w:rPr>
          <w:rFonts w:ascii="Arial" w:hAnsi="Arial" w:cs="Arial"/>
          <w:b/>
          <w:sz w:val="22"/>
          <w:szCs w:val="22"/>
        </w:rPr>
        <w:t xml:space="preserve">Exploration credit cap expenditure amount </w:t>
      </w:r>
      <w:r w:rsidRPr="009A0500">
        <w:rPr>
          <w:rFonts w:ascii="Arial" w:hAnsi="Arial" w:cs="Arial"/>
          <w:sz w:val="22"/>
          <w:szCs w:val="22"/>
        </w:rPr>
        <w:t>is the amount that is equal to the exploration credit cap for the 201</w:t>
      </w:r>
      <w:r w:rsidR="00194A1C">
        <w:rPr>
          <w:rFonts w:ascii="Arial" w:hAnsi="Arial" w:cs="Arial"/>
          <w:sz w:val="22"/>
          <w:szCs w:val="22"/>
        </w:rPr>
        <w:t>6</w:t>
      </w:r>
      <w:r w:rsidRPr="009A0500">
        <w:rPr>
          <w:rFonts w:ascii="Arial" w:hAnsi="Arial" w:cs="Arial"/>
          <w:sz w:val="22"/>
          <w:szCs w:val="22"/>
        </w:rPr>
        <w:t>-1</w:t>
      </w:r>
      <w:r w:rsidR="00194A1C">
        <w:rPr>
          <w:rFonts w:ascii="Arial" w:hAnsi="Arial" w:cs="Arial"/>
          <w:sz w:val="22"/>
          <w:szCs w:val="22"/>
        </w:rPr>
        <w:t>7</w:t>
      </w:r>
      <w:r w:rsidRPr="009A0500">
        <w:rPr>
          <w:rFonts w:ascii="Arial" w:hAnsi="Arial" w:cs="Arial"/>
          <w:sz w:val="22"/>
          <w:szCs w:val="22"/>
        </w:rPr>
        <w:t xml:space="preserve"> income year ($</w:t>
      </w:r>
      <w:r w:rsidR="00194A1C">
        <w:rPr>
          <w:rFonts w:ascii="Arial" w:hAnsi="Arial" w:cs="Arial"/>
          <w:sz w:val="22"/>
          <w:szCs w:val="22"/>
        </w:rPr>
        <w:t>3</w:t>
      </w:r>
      <w:r w:rsidRPr="009A0500">
        <w:rPr>
          <w:rFonts w:ascii="Arial" w:hAnsi="Arial" w:cs="Arial"/>
          <w:sz w:val="22"/>
          <w:szCs w:val="22"/>
        </w:rPr>
        <w:t>5 million) divided by the corporate tax rate for the 201</w:t>
      </w:r>
      <w:r w:rsidR="00194A1C">
        <w:rPr>
          <w:rFonts w:ascii="Arial" w:hAnsi="Arial" w:cs="Arial"/>
          <w:sz w:val="22"/>
          <w:szCs w:val="22"/>
        </w:rPr>
        <w:t>5</w:t>
      </w:r>
      <w:r w:rsidRPr="009A0500">
        <w:rPr>
          <w:rFonts w:ascii="Arial" w:hAnsi="Arial" w:cs="Arial"/>
          <w:sz w:val="22"/>
          <w:szCs w:val="22"/>
        </w:rPr>
        <w:t>-1</w:t>
      </w:r>
      <w:r w:rsidR="00194A1C">
        <w:rPr>
          <w:rFonts w:ascii="Arial" w:hAnsi="Arial" w:cs="Arial"/>
          <w:sz w:val="22"/>
          <w:szCs w:val="22"/>
        </w:rPr>
        <w:t>6</w:t>
      </w:r>
      <w:r w:rsidRPr="009A0500">
        <w:rPr>
          <w:rFonts w:ascii="Arial" w:hAnsi="Arial" w:cs="Arial"/>
          <w:sz w:val="22"/>
          <w:szCs w:val="22"/>
        </w:rPr>
        <w:t xml:space="preserve"> income year (30%).</w:t>
      </w:r>
    </w:p>
    <w:p w:rsidR="009A0500" w:rsidRPr="009A0500" w:rsidRDefault="009A0500" w:rsidP="00AA55B1">
      <w:pPr>
        <w:spacing w:after="120"/>
        <w:ind w:left="709"/>
        <w:rPr>
          <w:rFonts w:ascii="Arial" w:hAnsi="Arial" w:cs="Arial"/>
          <w:sz w:val="22"/>
          <w:szCs w:val="22"/>
        </w:rPr>
      </w:pPr>
      <w:r w:rsidRPr="009A0500">
        <w:rPr>
          <w:rFonts w:ascii="Arial" w:hAnsi="Arial" w:cs="Arial"/>
          <w:b/>
          <w:sz w:val="22"/>
          <w:szCs w:val="22"/>
        </w:rPr>
        <w:t>Total notified exploration expenditure amount</w:t>
      </w:r>
      <w:r w:rsidRPr="009A0500">
        <w:rPr>
          <w:rFonts w:ascii="Arial" w:hAnsi="Arial" w:cs="Arial"/>
          <w:sz w:val="22"/>
          <w:szCs w:val="22"/>
        </w:rPr>
        <w:t xml:space="preserve"> is the sum of amounts notified to the Commissioner by each entity under subsection 418-70(1) of the ITAA 1997</w:t>
      </w:r>
      <w:r w:rsidRPr="009A0500">
        <w:rPr>
          <w:rFonts w:ascii="Arial" w:hAnsi="Arial" w:cs="Arial"/>
          <w:sz w:val="22"/>
          <w:szCs w:val="22"/>
          <w:vertAlign w:val="superscript"/>
        </w:rPr>
        <w:footnoteReference w:id="1"/>
      </w:r>
      <w:r w:rsidRPr="009A0500">
        <w:rPr>
          <w:rFonts w:ascii="Arial" w:hAnsi="Arial" w:cs="Arial"/>
          <w:sz w:val="22"/>
          <w:szCs w:val="22"/>
        </w:rPr>
        <w:t xml:space="preserve"> in each case being the lesser of the two amounts notified (estimated greenfields minerals expenditure and estimated tax loss (if applicable) for the 201</w:t>
      </w:r>
      <w:r w:rsidR="00194A1C">
        <w:rPr>
          <w:rFonts w:ascii="Arial" w:hAnsi="Arial" w:cs="Arial"/>
          <w:sz w:val="22"/>
          <w:szCs w:val="22"/>
        </w:rPr>
        <w:t>5</w:t>
      </w:r>
      <w:r w:rsidRPr="009A0500">
        <w:rPr>
          <w:rFonts w:ascii="Arial" w:hAnsi="Arial" w:cs="Arial"/>
          <w:sz w:val="22"/>
          <w:szCs w:val="22"/>
        </w:rPr>
        <w:t>-1</w:t>
      </w:r>
      <w:r w:rsidR="00194A1C">
        <w:rPr>
          <w:rFonts w:ascii="Arial" w:hAnsi="Arial" w:cs="Arial"/>
          <w:sz w:val="22"/>
          <w:szCs w:val="22"/>
        </w:rPr>
        <w:t>6</w:t>
      </w:r>
      <w:r w:rsidRPr="009A0500">
        <w:rPr>
          <w:rFonts w:ascii="Arial" w:hAnsi="Arial" w:cs="Arial"/>
          <w:sz w:val="22"/>
          <w:szCs w:val="22"/>
        </w:rPr>
        <w:t xml:space="preserve"> income year).</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modulation factor is the amount calculated using the above formula if that amount is less than 1</w:t>
      </w:r>
      <w:r w:rsidR="00932043">
        <w:rPr>
          <w:rFonts w:ascii="Arial" w:hAnsi="Arial" w:cs="Arial"/>
          <w:sz w:val="22"/>
          <w:szCs w:val="22"/>
        </w:rPr>
        <w:t>.00</w:t>
      </w:r>
      <w:r w:rsidR="006F245B">
        <w:rPr>
          <w:rFonts w:ascii="Arial" w:hAnsi="Arial" w:cs="Arial"/>
          <w:sz w:val="22"/>
          <w:szCs w:val="22"/>
        </w:rPr>
        <w:t>.</w:t>
      </w:r>
      <w:r w:rsidRPr="009A0500">
        <w:rPr>
          <w:rFonts w:ascii="Arial" w:hAnsi="Arial" w:cs="Arial"/>
          <w:sz w:val="22"/>
          <w:szCs w:val="22"/>
        </w:rPr>
        <w:t xml:space="preserve"> </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modulation factor is 1 if the amount calculated using the above formula is or is greater than 1</w:t>
      </w:r>
      <w:r w:rsidR="00932043">
        <w:rPr>
          <w:rFonts w:ascii="Arial" w:hAnsi="Arial" w:cs="Arial"/>
          <w:sz w:val="22"/>
          <w:szCs w:val="22"/>
        </w:rPr>
        <w:t>.00</w:t>
      </w:r>
      <w:r w:rsidRPr="009A0500">
        <w:rPr>
          <w:rFonts w:ascii="Arial" w:hAnsi="Arial" w:cs="Arial"/>
          <w:sz w:val="22"/>
          <w:szCs w:val="22"/>
        </w:rPr>
        <w:t>.</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The modulation factor is applied at step 3 of the method statement for working out an entity’s maximum exploration credit amount under subsection 418-85(2) of the ITAA 1997. Broadly, this process has regard to the lower or lowest of the entity’s estimated and actual exploration expenditure (or estimated or actual tax loss if applicable) for the previous income year and the previous year company tax rate (30% for 201</w:t>
      </w:r>
      <w:r w:rsidR="00194A1C">
        <w:rPr>
          <w:rFonts w:ascii="Arial" w:hAnsi="Arial" w:cs="Arial"/>
          <w:sz w:val="22"/>
          <w:szCs w:val="22"/>
        </w:rPr>
        <w:t>5</w:t>
      </w:r>
      <w:r w:rsidRPr="009A0500">
        <w:rPr>
          <w:rFonts w:ascii="Arial" w:hAnsi="Arial" w:cs="Arial"/>
          <w:sz w:val="22"/>
          <w:szCs w:val="22"/>
        </w:rPr>
        <w:t>-1</w:t>
      </w:r>
      <w:r w:rsidR="00194A1C">
        <w:rPr>
          <w:rFonts w:ascii="Arial" w:hAnsi="Arial" w:cs="Arial"/>
          <w:sz w:val="22"/>
          <w:szCs w:val="22"/>
        </w:rPr>
        <w:t>6</w:t>
      </w:r>
      <w:r w:rsidRPr="009A0500">
        <w:rPr>
          <w:rFonts w:ascii="Arial" w:hAnsi="Arial" w:cs="Arial"/>
          <w:sz w:val="22"/>
          <w:szCs w:val="22"/>
        </w:rPr>
        <w:t xml:space="preserve">).   </w:t>
      </w:r>
    </w:p>
    <w:p w:rsidR="009A0500" w:rsidRP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t>To protect taxpayers from potentially significant compliance costs and penalties in respect of something that is wholly beyond their control, this instrument is not subject to disallowance (see subsection 418-90(6) of the ITAA 1997).</w:t>
      </w:r>
    </w:p>
    <w:p w:rsidR="009A0500" w:rsidRDefault="009A0500" w:rsidP="00AA55B1">
      <w:pPr>
        <w:numPr>
          <w:ilvl w:val="0"/>
          <w:numId w:val="16"/>
        </w:numPr>
        <w:tabs>
          <w:tab w:val="clear" w:pos="720"/>
          <w:tab w:val="num" w:pos="709"/>
        </w:tabs>
        <w:spacing w:after="120"/>
        <w:ind w:left="709" w:hanging="709"/>
        <w:rPr>
          <w:rFonts w:ascii="Arial" w:hAnsi="Arial" w:cs="Arial"/>
          <w:sz w:val="22"/>
          <w:szCs w:val="22"/>
        </w:rPr>
      </w:pPr>
      <w:r w:rsidRPr="009A0500">
        <w:rPr>
          <w:rFonts w:ascii="Arial" w:hAnsi="Arial" w:cs="Arial"/>
          <w:sz w:val="22"/>
          <w:szCs w:val="22"/>
        </w:rPr>
        <w:lastRenderedPageBreak/>
        <w:t>Further, in the event of an error by the Commissioner, the validity of the Commissioner’s declaration of the modulation factor for an income year is not affected if the Commissioner errs in complying with the exact technical process set out for the calculation of the modulation factor (see subsection 418-90(5) of the ITAA 1997).</w:t>
      </w:r>
    </w:p>
    <w:p w:rsidR="009A0500" w:rsidRPr="009A0500" w:rsidRDefault="009A0500" w:rsidP="00015FE6">
      <w:pPr>
        <w:rPr>
          <w:rFonts w:ascii="Arial" w:hAnsi="Arial" w:cs="Arial"/>
          <w:sz w:val="20"/>
        </w:rPr>
      </w:pPr>
    </w:p>
    <w:p w:rsidR="009A0500" w:rsidRPr="009A0500" w:rsidRDefault="009A0500" w:rsidP="00015FE6">
      <w:pPr>
        <w:keepNext/>
        <w:spacing w:after="120"/>
        <w:outlineLvl w:val="1"/>
        <w:rPr>
          <w:rFonts w:ascii="Arial" w:hAnsi="Arial"/>
          <w:b/>
          <w:szCs w:val="24"/>
        </w:rPr>
      </w:pPr>
      <w:r w:rsidRPr="009A0500">
        <w:rPr>
          <w:rFonts w:ascii="Arial" w:hAnsi="Arial"/>
          <w:b/>
          <w:szCs w:val="24"/>
        </w:rPr>
        <w:t>Consultation:</w:t>
      </w:r>
    </w:p>
    <w:p w:rsidR="00350F62" w:rsidRPr="00AA55B1" w:rsidRDefault="009A0500" w:rsidP="00AA55B1">
      <w:pPr>
        <w:numPr>
          <w:ilvl w:val="0"/>
          <w:numId w:val="16"/>
        </w:numPr>
        <w:tabs>
          <w:tab w:val="clear" w:pos="720"/>
          <w:tab w:val="num" w:pos="709"/>
        </w:tabs>
        <w:spacing w:after="120"/>
        <w:ind w:left="709" w:hanging="709"/>
        <w:rPr>
          <w:rFonts w:ascii="Arial" w:hAnsi="Arial" w:cs="Arial"/>
          <w:sz w:val="22"/>
          <w:szCs w:val="22"/>
        </w:rPr>
      </w:pPr>
      <w:r w:rsidRPr="00AA55B1">
        <w:rPr>
          <w:rFonts w:ascii="Arial" w:hAnsi="Arial" w:cs="Arial"/>
          <w:sz w:val="22"/>
          <w:szCs w:val="22"/>
        </w:rPr>
        <w:t xml:space="preserve">The Energy and Resources Working Group </w:t>
      </w:r>
      <w:r w:rsidR="00350F62" w:rsidRPr="00AA55B1">
        <w:rPr>
          <w:rFonts w:ascii="Arial" w:hAnsi="Arial" w:cs="Arial"/>
          <w:sz w:val="22"/>
          <w:szCs w:val="22"/>
        </w:rPr>
        <w:t xml:space="preserve">was previously consulted on </w:t>
      </w:r>
      <w:r w:rsidRPr="00AA55B1">
        <w:rPr>
          <w:rFonts w:ascii="Arial" w:hAnsi="Arial" w:cs="Arial"/>
          <w:sz w:val="22"/>
          <w:szCs w:val="22"/>
        </w:rPr>
        <w:t>the process and mechanism for the calculation of the modulation factor</w:t>
      </w:r>
      <w:r w:rsidR="00350F62" w:rsidRPr="00AA55B1">
        <w:rPr>
          <w:rFonts w:ascii="Arial" w:hAnsi="Arial" w:cs="Arial"/>
          <w:sz w:val="22"/>
          <w:szCs w:val="22"/>
        </w:rPr>
        <w:t xml:space="preserve"> for the 2015-16 income year. This process was repeated for the 2016-17 income year.</w:t>
      </w:r>
    </w:p>
    <w:p w:rsidR="009A0500" w:rsidRPr="00AA55B1" w:rsidRDefault="009A0500" w:rsidP="00AA55B1">
      <w:pPr>
        <w:numPr>
          <w:ilvl w:val="0"/>
          <w:numId w:val="16"/>
        </w:numPr>
        <w:tabs>
          <w:tab w:val="clear" w:pos="720"/>
          <w:tab w:val="num" w:pos="709"/>
        </w:tabs>
        <w:spacing w:after="120"/>
        <w:ind w:left="709" w:hanging="709"/>
        <w:rPr>
          <w:rFonts w:ascii="Arial" w:hAnsi="Arial" w:cs="Arial"/>
          <w:sz w:val="22"/>
          <w:szCs w:val="22"/>
        </w:rPr>
      </w:pPr>
      <w:r w:rsidRPr="00AA55B1">
        <w:rPr>
          <w:rFonts w:ascii="Arial" w:hAnsi="Arial" w:cs="Arial"/>
          <w:sz w:val="22"/>
          <w:szCs w:val="22"/>
        </w:rPr>
        <w:t>The Working Group’s membership includes representatives of major tax, law and accounting associations and representatives of resource industry associations, including the Australian Association of Mining and Exploration Companies (AMEC).</w:t>
      </w:r>
    </w:p>
    <w:p w:rsidR="009A0500" w:rsidRPr="00AA55B1" w:rsidRDefault="009A0500" w:rsidP="00AA55B1">
      <w:pPr>
        <w:numPr>
          <w:ilvl w:val="0"/>
          <w:numId w:val="16"/>
        </w:numPr>
        <w:tabs>
          <w:tab w:val="clear" w:pos="720"/>
          <w:tab w:val="num" w:pos="709"/>
        </w:tabs>
        <w:spacing w:after="120"/>
        <w:ind w:left="709" w:hanging="709"/>
        <w:rPr>
          <w:rFonts w:ascii="Arial" w:hAnsi="Arial" w:cs="Arial"/>
          <w:sz w:val="22"/>
          <w:szCs w:val="22"/>
        </w:rPr>
      </w:pPr>
      <w:r w:rsidRPr="00AA55B1">
        <w:rPr>
          <w:rFonts w:ascii="Arial" w:hAnsi="Arial" w:cs="Arial"/>
          <w:sz w:val="22"/>
          <w:szCs w:val="22"/>
        </w:rPr>
        <w:t xml:space="preserve">Wider consultation was not considered necessary as only entities who are members of the mining industry can pass on the benefit of the exploration development incentive. </w:t>
      </w:r>
    </w:p>
    <w:p w:rsidR="009A0500" w:rsidRDefault="009A0500" w:rsidP="00015FE6">
      <w:pPr>
        <w:spacing w:after="120"/>
        <w:rPr>
          <w:rFonts w:ascii="Arial" w:hAnsi="Arial" w:cs="Arial"/>
          <w:sz w:val="22"/>
          <w:szCs w:val="22"/>
        </w:rPr>
      </w:pPr>
    </w:p>
    <w:p w:rsidR="00AA55B1" w:rsidRDefault="00AA55B1" w:rsidP="00015FE6">
      <w:pPr>
        <w:spacing w:after="120"/>
        <w:rPr>
          <w:rFonts w:ascii="Arial" w:hAnsi="Arial" w:cs="Arial"/>
          <w:sz w:val="22"/>
          <w:szCs w:val="22"/>
        </w:rPr>
      </w:pPr>
    </w:p>
    <w:p w:rsidR="00AA55B1" w:rsidRPr="009A0500" w:rsidRDefault="00AA55B1" w:rsidP="00015FE6">
      <w:pPr>
        <w:spacing w:after="120"/>
        <w:rPr>
          <w:rFonts w:ascii="Arial" w:hAnsi="Arial" w:cs="Arial"/>
          <w:sz w:val="22"/>
          <w:szCs w:val="22"/>
        </w:rPr>
      </w:pPr>
    </w:p>
    <w:p w:rsidR="009A0500" w:rsidRPr="009A0500" w:rsidRDefault="009A0500" w:rsidP="00761234">
      <w:pPr>
        <w:pBdr>
          <w:bottom w:val="single" w:sz="4" w:space="1" w:color="auto"/>
        </w:pBdr>
        <w:rPr>
          <w:rFonts w:ascii="Arial" w:hAnsi="Arial" w:cs="Arial"/>
          <w:sz w:val="20"/>
        </w:rPr>
      </w:pPr>
    </w:p>
    <w:p w:rsidR="009A0500" w:rsidRPr="009A0500" w:rsidRDefault="009A0500" w:rsidP="00015FE6">
      <w:pPr>
        <w:spacing w:after="60"/>
        <w:rPr>
          <w:rFonts w:ascii="Arial" w:hAnsi="Arial" w:cs="Arial"/>
          <w:i/>
          <w:sz w:val="20"/>
        </w:rPr>
      </w:pPr>
      <w:r w:rsidRPr="009A0500">
        <w:rPr>
          <w:rFonts w:ascii="Arial" w:hAnsi="Arial" w:cs="Arial"/>
          <w:i/>
          <w:sz w:val="20"/>
        </w:rPr>
        <w:t>Legislative references:</w:t>
      </w:r>
    </w:p>
    <w:p w:rsidR="009A0500" w:rsidRPr="009A0500" w:rsidRDefault="009A0500" w:rsidP="00015FE6">
      <w:pPr>
        <w:spacing w:after="60"/>
        <w:rPr>
          <w:rFonts w:ascii="Arial" w:hAnsi="Arial" w:cs="Arial"/>
          <w:i/>
          <w:color w:val="000000"/>
          <w:sz w:val="20"/>
        </w:rPr>
      </w:pPr>
      <w:r w:rsidRPr="009A0500">
        <w:rPr>
          <w:rFonts w:ascii="Arial" w:hAnsi="Arial" w:cs="Arial"/>
          <w:i/>
          <w:color w:val="000000"/>
          <w:sz w:val="20"/>
        </w:rPr>
        <w:t>Income Tax Assessment Act 1997</w:t>
      </w:r>
    </w:p>
    <w:p w:rsidR="009A0500" w:rsidRDefault="009A0500" w:rsidP="00015FE6">
      <w:pPr>
        <w:spacing w:after="60"/>
        <w:rPr>
          <w:rFonts w:ascii="Arial" w:hAnsi="Arial" w:cs="Arial"/>
          <w:i/>
          <w:color w:val="000000"/>
          <w:sz w:val="20"/>
        </w:rPr>
      </w:pPr>
      <w:r w:rsidRPr="009A0500">
        <w:rPr>
          <w:rFonts w:ascii="Arial" w:hAnsi="Arial" w:cs="Arial"/>
          <w:i/>
          <w:color w:val="000000"/>
          <w:sz w:val="20"/>
        </w:rPr>
        <w:t>Human Rights (Parliamentary Scrutiny) Act 2011</w:t>
      </w:r>
    </w:p>
    <w:p w:rsidR="00F9512E" w:rsidRPr="009A0500" w:rsidRDefault="00F9512E" w:rsidP="00015FE6">
      <w:pPr>
        <w:spacing w:after="60"/>
        <w:rPr>
          <w:rFonts w:ascii="Arial" w:hAnsi="Arial" w:cs="Arial"/>
          <w:i/>
          <w:color w:val="000000"/>
          <w:sz w:val="20"/>
        </w:rPr>
      </w:pPr>
      <w:r>
        <w:rPr>
          <w:rFonts w:ascii="Arial" w:hAnsi="Arial" w:cs="Arial"/>
          <w:i/>
          <w:color w:val="000000"/>
          <w:sz w:val="20"/>
        </w:rPr>
        <w:t>Acts Interpretation Act 1901</w:t>
      </w:r>
    </w:p>
    <w:p w:rsidR="00486653" w:rsidRDefault="00F9512E" w:rsidP="00761234">
      <w:pPr>
        <w:pBdr>
          <w:bottom w:val="single" w:sz="4" w:space="1" w:color="auto"/>
        </w:pBdr>
        <w:spacing w:after="120"/>
        <w:rPr>
          <w:rFonts w:ascii="Arial" w:hAnsi="Arial" w:cs="Arial"/>
          <w:i/>
          <w:color w:val="000000"/>
          <w:sz w:val="20"/>
        </w:rPr>
      </w:pPr>
      <w:r>
        <w:rPr>
          <w:rFonts w:ascii="Arial" w:hAnsi="Arial" w:cs="Arial"/>
          <w:i/>
          <w:color w:val="000000"/>
          <w:sz w:val="20"/>
        </w:rPr>
        <w:t>Legislation</w:t>
      </w:r>
      <w:r w:rsidR="009A0500" w:rsidRPr="009A0500">
        <w:rPr>
          <w:rFonts w:ascii="Arial" w:hAnsi="Arial" w:cs="Arial"/>
          <w:i/>
          <w:color w:val="000000"/>
          <w:sz w:val="20"/>
        </w:rPr>
        <w:t xml:space="preserve"> Act 2003</w:t>
      </w:r>
    </w:p>
    <w:p w:rsidR="009A0500" w:rsidRDefault="009A0500" w:rsidP="00015FE6">
      <w:pPr>
        <w:rPr>
          <w:rFonts w:ascii="Arial" w:hAnsi="Arial" w:cs="Arial"/>
          <w:i/>
          <w:color w:val="000000"/>
          <w:sz w:val="20"/>
        </w:rPr>
      </w:pPr>
      <w:r>
        <w:rPr>
          <w:rFonts w:ascii="Arial" w:hAnsi="Arial" w:cs="Arial"/>
          <w:i/>
          <w:color w:val="000000"/>
          <w:sz w:val="20"/>
        </w:rPr>
        <w:br w:type="page"/>
      </w:r>
    </w:p>
    <w:p w:rsidR="009A0500" w:rsidRPr="009A0500" w:rsidRDefault="009A0500" w:rsidP="00015FE6">
      <w:pPr>
        <w:keepNext/>
        <w:spacing w:before="240" w:after="60"/>
        <w:jc w:val="center"/>
        <w:outlineLvl w:val="2"/>
        <w:rPr>
          <w:rFonts w:ascii="Arial" w:hAnsi="Arial" w:cs="Arial"/>
          <w:b/>
          <w:bCs/>
          <w:sz w:val="26"/>
          <w:szCs w:val="26"/>
        </w:rPr>
      </w:pPr>
      <w:r w:rsidRPr="009A0500">
        <w:rPr>
          <w:rFonts w:ascii="Arial" w:hAnsi="Arial" w:cs="Arial"/>
          <w:b/>
          <w:bCs/>
          <w:sz w:val="26"/>
          <w:szCs w:val="26"/>
        </w:rPr>
        <w:lastRenderedPageBreak/>
        <w:t>Statement of compatibility with Human Rights</w:t>
      </w:r>
    </w:p>
    <w:p w:rsidR="009A0500" w:rsidRPr="009A0500" w:rsidRDefault="009A0500" w:rsidP="00015FE6">
      <w:pPr>
        <w:keepNext/>
        <w:spacing w:before="240" w:after="60"/>
        <w:outlineLvl w:val="2"/>
        <w:rPr>
          <w:rFonts w:ascii="Arial" w:hAnsi="Arial" w:cs="Arial"/>
          <w:bCs/>
          <w:i/>
          <w:sz w:val="22"/>
          <w:szCs w:val="22"/>
        </w:rPr>
      </w:pPr>
      <w:r w:rsidRPr="009A0500">
        <w:rPr>
          <w:rFonts w:ascii="Arial" w:hAnsi="Arial" w:cs="Arial"/>
          <w:bCs/>
          <w:sz w:val="22"/>
          <w:szCs w:val="22"/>
        </w:rPr>
        <w:t xml:space="preserve">This Statement is prepared in accordance with Part 3 of the </w:t>
      </w:r>
      <w:r w:rsidRPr="009A0500">
        <w:rPr>
          <w:rFonts w:ascii="Arial" w:hAnsi="Arial" w:cs="Arial"/>
          <w:bCs/>
          <w:i/>
          <w:sz w:val="22"/>
          <w:szCs w:val="22"/>
        </w:rPr>
        <w:t>Human Rights (Parliamentary Scrutiny) Act 201</w:t>
      </w:r>
      <w:r w:rsidR="004C0159">
        <w:rPr>
          <w:rFonts w:ascii="Arial" w:hAnsi="Arial" w:cs="Arial"/>
          <w:bCs/>
          <w:i/>
          <w:sz w:val="22"/>
          <w:szCs w:val="22"/>
        </w:rPr>
        <w:t>1</w:t>
      </w:r>
      <w:r w:rsidRPr="009A0500">
        <w:rPr>
          <w:rFonts w:ascii="Arial" w:hAnsi="Arial" w:cs="Arial"/>
          <w:bCs/>
          <w:i/>
          <w:sz w:val="22"/>
          <w:szCs w:val="22"/>
        </w:rPr>
        <w:t>.</w:t>
      </w:r>
    </w:p>
    <w:p w:rsidR="009A0500" w:rsidRPr="009A0500" w:rsidRDefault="009A0500" w:rsidP="00DA7F6C">
      <w:pPr>
        <w:keepNext/>
        <w:spacing w:before="240" w:after="60"/>
        <w:outlineLvl w:val="2"/>
        <w:rPr>
          <w:rFonts w:ascii="Arial" w:hAnsi="Arial" w:cs="Arial"/>
          <w:bCs/>
          <w:sz w:val="22"/>
          <w:szCs w:val="22"/>
        </w:rPr>
      </w:pPr>
      <w:r w:rsidRPr="009A0500">
        <w:rPr>
          <w:rFonts w:ascii="Arial" w:hAnsi="Arial" w:cs="Arial"/>
          <w:bCs/>
          <w:sz w:val="22"/>
          <w:szCs w:val="22"/>
        </w:rPr>
        <w:t xml:space="preserve">Income Tax Assessment Act 1997 – Exploration Development Incentive Modulation Factor – Declaration Instrument (No. </w:t>
      </w:r>
      <w:r w:rsidR="00DA7F6C">
        <w:rPr>
          <w:rFonts w:ascii="Arial" w:hAnsi="Arial" w:cs="Arial"/>
          <w:bCs/>
          <w:sz w:val="22"/>
          <w:szCs w:val="22"/>
        </w:rPr>
        <w:t>2</w:t>
      </w:r>
      <w:r w:rsidRPr="009A0500">
        <w:rPr>
          <w:rFonts w:ascii="Arial" w:hAnsi="Arial" w:cs="Arial"/>
          <w:bCs/>
          <w:sz w:val="22"/>
          <w:szCs w:val="22"/>
        </w:rPr>
        <w:t>) 201</w:t>
      </w:r>
      <w:r w:rsidR="00BB0849">
        <w:rPr>
          <w:rFonts w:ascii="Arial" w:hAnsi="Arial" w:cs="Arial"/>
          <w:bCs/>
          <w:sz w:val="22"/>
          <w:szCs w:val="22"/>
        </w:rPr>
        <w:t>6</w:t>
      </w:r>
    </w:p>
    <w:p w:rsidR="009A0500" w:rsidRPr="009A0500" w:rsidRDefault="009A0500" w:rsidP="00015FE6">
      <w:pPr>
        <w:autoSpaceDE w:val="0"/>
        <w:autoSpaceDN w:val="0"/>
        <w:adjustRightInd w:val="0"/>
        <w:rPr>
          <w:rFonts w:ascii="Arial" w:hAnsi="Arial" w:cs="Arial"/>
          <w:b/>
          <w:i/>
          <w:iCs/>
          <w:color w:val="000000"/>
          <w:sz w:val="22"/>
          <w:szCs w:val="22"/>
        </w:rPr>
      </w:pPr>
    </w:p>
    <w:p w:rsidR="009A0500" w:rsidRPr="009A0500" w:rsidRDefault="009A0500" w:rsidP="00015FE6">
      <w:pPr>
        <w:autoSpaceDE w:val="0"/>
        <w:autoSpaceDN w:val="0"/>
        <w:adjustRightInd w:val="0"/>
        <w:rPr>
          <w:rFonts w:ascii="Arial" w:hAnsi="Arial" w:cs="Arial"/>
          <w:color w:val="000000"/>
          <w:sz w:val="22"/>
          <w:szCs w:val="22"/>
        </w:rPr>
      </w:pPr>
      <w:r w:rsidRPr="009A0500">
        <w:rPr>
          <w:rFonts w:ascii="Arial" w:hAnsi="Arial" w:cs="Arial"/>
          <w:iCs/>
          <w:color w:val="000000"/>
          <w:sz w:val="22"/>
          <w:szCs w:val="22"/>
        </w:rPr>
        <w:t xml:space="preserve">Under subsection 418-90(6) of the </w:t>
      </w:r>
      <w:r w:rsidRPr="009A0500">
        <w:rPr>
          <w:rFonts w:ascii="Arial" w:hAnsi="Arial" w:cs="Arial"/>
          <w:i/>
          <w:iCs/>
          <w:color w:val="000000"/>
          <w:sz w:val="22"/>
          <w:szCs w:val="22"/>
        </w:rPr>
        <w:t>Income Tax Assessment Act 1997</w:t>
      </w:r>
      <w:r w:rsidRPr="009A0500">
        <w:rPr>
          <w:rFonts w:ascii="Arial" w:hAnsi="Arial" w:cs="Arial"/>
          <w:iCs/>
          <w:color w:val="000000"/>
          <w:sz w:val="22"/>
          <w:szCs w:val="22"/>
        </w:rPr>
        <w:t xml:space="preserve"> this instrument is exempt from disallowance and therefore a Human Rights Statement of compatibility is not required.</w:t>
      </w:r>
    </w:p>
    <w:p w:rsidR="009A0500" w:rsidRPr="00795D0C" w:rsidRDefault="009A0500" w:rsidP="00015FE6">
      <w:pPr>
        <w:spacing w:after="120"/>
        <w:rPr>
          <w:rFonts w:ascii="Arial" w:hAnsi="Arial" w:cs="Arial"/>
          <w:i/>
          <w:color w:val="000000"/>
          <w:sz w:val="22"/>
          <w:szCs w:val="22"/>
        </w:rPr>
      </w:pPr>
    </w:p>
    <w:p w:rsidR="00D77015" w:rsidRPr="0067541C" w:rsidRDefault="00D77015" w:rsidP="00015FE6">
      <w:pPr>
        <w:spacing w:after="120"/>
        <w:rPr>
          <w:rFonts w:ascii="Arial" w:hAnsi="Arial" w:cs="Arial"/>
          <w:sz w:val="22"/>
          <w:szCs w:val="22"/>
        </w:rPr>
      </w:pPr>
    </w:p>
    <w:p w:rsidR="00A31507" w:rsidRDefault="00A31507" w:rsidP="00015FE6"/>
    <w:p w:rsidR="00A31507" w:rsidRPr="00A31507" w:rsidRDefault="00A31507" w:rsidP="00015FE6"/>
    <w:sectPr w:rsidR="00A31507" w:rsidRPr="00A31507" w:rsidSect="00AA55B1">
      <w:headerReference w:type="even" r:id="rId9"/>
      <w:headerReference w:type="default" r:id="rId10"/>
      <w:footerReference w:type="even" r:id="rId11"/>
      <w:footerReference w:type="default" r:id="rId12"/>
      <w:headerReference w:type="first" r:id="rId13"/>
      <w:footerReference w:type="first" r:id="rId14"/>
      <w:pgSz w:w="11906" w:h="16838" w:code="9"/>
      <w:pgMar w:top="1440" w:right="1983" w:bottom="1358"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3E" w:rsidRDefault="00924A3E">
      <w:r>
        <w:separator/>
      </w:r>
    </w:p>
  </w:endnote>
  <w:endnote w:type="continuationSeparator" w:id="0">
    <w:p w:rsidR="00924A3E" w:rsidRDefault="0092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BD" w:rsidRDefault="00BA2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BD" w:rsidRDefault="00BA2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BD" w:rsidRDefault="00BA2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3E" w:rsidRDefault="00924A3E">
      <w:r>
        <w:separator/>
      </w:r>
    </w:p>
  </w:footnote>
  <w:footnote w:type="continuationSeparator" w:id="0">
    <w:p w:rsidR="00924A3E" w:rsidRDefault="00924A3E">
      <w:r>
        <w:continuationSeparator/>
      </w:r>
    </w:p>
  </w:footnote>
  <w:footnote w:id="1">
    <w:p w:rsidR="009A0500" w:rsidRPr="0059036B" w:rsidRDefault="009A0500" w:rsidP="009A0500">
      <w:pPr>
        <w:pStyle w:val="FootnoteText"/>
        <w:rPr>
          <w:rFonts w:ascii="Arial" w:hAnsi="Arial" w:cs="Arial"/>
          <w:sz w:val="18"/>
          <w:szCs w:val="18"/>
        </w:rPr>
      </w:pPr>
      <w:r w:rsidRPr="0059036B">
        <w:rPr>
          <w:rStyle w:val="FootnoteReference"/>
          <w:rFonts w:ascii="Arial" w:hAnsi="Arial" w:cs="Arial"/>
          <w:sz w:val="18"/>
          <w:szCs w:val="18"/>
        </w:rPr>
        <w:footnoteRef/>
      </w:r>
      <w:r w:rsidRPr="0059036B">
        <w:rPr>
          <w:rFonts w:ascii="Arial" w:hAnsi="Arial" w:cs="Arial"/>
          <w:sz w:val="18"/>
          <w:szCs w:val="18"/>
        </w:rPr>
        <w:t xml:space="preserve"> Estimated greenfields minerals expenditure and tax loss amounts need to be reported to the Commissioner by 30 September in the financial year corresponding to the following income year to allow the Commissioner to work out the total notified exploration expenditure amount and modulation factor. Calculating the modulation factor using estimated amounts for the previous income year reduces the time lag that would otherwise apply for creating exploration credits if actual amounts were required to calculate the modulation factor.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F5EB1">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1A6644" w:rsidRDefault="00BB7A89" w:rsidP="001828A4">
    <w:pPr>
      <w:pStyle w:val="Header"/>
      <w:tabs>
        <w:tab w:val="clear" w:pos="4153"/>
        <w:tab w:val="clear" w:pos="8306"/>
      </w:tabs>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1865950F" wp14:editId="0C143113">
              <wp:simplePos x="0" y="0"/>
              <wp:positionH relativeFrom="column">
                <wp:posOffset>-173990</wp:posOffset>
              </wp:positionH>
              <wp:positionV relativeFrom="paragraph">
                <wp:posOffset>116366</wp:posOffset>
              </wp:positionV>
              <wp:extent cx="2595880" cy="79311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C50" w:rsidRDefault="00BB7A89" w:rsidP="001828A4">
                          <w:r>
                            <w:rPr>
                              <w:noProof/>
                            </w:rPr>
                            <w:drawing>
                              <wp:inline distT="0" distB="0" distL="0" distR="0" wp14:anchorId="68C4FA70" wp14:editId="67C8902C">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7pt;margin-top:9.15pt;width:204.4pt;height:6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" filled="f" stroked="f">
              <v:textbox style="mso-fit-shape-to-text:t">
                <w:txbxContent>
                  <w:p w:rsidR="00587C50" w:rsidRDefault="00BB7A89" w:rsidP="001828A4">
                    <w:r>
                      <w:rPr>
                        <w:noProof/>
                      </w:rPr>
                      <w:drawing>
                        <wp:inline distT="0" distB="0" distL="0" distR="0" wp14:anchorId="68C4FA70" wp14:editId="67C8902C">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txbxContent>
              </v:textbox>
            </v:shape>
          </w:pict>
        </mc:Fallback>
      </mc:AlternateContent>
    </w:r>
  </w:p>
  <w:p w:rsidR="00587C50" w:rsidRPr="001A6644" w:rsidRDefault="00587C50" w:rsidP="001828A4">
    <w:pPr>
      <w:pStyle w:val="Header"/>
      <w:tabs>
        <w:tab w:val="clear" w:pos="4153"/>
        <w:tab w:val="clear" w:pos="8306"/>
      </w:tabs>
      <w:rPr>
        <w:rFonts w:ascii="Arial" w:hAnsi="Arial" w:cs="Arial"/>
        <w:sz w:val="20"/>
      </w:rPr>
    </w:pPr>
  </w:p>
  <w:p w:rsidR="007E7770" w:rsidRPr="00333FE9" w:rsidRDefault="007E7770" w:rsidP="007E7770">
    <w:pPr>
      <w:framePr w:w="4897" w:h="732" w:hSpace="180" w:wrap="around" w:vAnchor="page" w:hAnchor="page" w:x="6001" w:y="1280"/>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7E7770" w:rsidRPr="00DC7E73" w:rsidRDefault="007E7770" w:rsidP="007E7770">
    <w:pPr>
      <w:framePr w:w="4897" w:h="732" w:hSpace="180" w:wrap="around" w:vAnchor="page" w:hAnchor="page" w:x="6001" w:y="1280"/>
      <w:pBdr>
        <w:top w:val="single" w:sz="12" w:space="1" w:color="auto"/>
        <w:left w:val="single" w:sz="12" w:space="1" w:color="auto"/>
        <w:bottom w:val="single" w:sz="12" w:space="1" w:color="auto"/>
        <w:right w:val="single" w:sz="12" w:space="1" w:color="auto"/>
      </w:pBdr>
      <w:rPr>
        <w:rFonts w:ascii="Arial" w:hAnsi="Arial" w:cs="Arial"/>
        <w:sz w:val="20"/>
      </w:rPr>
    </w:pPr>
    <w:bookmarkStart w:id="14" w:name="BPrefix"/>
    <w:bookmarkEnd w:id="13"/>
    <w:r w:rsidRPr="00323820">
      <w:rPr>
        <w:rFonts w:ascii="Arial" w:hAnsi="Arial" w:cs="Arial"/>
        <w:b/>
        <w:sz w:val="32"/>
        <w:szCs w:val="32"/>
      </w:rPr>
      <w:t>Inst</w:t>
    </w:r>
    <w:bookmarkStart w:id="15" w:name="CDocnum"/>
    <w:bookmarkEnd w:id="14"/>
    <w:bookmarkEnd w:id="15"/>
    <w:r w:rsidRPr="00323820">
      <w:rPr>
        <w:rFonts w:ascii="Arial" w:hAnsi="Arial" w:cs="Arial"/>
        <w:b/>
        <w:sz w:val="32"/>
        <w:szCs w:val="32"/>
      </w:rPr>
      <w:t>rument ID</w:t>
    </w:r>
    <w:r w:rsidRPr="00BB3E24">
      <w:rPr>
        <w:rFonts w:ascii="Arial" w:hAnsi="Arial" w:cs="Arial"/>
        <w:b/>
        <w:sz w:val="32"/>
        <w:szCs w:val="32"/>
      </w:rPr>
      <w:t>: 2016/PGI/00</w:t>
    </w:r>
    <w:r w:rsidR="00BA2FBD">
      <w:rPr>
        <w:rFonts w:ascii="Arial" w:hAnsi="Arial" w:cs="Arial"/>
        <w:b/>
        <w:sz w:val="32"/>
        <w:szCs w:val="32"/>
      </w:rPr>
      <w:t>90</w:t>
    </w:r>
  </w:p>
  <w:p w:rsidR="00587C50" w:rsidRPr="001A6644" w:rsidRDefault="00587C50" w:rsidP="001828A4">
    <w:pPr>
      <w:pStyle w:val="Header"/>
      <w:tabs>
        <w:tab w:val="clear" w:pos="4153"/>
        <w:tab w:val="clear" w:pos="8306"/>
      </w:tabs>
      <w:rPr>
        <w:rFonts w:ascii="Arial" w:hAnsi="Arial" w:cs="Arial"/>
        <w:sz w:val="20"/>
      </w:rPr>
    </w:pPr>
  </w:p>
  <w:p w:rsidR="00587C50" w:rsidRPr="001A6644" w:rsidRDefault="00587C50" w:rsidP="001828A4">
    <w:pPr>
      <w:pStyle w:val="Header"/>
      <w:tabs>
        <w:tab w:val="clear" w:pos="4153"/>
        <w:tab w:val="clear" w:pos="8306"/>
      </w:tabs>
      <w:rPr>
        <w:rFonts w:ascii="Arial" w:hAnsi="Arial" w:cs="Arial"/>
        <w:sz w:val="20"/>
      </w:rPr>
    </w:pPr>
  </w:p>
  <w:p w:rsidR="00587C50" w:rsidRPr="001A6644" w:rsidRDefault="00587C50" w:rsidP="001828A4">
    <w:pPr>
      <w:pStyle w:val="Header"/>
      <w:tabs>
        <w:tab w:val="clear" w:pos="4153"/>
        <w:tab w:val="clear" w:pos="8306"/>
      </w:tabs>
      <w:rPr>
        <w:rFonts w:ascii="Arial" w:hAnsi="Arial" w:cs="Arial"/>
        <w:sz w:val="20"/>
      </w:rPr>
    </w:pPr>
  </w:p>
  <w:p w:rsidR="00587C50" w:rsidRPr="001A6644" w:rsidRDefault="00587C50" w:rsidP="001828A4">
    <w:pPr>
      <w:pStyle w:val="Header"/>
      <w:tabs>
        <w:tab w:val="clear" w:pos="4153"/>
        <w:tab w:val="clear" w:pos="8306"/>
      </w:tabs>
      <w:rPr>
        <w:rFonts w:ascii="Arial" w:hAnsi="Arial" w:cs="Arial"/>
        <w:sz w:val="20"/>
      </w:rPr>
    </w:pPr>
  </w:p>
  <w:p w:rsidR="00587C50" w:rsidRPr="001A6644" w:rsidRDefault="00587C50"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2">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3">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7">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18">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CC3903"/>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4">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28">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65DF6494"/>
    <w:multiLevelType w:val="multilevel"/>
    <w:tmpl w:val="A316FE50"/>
    <w:numStyleLink w:val="ChapterList"/>
  </w:abstractNum>
  <w:abstractNum w:abstractNumId="34">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495548F"/>
    <w:multiLevelType w:val="hybridMultilevel"/>
    <w:tmpl w:val="D690D13C"/>
    <w:lvl w:ilvl="0" w:tplc="1294F49E">
      <w:start w:val="7"/>
      <w:numFmt w:val="decimal"/>
      <w:lvlText w:val="%1."/>
      <w:lvlJc w:val="left"/>
      <w:pPr>
        <w:ind w:left="1080" w:hanging="360"/>
      </w:pPr>
      <w:rPr>
        <w:rFonts w:ascii="Arial" w:eastAsia="Times New Roman" w:hAnsi="Arial" w:cs="Arial" w:hint="default"/>
        <w:color w:val="000000"/>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38">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22"/>
  </w:num>
  <w:num w:numId="4">
    <w:abstractNumId w:val="36"/>
  </w:num>
  <w:num w:numId="5">
    <w:abstractNumId w:val="4"/>
  </w:num>
  <w:num w:numId="6">
    <w:abstractNumId w:val="11"/>
  </w:num>
  <w:num w:numId="7">
    <w:abstractNumId w:val="30"/>
  </w:num>
  <w:num w:numId="8">
    <w:abstractNumId w:val="29"/>
  </w:num>
  <w:num w:numId="9">
    <w:abstractNumId w:val="24"/>
  </w:num>
  <w:num w:numId="10">
    <w:abstractNumId w:val="19"/>
  </w:num>
  <w:num w:numId="11">
    <w:abstractNumId w:val="38"/>
  </w:num>
  <w:num w:numId="12">
    <w:abstractNumId w:val="31"/>
  </w:num>
  <w:num w:numId="13">
    <w:abstractNumId w:val="35"/>
  </w:num>
  <w:num w:numId="14">
    <w:abstractNumId w:val="34"/>
  </w:num>
  <w:num w:numId="15">
    <w:abstractNumId w:val="18"/>
  </w:num>
  <w:num w:numId="16">
    <w:abstractNumId w:val="21"/>
  </w:num>
  <w:num w:numId="17">
    <w:abstractNumId w:val="9"/>
  </w:num>
  <w:num w:numId="18">
    <w:abstractNumId w:val="14"/>
  </w:num>
  <w:num w:numId="19">
    <w:abstractNumId w:val="2"/>
  </w:num>
  <w:num w:numId="20">
    <w:abstractNumId w:val="1"/>
  </w:num>
  <w:num w:numId="21">
    <w:abstractNumId w:val="10"/>
  </w:num>
  <w:num w:numId="22">
    <w:abstractNumId w:val="27"/>
  </w:num>
  <w:num w:numId="23">
    <w:abstractNumId w:val="8"/>
  </w:num>
  <w:num w:numId="24">
    <w:abstractNumId w:val="17"/>
  </w:num>
  <w:num w:numId="25">
    <w:abstractNumId w:val="26"/>
  </w:num>
  <w:num w:numId="26">
    <w:abstractNumId w:val="25"/>
  </w:num>
  <w:num w:numId="27">
    <w:abstractNumId w:val="7"/>
  </w:num>
  <w:num w:numId="28">
    <w:abstractNumId w:val="28"/>
  </w:num>
  <w:num w:numId="29">
    <w:abstractNumId w:val="16"/>
  </w:num>
  <w:num w:numId="30">
    <w:abstractNumId w:val="12"/>
  </w:num>
  <w:num w:numId="31">
    <w:abstractNumId w:val="5"/>
  </w:num>
  <w:num w:numId="32">
    <w:abstractNumId w:val="0"/>
  </w:num>
  <w:num w:numId="33">
    <w:abstractNumId w:val="6"/>
  </w:num>
  <w:num w:numId="34">
    <w:abstractNumId w:val="23"/>
  </w:num>
  <w:num w:numId="35">
    <w:abstractNumId w:val="32"/>
  </w:num>
  <w:num w:numId="36">
    <w:abstractNumId w:val="15"/>
  </w:num>
  <w:num w:numId="37">
    <w:abstractNumId w:val="20"/>
  </w:num>
  <w:num w:numId="38">
    <w:abstractNumId w:val="33"/>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4DF3"/>
    <w:rsid w:val="000117B2"/>
    <w:rsid w:val="00013285"/>
    <w:rsid w:val="00015FE6"/>
    <w:rsid w:val="0001618E"/>
    <w:rsid w:val="0001796D"/>
    <w:rsid w:val="00017BF0"/>
    <w:rsid w:val="000233ED"/>
    <w:rsid w:val="0002568B"/>
    <w:rsid w:val="000305EE"/>
    <w:rsid w:val="00043FA7"/>
    <w:rsid w:val="000552E8"/>
    <w:rsid w:val="00056585"/>
    <w:rsid w:val="0005674F"/>
    <w:rsid w:val="00057472"/>
    <w:rsid w:val="00065C6E"/>
    <w:rsid w:val="00072B33"/>
    <w:rsid w:val="00073F1B"/>
    <w:rsid w:val="00075B58"/>
    <w:rsid w:val="00083EFD"/>
    <w:rsid w:val="00093717"/>
    <w:rsid w:val="000A0651"/>
    <w:rsid w:val="000A21F2"/>
    <w:rsid w:val="000A7D98"/>
    <w:rsid w:val="000B11DD"/>
    <w:rsid w:val="000C390A"/>
    <w:rsid w:val="000C56FB"/>
    <w:rsid w:val="000C77DD"/>
    <w:rsid w:val="000C79C1"/>
    <w:rsid w:val="000D146C"/>
    <w:rsid w:val="000D31E1"/>
    <w:rsid w:val="000E295B"/>
    <w:rsid w:val="000E45A0"/>
    <w:rsid w:val="00106639"/>
    <w:rsid w:val="00107460"/>
    <w:rsid w:val="00110880"/>
    <w:rsid w:val="00110B87"/>
    <w:rsid w:val="00112415"/>
    <w:rsid w:val="0013678D"/>
    <w:rsid w:val="001368C8"/>
    <w:rsid w:val="00140A34"/>
    <w:rsid w:val="001417B8"/>
    <w:rsid w:val="001457AF"/>
    <w:rsid w:val="001513E1"/>
    <w:rsid w:val="00167202"/>
    <w:rsid w:val="00182782"/>
    <w:rsid w:val="001828A4"/>
    <w:rsid w:val="00194A1C"/>
    <w:rsid w:val="001A23BF"/>
    <w:rsid w:val="001A3BE2"/>
    <w:rsid w:val="001B6EB0"/>
    <w:rsid w:val="001C03AF"/>
    <w:rsid w:val="001C1E5C"/>
    <w:rsid w:val="001C35E7"/>
    <w:rsid w:val="001C4578"/>
    <w:rsid w:val="001C672C"/>
    <w:rsid w:val="001F28A6"/>
    <w:rsid w:val="001F4C25"/>
    <w:rsid w:val="001F6921"/>
    <w:rsid w:val="001F7C3E"/>
    <w:rsid w:val="00201969"/>
    <w:rsid w:val="00213FA5"/>
    <w:rsid w:val="00214085"/>
    <w:rsid w:val="002161F2"/>
    <w:rsid w:val="00226A9D"/>
    <w:rsid w:val="00235888"/>
    <w:rsid w:val="0023733A"/>
    <w:rsid w:val="0024044F"/>
    <w:rsid w:val="00244352"/>
    <w:rsid w:val="00244A12"/>
    <w:rsid w:val="00245D00"/>
    <w:rsid w:val="002461D2"/>
    <w:rsid w:val="00257F2D"/>
    <w:rsid w:val="00262F9F"/>
    <w:rsid w:val="00266D2D"/>
    <w:rsid w:val="002711E3"/>
    <w:rsid w:val="0027331F"/>
    <w:rsid w:val="00273FCB"/>
    <w:rsid w:val="00285E76"/>
    <w:rsid w:val="00294887"/>
    <w:rsid w:val="002949C3"/>
    <w:rsid w:val="002A10A4"/>
    <w:rsid w:val="002A131E"/>
    <w:rsid w:val="002A26FE"/>
    <w:rsid w:val="002A78E5"/>
    <w:rsid w:val="002B04F0"/>
    <w:rsid w:val="002B1423"/>
    <w:rsid w:val="002C29FF"/>
    <w:rsid w:val="002F1257"/>
    <w:rsid w:val="003061C4"/>
    <w:rsid w:val="00310C61"/>
    <w:rsid w:val="003171B3"/>
    <w:rsid w:val="0032559D"/>
    <w:rsid w:val="00331AA6"/>
    <w:rsid w:val="00344575"/>
    <w:rsid w:val="00350F62"/>
    <w:rsid w:val="0035113C"/>
    <w:rsid w:val="00352606"/>
    <w:rsid w:val="00354525"/>
    <w:rsid w:val="0036646C"/>
    <w:rsid w:val="003779BC"/>
    <w:rsid w:val="00380CC4"/>
    <w:rsid w:val="00386ECE"/>
    <w:rsid w:val="003A69F0"/>
    <w:rsid w:val="003A7649"/>
    <w:rsid w:val="003B55C4"/>
    <w:rsid w:val="003C0686"/>
    <w:rsid w:val="003D08CF"/>
    <w:rsid w:val="003D0F6A"/>
    <w:rsid w:val="003D4BA8"/>
    <w:rsid w:val="003D5F2B"/>
    <w:rsid w:val="003E5269"/>
    <w:rsid w:val="004010A8"/>
    <w:rsid w:val="00405394"/>
    <w:rsid w:val="004063C4"/>
    <w:rsid w:val="004066E4"/>
    <w:rsid w:val="0040680B"/>
    <w:rsid w:val="00407361"/>
    <w:rsid w:val="00410846"/>
    <w:rsid w:val="00417C55"/>
    <w:rsid w:val="00424A7B"/>
    <w:rsid w:val="0044290D"/>
    <w:rsid w:val="004447C1"/>
    <w:rsid w:val="004549C2"/>
    <w:rsid w:val="004557E1"/>
    <w:rsid w:val="0046211F"/>
    <w:rsid w:val="00462993"/>
    <w:rsid w:val="0046787B"/>
    <w:rsid w:val="00473B5B"/>
    <w:rsid w:val="00483E38"/>
    <w:rsid w:val="00486653"/>
    <w:rsid w:val="00496FE4"/>
    <w:rsid w:val="004A5FDA"/>
    <w:rsid w:val="004B126F"/>
    <w:rsid w:val="004B4ED1"/>
    <w:rsid w:val="004B7294"/>
    <w:rsid w:val="004B7416"/>
    <w:rsid w:val="004C0159"/>
    <w:rsid w:val="004D098C"/>
    <w:rsid w:val="004D24A9"/>
    <w:rsid w:val="004E5357"/>
    <w:rsid w:val="004F0340"/>
    <w:rsid w:val="004F4A07"/>
    <w:rsid w:val="004F5953"/>
    <w:rsid w:val="004F5EB1"/>
    <w:rsid w:val="004F6887"/>
    <w:rsid w:val="005030AD"/>
    <w:rsid w:val="0051249C"/>
    <w:rsid w:val="005176E7"/>
    <w:rsid w:val="00520330"/>
    <w:rsid w:val="005413EE"/>
    <w:rsid w:val="00557D6A"/>
    <w:rsid w:val="0056480C"/>
    <w:rsid w:val="00564CD4"/>
    <w:rsid w:val="00587443"/>
    <w:rsid w:val="00587C50"/>
    <w:rsid w:val="0059036B"/>
    <w:rsid w:val="005917F3"/>
    <w:rsid w:val="005B0ACD"/>
    <w:rsid w:val="005B50A2"/>
    <w:rsid w:val="005C3408"/>
    <w:rsid w:val="005D611B"/>
    <w:rsid w:val="005E00E7"/>
    <w:rsid w:val="005E2CCE"/>
    <w:rsid w:val="005F1ACE"/>
    <w:rsid w:val="005F256D"/>
    <w:rsid w:val="0060183A"/>
    <w:rsid w:val="00603110"/>
    <w:rsid w:val="0061166A"/>
    <w:rsid w:val="00611C8E"/>
    <w:rsid w:val="0061451D"/>
    <w:rsid w:val="00614CEE"/>
    <w:rsid w:val="00631F30"/>
    <w:rsid w:val="006328B2"/>
    <w:rsid w:val="0063391D"/>
    <w:rsid w:val="00642420"/>
    <w:rsid w:val="00646158"/>
    <w:rsid w:val="00646DE2"/>
    <w:rsid w:val="006553B2"/>
    <w:rsid w:val="0066622C"/>
    <w:rsid w:val="00666487"/>
    <w:rsid w:val="00670BD9"/>
    <w:rsid w:val="00673B37"/>
    <w:rsid w:val="00691448"/>
    <w:rsid w:val="006945EA"/>
    <w:rsid w:val="006A35FD"/>
    <w:rsid w:val="006A6D8C"/>
    <w:rsid w:val="006B5470"/>
    <w:rsid w:val="006D0138"/>
    <w:rsid w:val="006D6F52"/>
    <w:rsid w:val="006F245B"/>
    <w:rsid w:val="00701718"/>
    <w:rsid w:val="00702A54"/>
    <w:rsid w:val="00704469"/>
    <w:rsid w:val="00710359"/>
    <w:rsid w:val="00722DBF"/>
    <w:rsid w:val="00735157"/>
    <w:rsid w:val="00743BC1"/>
    <w:rsid w:val="00746802"/>
    <w:rsid w:val="00761234"/>
    <w:rsid w:val="00773673"/>
    <w:rsid w:val="00775490"/>
    <w:rsid w:val="00782161"/>
    <w:rsid w:val="00795D0C"/>
    <w:rsid w:val="007A1662"/>
    <w:rsid w:val="007A55BA"/>
    <w:rsid w:val="007C0D07"/>
    <w:rsid w:val="007C1FBD"/>
    <w:rsid w:val="007E22F5"/>
    <w:rsid w:val="007E7770"/>
    <w:rsid w:val="007F25F3"/>
    <w:rsid w:val="007F3819"/>
    <w:rsid w:val="007F3F6C"/>
    <w:rsid w:val="007F4901"/>
    <w:rsid w:val="00826C7B"/>
    <w:rsid w:val="00836B02"/>
    <w:rsid w:val="00842B79"/>
    <w:rsid w:val="008467D4"/>
    <w:rsid w:val="00850FB0"/>
    <w:rsid w:val="0085238E"/>
    <w:rsid w:val="008540EA"/>
    <w:rsid w:val="00865763"/>
    <w:rsid w:val="00866A00"/>
    <w:rsid w:val="008702A6"/>
    <w:rsid w:val="008757CE"/>
    <w:rsid w:val="00875E63"/>
    <w:rsid w:val="0088392C"/>
    <w:rsid w:val="00895C61"/>
    <w:rsid w:val="00897C0E"/>
    <w:rsid w:val="00897E31"/>
    <w:rsid w:val="008A046F"/>
    <w:rsid w:val="008A405A"/>
    <w:rsid w:val="008A6A6A"/>
    <w:rsid w:val="008B650A"/>
    <w:rsid w:val="008B787C"/>
    <w:rsid w:val="008C3898"/>
    <w:rsid w:val="008C627C"/>
    <w:rsid w:val="008C66CC"/>
    <w:rsid w:val="008E0AFA"/>
    <w:rsid w:val="008F483C"/>
    <w:rsid w:val="00906CD4"/>
    <w:rsid w:val="00912D61"/>
    <w:rsid w:val="00914998"/>
    <w:rsid w:val="00920678"/>
    <w:rsid w:val="00922652"/>
    <w:rsid w:val="00924A3E"/>
    <w:rsid w:val="00932043"/>
    <w:rsid w:val="009322D7"/>
    <w:rsid w:val="00932BDE"/>
    <w:rsid w:val="009440A2"/>
    <w:rsid w:val="00961D1F"/>
    <w:rsid w:val="00964828"/>
    <w:rsid w:val="00967725"/>
    <w:rsid w:val="00987852"/>
    <w:rsid w:val="009902F8"/>
    <w:rsid w:val="00993BB8"/>
    <w:rsid w:val="0099555F"/>
    <w:rsid w:val="009A0500"/>
    <w:rsid w:val="009A22A1"/>
    <w:rsid w:val="009B3A1B"/>
    <w:rsid w:val="009B407B"/>
    <w:rsid w:val="009B6332"/>
    <w:rsid w:val="009C0912"/>
    <w:rsid w:val="009D06F7"/>
    <w:rsid w:val="009D1934"/>
    <w:rsid w:val="009D6694"/>
    <w:rsid w:val="009E5F5C"/>
    <w:rsid w:val="009E64F8"/>
    <w:rsid w:val="009F0300"/>
    <w:rsid w:val="00A02152"/>
    <w:rsid w:val="00A05618"/>
    <w:rsid w:val="00A07680"/>
    <w:rsid w:val="00A15377"/>
    <w:rsid w:val="00A167A8"/>
    <w:rsid w:val="00A21F0A"/>
    <w:rsid w:val="00A26011"/>
    <w:rsid w:val="00A31507"/>
    <w:rsid w:val="00A46883"/>
    <w:rsid w:val="00A506C2"/>
    <w:rsid w:val="00A62886"/>
    <w:rsid w:val="00A723E7"/>
    <w:rsid w:val="00A74C38"/>
    <w:rsid w:val="00A77D24"/>
    <w:rsid w:val="00A8572F"/>
    <w:rsid w:val="00A93E07"/>
    <w:rsid w:val="00A979CF"/>
    <w:rsid w:val="00AA0C30"/>
    <w:rsid w:val="00AA4DF8"/>
    <w:rsid w:val="00AA55B1"/>
    <w:rsid w:val="00AB5B35"/>
    <w:rsid w:val="00AB67D6"/>
    <w:rsid w:val="00AB780C"/>
    <w:rsid w:val="00AD0892"/>
    <w:rsid w:val="00AD5ADE"/>
    <w:rsid w:val="00AE28EA"/>
    <w:rsid w:val="00AE2DBC"/>
    <w:rsid w:val="00AE7138"/>
    <w:rsid w:val="00AE7DFC"/>
    <w:rsid w:val="00AF1DD7"/>
    <w:rsid w:val="00AF4CAF"/>
    <w:rsid w:val="00B065D6"/>
    <w:rsid w:val="00B117BA"/>
    <w:rsid w:val="00B20D87"/>
    <w:rsid w:val="00B2352F"/>
    <w:rsid w:val="00B45A40"/>
    <w:rsid w:val="00B4694B"/>
    <w:rsid w:val="00B6433F"/>
    <w:rsid w:val="00B64CF5"/>
    <w:rsid w:val="00B76C9B"/>
    <w:rsid w:val="00B823A1"/>
    <w:rsid w:val="00B8428B"/>
    <w:rsid w:val="00BA2FBD"/>
    <w:rsid w:val="00BA41F5"/>
    <w:rsid w:val="00BB0849"/>
    <w:rsid w:val="00BB3C9C"/>
    <w:rsid w:val="00BB3E24"/>
    <w:rsid w:val="00BB7A89"/>
    <w:rsid w:val="00BC159D"/>
    <w:rsid w:val="00BF4822"/>
    <w:rsid w:val="00C01D22"/>
    <w:rsid w:val="00C103BA"/>
    <w:rsid w:val="00C104B6"/>
    <w:rsid w:val="00C10F02"/>
    <w:rsid w:val="00C114F4"/>
    <w:rsid w:val="00C11D03"/>
    <w:rsid w:val="00C23F7E"/>
    <w:rsid w:val="00C25A1A"/>
    <w:rsid w:val="00C31967"/>
    <w:rsid w:val="00C371DE"/>
    <w:rsid w:val="00C409AE"/>
    <w:rsid w:val="00C53925"/>
    <w:rsid w:val="00C54DF8"/>
    <w:rsid w:val="00C60B49"/>
    <w:rsid w:val="00C61E5D"/>
    <w:rsid w:val="00C7440A"/>
    <w:rsid w:val="00C753CD"/>
    <w:rsid w:val="00C83A55"/>
    <w:rsid w:val="00C865ED"/>
    <w:rsid w:val="00C8775A"/>
    <w:rsid w:val="00CA0877"/>
    <w:rsid w:val="00CA6B59"/>
    <w:rsid w:val="00CB3B6C"/>
    <w:rsid w:val="00CC189F"/>
    <w:rsid w:val="00CC32B7"/>
    <w:rsid w:val="00CC3368"/>
    <w:rsid w:val="00CE2607"/>
    <w:rsid w:val="00CE2E46"/>
    <w:rsid w:val="00CE4FFA"/>
    <w:rsid w:val="00CE56B2"/>
    <w:rsid w:val="00CE731A"/>
    <w:rsid w:val="00CF19C4"/>
    <w:rsid w:val="00D016B2"/>
    <w:rsid w:val="00D125FE"/>
    <w:rsid w:val="00D13C04"/>
    <w:rsid w:val="00D149DD"/>
    <w:rsid w:val="00D20A78"/>
    <w:rsid w:val="00D278BA"/>
    <w:rsid w:val="00D31EC5"/>
    <w:rsid w:val="00D40454"/>
    <w:rsid w:val="00D4059C"/>
    <w:rsid w:val="00D5057C"/>
    <w:rsid w:val="00D53D8F"/>
    <w:rsid w:val="00D61C76"/>
    <w:rsid w:val="00D77015"/>
    <w:rsid w:val="00D82AD0"/>
    <w:rsid w:val="00D92B48"/>
    <w:rsid w:val="00D969E7"/>
    <w:rsid w:val="00DA2FCB"/>
    <w:rsid w:val="00DA7F6C"/>
    <w:rsid w:val="00DB089C"/>
    <w:rsid w:val="00DB1693"/>
    <w:rsid w:val="00DB3205"/>
    <w:rsid w:val="00DD5B07"/>
    <w:rsid w:val="00DE33E7"/>
    <w:rsid w:val="00DE3F58"/>
    <w:rsid w:val="00DE6821"/>
    <w:rsid w:val="00DE7552"/>
    <w:rsid w:val="00DF2022"/>
    <w:rsid w:val="00DF34BE"/>
    <w:rsid w:val="00DF5AD8"/>
    <w:rsid w:val="00DF5D59"/>
    <w:rsid w:val="00DF7297"/>
    <w:rsid w:val="00E06E24"/>
    <w:rsid w:val="00E11104"/>
    <w:rsid w:val="00E203DC"/>
    <w:rsid w:val="00E239E4"/>
    <w:rsid w:val="00E246EA"/>
    <w:rsid w:val="00E35080"/>
    <w:rsid w:val="00E53399"/>
    <w:rsid w:val="00E54989"/>
    <w:rsid w:val="00E766C5"/>
    <w:rsid w:val="00E77995"/>
    <w:rsid w:val="00E87099"/>
    <w:rsid w:val="00EA28E6"/>
    <w:rsid w:val="00EB14CF"/>
    <w:rsid w:val="00EF4C73"/>
    <w:rsid w:val="00EF78C4"/>
    <w:rsid w:val="00F04CD7"/>
    <w:rsid w:val="00F23E15"/>
    <w:rsid w:val="00F244A2"/>
    <w:rsid w:val="00F35064"/>
    <w:rsid w:val="00F36741"/>
    <w:rsid w:val="00F374D8"/>
    <w:rsid w:val="00F42D0D"/>
    <w:rsid w:val="00F43460"/>
    <w:rsid w:val="00F55ECB"/>
    <w:rsid w:val="00F5684D"/>
    <w:rsid w:val="00F56F78"/>
    <w:rsid w:val="00F57AB6"/>
    <w:rsid w:val="00F6480F"/>
    <w:rsid w:val="00F66177"/>
    <w:rsid w:val="00F86713"/>
    <w:rsid w:val="00F86E4A"/>
    <w:rsid w:val="00F932E0"/>
    <w:rsid w:val="00F9512E"/>
    <w:rsid w:val="00FA1156"/>
    <w:rsid w:val="00FA4955"/>
    <w:rsid w:val="00FB182C"/>
    <w:rsid w:val="00FB1E7E"/>
    <w:rsid w:val="00FB28AA"/>
    <w:rsid w:val="00FB7701"/>
    <w:rsid w:val="00FC2E2E"/>
    <w:rsid w:val="00FC40F0"/>
    <w:rsid w:val="00FC4BB9"/>
    <w:rsid w:val="00FC6D3B"/>
    <w:rsid w:val="00FD0129"/>
    <w:rsid w:val="00FD53AB"/>
    <w:rsid w:val="00FE17ED"/>
    <w:rsid w:val="00FE6A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779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rsid w:val="00F35064"/>
    <w:rPr>
      <w:sz w:val="20"/>
    </w:rPr>
  </w:style>
  <w:style w:type="character" w:styleId="FootnoteReference">
    <w:name w:val="footnote reference"/>
    <w:basedOn w:val="DefaultParagraphFont"/>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rsid w:val="00A26011"/>
    <w:rPr>
      <w:sz w:val="16"/>
      <w:szCs w:val="16"/>
    </w:rPr>
  </w:style>
  <w:style w:type="paragraph" w:styleId="CommentText">
    <w:name w:val="annotation text"/>
    <w:basedOn w:val="Normal"/>
    <w:link w:val="CommentTextChar"/>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ChapterHeading">
    <w:name w:val="Chapter Heading"/>
    <w:next w:val="Heading2"/>
    <w:rsid w:val="003779BC"/>
    <w:pPr>
      <w:numPr>
        <w:numId w:val="38"/>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3779BC"/>
    <w:pPr>
      <w:keepLines w:val="0"/>
      <w:numPr>
        <w:ilvl w:val="4"/>
        <w:numId w:val="38"/>
      </w:numPr>
      <w:tabs>
        <w:tab w:val="num" w:pos="360"/>
        <w:tab w:val="num" w:pos="3600"/>
      </w:tabs>
      <w:spacing w:before="120" w:after="120"/>
      <w:ind w:left="0" w:hanging="360"/>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3779BC"/>
    <w:pPr>
      <w:numPr>
        <w:ilvl w:val="1"/>
        <w:numId w:val="38"/>
      </w:numPr>
      <w:spacing w:before="120" w:after="120"/>
    </w:pPr>
    <w:rPr>
      <w:sz w:val="22"/>
    </w:rPr>
  </w:style>
  <w:style w:type="paragraph" w:customStyle="1" w:styleId="ExampleHeading">
    <w:name w:val="Example Heading"/>
    <w:basedOn w:val="Normal"/>
    <w:next w:val="Normal"/>
    <w:rsid w:val="003779BC"/>
    <w:pPr>
      <w:keepNext/>
      <w:numPr>
        <w:ilvl w:val="3"/>
        <w:numId w:val="38"/>
      </w:numPr>
      <w:spacing w:before="120" w:after="120"/>
    </w:pPr>
    <w:rPr>
      <w:b/>
      <w:sz w:val="22"/>
    </w:rPr>
  </w:style>
  <w:style w:type="paragraph" w:customStyle="1" w:styleId="Diagram">
    <w:name w:val="Diagram"/>
    <w:basedOn w:val="Normal"/>
    <w:next w:val="Normal"/>
    <w:rsid w:val="003779BC"/>
    <w:pPr>
      <w:keepNext/>
      <w:numPr>
        <w:ilvl w:val="2"/>
        <w:numId w:val="38"/>
      </w:numPr>
    </w:pPr>
    <w:rPr>
      <w:b/>
      <w:sz w:val="22"/>
    </w:rPr>
  </w:style>
  <w:style w:type="character" w:customStyle="1" w:styleId="base-text-paragraphChar">
    <w:name w:val="base-text-paragraph Char"/>
    <w:basedOn w:val="DefaultParagraphFont"/>
    <w:link w:val="base-text-paragraph"/>
    <w:rsid w:val="003779BC"/>
    <w:rPr>
      <w:sz w:val="22"/>
    </w:rPr>
  </w:style>
  <w:style w:type="numbering" w:customStyle="1" w:styleId="ChapterList">
    <w:name w:val="ChapterList"/>
    <w:uiPriority w:val="99"/>
    <w:rsid w:val="003779BC"/>
    <w:pPr>
      <w:numPr>
        <w:numId w:val="37"/>
      </w:numPr>
    </w:pPr>
  </w:style>
  <w:style w:type="character" w:customStyle="1" w:styleId="CommentTextChar">
    <w:name w:val="Comment Text Char"/>
    <w:basedOn w:val="DefaultParagraphFont"/>
    <w:link w:val="CommentText"/>
    <w:rsid w:val="003779BC"/>
  </w:style>
  <w:style w:type="character" w:customStyle="1" w:styleId="Heading4Char">
    <w:name w:val="Heading 4 Char"/>
    <w:basedOn w:val="DefaultParagraphFont"/>
    <w:link w:val="Heading4"/>
    <w:semiHidden/>
    <w:rsid w:val="003779BC"/>
    <w:rPr>
      <w:rFonts w:asciiTheme="majorHAnsi" w:eastAsiaTheme="majorEastAsia" w:hAnsiTheme="majorHAnsi" w:cstheme="majorBidi"/>
      <w:b/>
      <w:bCs/>
      <w:i/>
      <w:iCs/>
      <w:color w:val="4F81BD" w:themeColor="accent1"/>
      <w:sz w:val="24"/>
    </w:rPr>
  </w:style>
  <w:style w:type="paragraph" w:styleId="Revision">
    <w:name w:val="Revision"/>
    <w:hidden/>
    <w:uiPriority w:val="99"/>
    <w:semiHidden/>
    <w:rsid w:val="006328B2"/>
    <w:rPr>
      <w:sz w:val="24"/>
    </w:rPr>
  </w:style>
  <w:style w:type="character" w:customStyle="1" w:styleId="FootnoteTextChar">
    <w:name w:val="Footnote Text Char"/>
    <w:basedOn w:val="DefaultParagraphFont"/>
    <w:link w:val="FootnoteText"/>
    <w:rsid w:val="009A0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779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rsid w:val="00F35064"/>
    <w:rPr>
      <w:sz w:val="20"/>
    </w:rPr>
  </w:style>
  <w:style w:type="character" w:styleId="FootnoteReference">
    <w:name w:val="footnote reference"/>
    <w:basedOn w:val="DefaultParagraphFont"/>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rsid w:val="00A26011"/>
    <w:rPr>
      <w:sz w:val="16"/>
      <w:szCs w:val="16"/>
    </w:rPr>
  </w:style>
  <w:style w:type="paragraph" w:styleId="CommentText">
    <w:name w:val="annotation text"/>
    <w:basedOn w:val="Normal"/>
    <w:link w:val="CommentTextChar"/>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ChapterHeading">
    <w:name w:val="Chapter Heading"/>
    <w:next w:val="Heading2"/>
    <w:rsid w:val="003779BC"/>
    <w:pPr>
      <w:numPr>
        <w:numId w:val="38"/>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3779BC"/>
    <w:pPr>
      <w:keepLines w:val="0"/>
      <w:numPr>
        <w:ilvl w:val="4"/>
        <w:numId w:val="38"/>
      </w:numPr>
      <w:tabs>
        <w:tab w:val="num" w:pos="360"/>
        <w:tab w:val="num" w:pos="3600"/>
      </w:tabs>
      <w:spacing w:before="120" w:after="120"/>
      <w:ind w:left="0" w:hanging="360"/>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3779BC"/>
    <w:pPr>
      <w:numPr>
        <w:ilvl w:val="1"/>
        <w:numId w:val="38"/>
      </w:numPr>
      <w:spacing w:before="120" w:after="120"/>
    </w:pPr>
    <w:rPr>
      <w:sz w:val="22"/>
    </w:rPr>
  </w:style>
  <w:style w:type="paragraph" w:customStyle="1" w:styleId="ExampleHeading">
    <w:name w:val="Example Heading"/>
    <w:basedOn w:val="Normal"/>
    <w:next w:val="Normal"/>
    <w:rsid w:val="003779BC"/>
    <w:pPr>
      <w:keepNext/>
      <w:numPr>
        <w:ilvl w:val="3"/>
        <w:numId w:val="38"/>
      </w:numPr>
      <w:spacing w:before="120" w:after="120"/>
    </w:pPr>
    <w:rPr>
      <w:b/>
      <w:sz w:val="22"/>
    </w:rPr>
  </w:style>
  <w:style w:type="paragraph" w:customStyle="1" w:styleId="Diagram">
    <w:name w:val="Diagram"/>
    <w:basedOn w:val="Normal"/>
    <w:next w:val="Normal"/>
    <w:rsid w:val="003779BC"/>
    <w:pPr>
      <w:keepNext/>
      <w:numPr>
        <w:ilvl w:val="2"/>
        <w:numId w:val="38"/>
      </w:numPr>
    </w:pPr>
    <w:rPr>
      <w:b/>
      <w:sz w:val="22"/>
    </w:rPr>
  </w:style>
  <w:style w:type="character" w:customStyle="1" w:styleId="base-text-paragraphChar">
    <w:name w:val="base-text-paragraph Char"/>
    <w:basedOn w:val="DefaultParagraphFont"/>
    <w:link w:val="base-text-paragraph"/>
    <w:rsid w:val="003779BC"/>
    <w:rPr>
      <w:sz w:val="22"/>
    </w:rPr>
  </w:style>
  <w:style w:type="numbering" w:customStyle="1" w:styleId="ChapterList">
    <w:name w:val="ChapterList"/>
    <w:uiPriority w:val="99"/>
    <w:rsid w:val="003779BC"/>
    <w:pPr>
      <w:numPr>
        <w:numId w:val="37"/>
      </w:numPr>
    </w:pPr>
  </w:style>
  <w:style w:type="character" w:customStyle="1" w:styleId="CommentTextChar">
    <w:name w:val="Comment Text Char"/>
    <w:basedOn w:val="DefaultParagraphFont"/>
    <w:link w:val="CommentText"/>
    <w:rsid w:val="003779BC"/>
  </w:style>
  <w:style w:type="character" w:customStyle="1" w:styleId="Heading4Char">
    <w:name w:val="Heading 4 Char"/>
    <w:basedOn w:val="DefaultParagraphFont"/>
    <w:link w:val="Heading4"/>
    <w:semiHidden/>
    <w:rsid w:val="003779BC"/>
    <w:rPr>
      <w:rFonts w:asciiTheme="majorHAnsi" w:eastAsiaTheme="majorEastAsia" w:hAnsiTheme="majorHAnsi" w:cstheme="majorBidi"/>
      <w:b/>
      <w:bCs/>
      <w:i/>
      <w:iCs/>
      <w:color w:val="4F81BD" w:themeColor="accent1"/>
      <w:sz w:val="24"/>
    </w:rPr>
  </w:style>
  <w:style w:type="paragraph" w:styleId="Revision">
    <w:name w:val="Revision"/>
    <w:hidden/>
    <w:uiPriority w:val="99"/>
    <w:semiHidden/>
    <w:rsid w:val="006328B2"/>
    <w:rPr>
      <w:sz w:val="24"/>
    </w:rPr>
  </w:style>
  <w:style w:type="character" w:customStyle="1" w:styleId="FootnoteTextChar">
    <w:name w:val="Footnote Text Char"/>
    <w:basedOn w:val="DefaultParagraphFont"/>
    <w:link w:val="FootnoteText"/>
    <w:rsid w:val="009A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5584">
      <w:bodyDiv w:val="1"/>
      <w:marLeft w:val="0"/>
      <w:marRight w:val="0"/>
      <w:marTop w:val="0"/>
      <w:marBottom w:val="0"/>
      <w:divBdr>
        <w:top w:val="none" w:sz="0" w:space="0" w:color="auto"/>
        <w:left w:val="none" w:sz="0" w:space="0" w:color="auto"/>
        <w:bottom w:val="none" w:sz="0" w:space="0" w:color="auto"/>
        <w:right w:val="none" w:sz="0" w:space="0" w:color="auto"/>
      </w:divBdr>
    </w:div>
    <w:div w:id="990716550">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53985093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6CE3-6582-44B2-91D1-E15AB905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6027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2</cp:revision>
  <cp:lastPrinted>2012-05-24T05:32:00Z</cp:lastPrinted>
  <dcterms:created xsi:type="dcterms:W3CDTF">2016-11-29T05:13:00Z</dcterms:created>
  <dcterms:modified xsi:type="dcterms:W3CDTF">2016-11-29T05:13:00Z</dcterms:modified>
</cp:coreProperties>
</file>