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651E40">
        <w:rPr>
          <w:b/>
          <w:color w:val="000000"/>
          <w:spacing w:val="-1"/>
          <w:sz w:val="28"/>
        </w:rPr>
        <w:t>ASIC Corporations (Ongoi</w:t>
      </w:r>
      <w:r w:rsidR="00B27728">
        <w:rPr>
          <w:b/>
          <w:color w:val="000000"/>
          <w:spacing w:val="-1"/>
          <w:sz w:val="28"/>
        </w:rPr>
        <w:t>ng Fees Code) Instrument 2016/1129</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Pr="00651E40" w:rsidRDefault="005B0E3A" w:rsidP="005B0E3A">
      <w:pPr>
        <w:spacing w:before="3" w:line="220" w:lineRule="exact"/>
      </w:pPr>
      <w:bookmarkStart w:id="0" w:name="_GoBack"/>
      <w:bookmarkEnd w:id="0"/>
    </w:p>
    <w:p w:rsidR="00651E40" w:rsidRPr="00651E40" w:rsidRDefault="005B0E3A" w:rsidP="005B0E3A">
      <w:pPr>
        <w:pStyle w:val="BodyText"/>
        <w:spacing w:line="261" w:lineRule="auto"/>
        <w:rPr>
          <w:spacing w:val="-1"/>
        </w:rPr>
      </w:pPr>
      <w:r w:rsidRPr="00651E40">
        <w:t xml:space="preserve">The Australian Securities and </w:t>
      </w:r>
      <w:r w:rsidRPr="00651E40">
        <w:rPr>
          <w:spacing w:val="-1"/>
        </w:rPr>
        <w:t>Investments</w:t>
      </w:r>
      <w:r w:rsidRPr="00651E40">
        <w:t xml:space="preserve"> </w:t>
      </w:r>
      <w:r w:rsidRPr="00651E40">
        <w:rPr>
          <w:spacing w:val="-1"/>
        </w:rPr>
        <w:t>Commission</w:t>
      </w:r>
      <w:r w:rsidRPr="00651E40">
        <w:t xml:space="preserve"> (ASIC) </w:t>
      </w:r>
      <w:r w:rsidRPr="00651E40">
        <w:rPr>
          <w:spacing w:val="-1"/>
        </w:rPr>
        <w:t>makes</w:t>
      </w:r>
      <w:r w:rsidRPr="00651E40">
        <w:t xml:space="preserve"> </w:t>
      </w:r>
      <w:r w:rsidR="00651E40" w:rsidRPr="00C02DA0">
        <w:rPr>
          <w:i/>
        </w:rPr>
        <w:t>ASIC Corporations (Ongoi</w:t>
      </w:r>
      <w:r w:rsidR="00B27728">
        <w:rPr>
          <w:i/>
        </w:rPr>
        <w:t>ng Fees Code) Instrument 2016/1129</w:t>
      </w:r>
      <w:r w:rsidR="00651E40" w:rsidRPr="00651E40">
        <w:t xml:space="preserve"> </w:t>
      </w:r>
      <w:r w:rsidRPr="00651E40">
        <w:rPr>
          <w:spacing w:val="-1"/>
        </w:rPr>
        <w:t xml:space="preserve">under </w:t>
      </w:r>
      <w:r w:rsidR="00651E40" w:rsidRPr="00651E40">
        <w:t xml:space="preserve">subsections 962CA(1) and 1101A(1) of the </w:t>
      </w:r>
      <w:r w:rsidR="00651E40" w:rsidRPr="00651E40">
        <w:rPr>
          <w:i/>
        </w:rPr>
        <w:t xml:space="preserve">Corporations Act 2001 </w:t>
      </w:r>
      <w:r w:rsidR="00651E40" w:rsidRPr="00651E40">
        <w:t xml:space="preserve">(the </w:t>
      </w:r>
      <w:r w:rsidR="00AE4339">
        <w:t xml:space="preserve">Corporations </w:t>
      </w:r>
      <w:r w:rsidR="00651E40" w:rsidRPr="00651E40">
        <w:t>Act)</w:t>
      </w:r>
      <w:r w:rsidRPr="00651E40">
        <w:rPr>
          <w:spacing w:val="-1"/>
        </w:rPr>
        <w:t xml:space="preserve">. </w:t>
      </w:r>
    </w:p>
    <w:p w:rsidR="005B0E3A" w:rsidRDefault="00651E40" w:rsidP="005B0E3A">
      <w:pPr>
        <w:pStyle w:val="BodyText"/>
        <w:spacing w:line="261" w:lineRule="auto"/>
      </w:pPr>
      <w:r w:rsidRPr="00651E40">
        <w:t xml:space="preserve">Subsection 962CA(1) of the </w:t>
      </w:r>
      <w:r w:rsidR="00AE4339">
        <w:t xml:space="preserve">Corporations </w:t>
      </w:r>
      <w:r w:rsidRPr="00651E40">
        <w:t>Act</w:t>
      </w:r>
      <w:r w:rsidR="005B0E3A" w:rsidRPr="00651E40">
        <w:rPr>
          <w:spacing w:val="-1"/>
        </w:rPr>
        <w:t xml:space="preserve"> </w:t>
      </w:r>
      <w:r w:rsidR="005B0E3A" w:rsidRPr="00651E40">
        <w:t xml:space="preserve">provides that ASIC </w:t>
      </w:r>
      <w:r>
        <w:t xml:space="preserve">may exempt a person, or a class of persons, from section 962K (the opt-in requirement) </w:t>
      </w:r>
      <w:r w:rsidR="00AE4339">
        <w:t xml:space="preserve">of the Corporations Act </w:t>
      </w:r>
      <w:r>
        <w:t xml:space="preserve">if ASIC is satisfied that the person is, or persons of that class are, bound by a code of conduct approved by ASIC for the purposes of this section. </w:t>
      </w:r>
    </w:p>
    <w:p w:rsidR="00651E40" w:rsidRDefault="00651E40" w:rsidP="005B0E3A">
      <w:pPr>
        <w:pStyle w:val="BodyText"/>
        <w:spacing w:line="261" w:lineRule="auto"/>
      </w:pPr>
      <w:r>
        <w:t xml:space="preserve">Subsection 1101A(1) of the </w:t>
      </w:r>
      <w:r w:rsidR="00AE4339">
        <w:t xml:space="preserve">Corporations </w:t>
      </w:r>
      <w:r>
        <w:t xml:space="preserve">Act provides that ASIC may, on application, approve codes of conduct that relate to any aspect of the activities of (a) financial services licensees, (b) authorised representatives of financial services licensees, or (c) issuers of financial products, being activities in relation to which ASIC has a regulatory responsibility.  The approval must be in writing. </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4A7186" w:rsidRPr="00C02DA0" w:rsidRDefault="004A7186" w:rsidP="004A7186">
      <w:pPr>
        <w:pStyle w:val="RPG-BodyTextNumbered"/>
        <w:numPr>
          <w:ilvl w:val="0"/>
          <w:numId w:val="0"/>
        </w:numPr>
        <w:ind w:left="360"/>
        <w:rPr>
          <w:i/>
          <w:sz w:val="24"/>
        </w:rPr>
      </w:pPr>
      <w:r w:rsidRPr="00C02DA0">
        <w:rPr>
          <w:i/>
          <w:sz w:val="24"/>
        </w:rPr>
        <w:t xml:space="preserve">Ongoing fee arrangements </w:t>
      </w:r>
    </w:p>
    <w:p w:rsidR="00B84BE6" w:rsidRDefault="004A7186" w:rsidP="00A20EF6">
      <w:pPr>
        <w:pStyle w:val="RPG-BodyTextNumbered"/>
        <w:numPr>
          <w:ilvl w:val="0"/>
          <w:numId w:val="0"/>
        </w:numPr>
        <w:ind w:left="360"/>
        <w:rPr>
          <w:sz w:val="24"/>
        </w:rPr>
      </w:pPr>
      <w:r>
        <w:rPr>
          <w:sz w:val="24"/>
        </w:rPr>
        <w:t xml:space="preserve">The Future of Financial Advice </w:t>
      </w:r>
      <w:r w:rsidR="001E116D">
        <w:rPr>
          <w:sz w:val="24"/>
        </w:rPr>
        <w:t xml:space="preserve">(FOFA) </w:t>
      </w:r>
      <w:r>
        <w:rPr>
          <w:sz w:val="24"/>
        </w:rPr>
        <w:t xml:space="preserve">reforms introduced a number of new requirements in relation to Australian </w:t>
      </w:r>
      <w:r w:rsidR="00B84BE6">
        <w:rPr>
          <w:sz w:val="24"/>
        </w:rPr>
        <w:t>F</w:t>
      </w:r>
      <w:r>
        <w:rPr>
          <w:sz w:val="24"/>
        </w:rPr>
        <w:t xml:space="preserve">inancial </w:t>
      </w:r>
      <w:r w:rsidR="00FF65EA">
        <w:rPr>
          <w:sz w:val="24"/>
        </w:rPr>
        <w:t>S</w:t>
      </w:r>
      <w:r>
        <w:rPr>
          <w:sz w:val="24"/>
        </w:rPr>
        <w:t xml:space="preserve">ervices </w:t>
      </w:r>
      <w:r w:rsidR="00B84BE6">
        <w:rPr>
          <w:sz w:val="24"/>
        </w:rPr>
        <w:t xml:space="preserve">(AFS) </w:t>
      </w:r>
      <w:r>
        <w:rPr>
          <w:sz w:val="24"/>
        </w:rPr>
        <w:t xml:space="preserve">licensees and representatives (as defined under s910A of the </w:t>
      </w:r>
      <w:r w:rsidR="00FF65EA">
        <w:rPr>
          <w:sz w:val="24"/>
        </w:rPr>
        <w:t xml:space="preserve">Corporations </w:t>
      </w:r>
      <w:r>
        <w:rPr>
          <w:sz w:val="24"/>
        </w:rPr>
        <w:t>Act) who give personal advice to retail clients.  One new provision related to ‘ongoing fee arrangements’</w:t>
      </w:r>
      <w:r w:rsidR="00B84BE6">
        <w:rPr>
          <w:sz w:val="24"/>
        </w:rPr>
        <w:t xml:space="preserve">.  </w:t>
      </w:r>
    </w:p>
    <w:p w:rsidR="004A7186" w:rsidRPr="004A7186" w:rsidRDefault="00B84BE6" w:rsidP="00A20EF6">
      <w:pPr>
        <w:pStyle w:val="RPG-BodyTextNumbered"/>
        <w:numPr>
          <w:ilvl w:val="0"/>
          <w:numId w:val="0"/>
        </w:numPr>
        <w:ind w:left="360"/>
        <w:rPr>
          <w:sz w:val="24"/>
        </w:rPr>
      </w:pPr>
      <w:r>
        <w:rPr>
          <w:sz w:val="24"/>
        </w:rPr>
        <w:t xml:space="preserve">An ongoing fee arrangement exists when an AFS licensee or their representative gives personal advice to a retail client and the retail client enters into an arrangement with the AFS licensee, the terms of which provide for the payment of a fee </w:t>
      </w:r>
      <w:r w:rsidR="004A7186">
        <w:rPr>
          <w:sz w:val="24"/>
        </w:rPr>
        <w:t xml:space="preserve">(however described or structured) during a period of more than 12 months: see s962A of </w:t>
      </w:r>
      <w:r w:rsidR="004A7186" w:rsidRPr="003F7C4D">
        <w:rPr>
          <w:sz w:val="24"/>
          <w:szCs w:val="24"/>
        </w:rPr>
        <w:t xml:space="preserve">the </w:t>
      </w:r>
      <w:r w:rsidR="00AE4339" w:rsidRPr="003F7C4D">
        <w:rPr>
          <w:sz w:val="24"/>
          <w:szCs w:val="24"/>
        </w:rPr>
        <w:t>Corporations</w:t>
      </w:r>
      <w:r w:rsidR="00AE4339">
        <w:rPr>
          <w:sz w:val="24"/>
        </w:rPr>
        <w:t xml:space="preserve"> </w:t>
      </w:r>
      <w:r w:rsidR="004A7186">
        <w:rPr>
          <w:sz w:val="24"/>
        </w:rPr>
        <w:t>Act.</w:t>
      </w:r>
    </w:p>
    <w:p w:rsidR="00682CA3" w:rsidRPr="00682CA3" w:rsidRDefault="00682CA3" w:rsidP="004A7186">
      <w:pPr>
        <w:pStyle w:val="RPG-BodyTextNumbered"/>
        <w:numPr>
          <w:ilvl w:val="0"/>
          <w:numId w:val="0"/>
        </w:numPr>
        <w:ind w:left="425"/>
        <w:rPr>
          <w:sz w:val="24"/>
        </w:rPr>
      </w:pPr>
      <w:r>
        <w:rPr>
          <w:sz w:val="24"/>
        </w:rPr>
        <w:t>Under s</w:t>
      </w:r>
      <w:r w:rsidRPr="00682CA3">
        <w:rPr>
          <w:sz w:val="24"/>
        </w:rPr>
        <w:t>962K</w:t>
      </w:r>
      <w:r>
        <w:rPr>
          <w:sz w:val="24"/>
        </w:rPr>
        <w:t xml:space="preserve"> of the </w:t>
      </w:r>
      <w:r w:rsidR="00AE4339" w:rsidRPr="00AE4339">
        <w:rPr>
          <w:sz w:val="24"/>
        </w:rPr>
        <w:t xml:space="preserve">Corporations </w:t>
      </w:r>
      <w:r>
        <w:rPr>
          <w:sz w:val="24"/>
        </w:rPr>
        <w:t>Act</w:t>
      </w:r>
      <w:r w:rsidRPr="00682CA3">
        <w:rPr>
          <w:sz w:val="24"/>
        </w:rPr>
        <w:t>, a licensee or representative who receives fees under an ongoing fee a</w:t>
      </w:r>
      <w:r w:rsidR="00A20EF6">
        <w:rPr>
          <w:sz w:val="24"/>
        </w:rPr>
        <w:t>rrangement must g</w:t>
      </w:r>
      <w:r w:rsidRPr="00682CA3">
        <w:rPr>
          <w:sz w:val="24"/>
        </w:rPr>
        <w:t xml:space="preserve">ive the client </w:t>
      </w:r>
      <w:r w:rsidR="00D52A87">
        <w:rPr>
          <w:sz w:val="24"/>
        </w:rPr>
        <w:t>a written renewal notice every two</w:t>
      </w:r>
      <w:r w:rsidRPr="00682CA3">
        <w:rPr>
          <w:sz w:val="24"/>
        </w:rPr>
        <w:t xml:space="preserve"> years which requires the client to opt-in to renew that </w:t>
      </w:r>
      <w:r w:rsidR="00B84BE6">
        <w:rPr>
          <w:sz w:val="24"/>
        </w:rPr>
        <w:t>arrangement.</w:t>
      </w:r>
      <w:r w:rsidRPr="00682CA3">
        <w:rPr>
          <w:sz w:val="24"/>
        </w:rPr>
        <w:t xml:space="preserve">  If the client does not </w:t>
      </w:r>
      <w:r w:rsidRPr="00682CA3">
        <w:rPr>
          <w:sz w:val="24"/>
        </w:rPr>
        <w:lastRenderedPageBreak/>
        <w:t>respond to the renewal notice or opts-out, then the fee arrangement terminates.  This is known as the ‘opt-in requirement’.</w:t>
      </w:r>
    </w:p>
    <w:p w:rsidR="00682CA3" w:rsidRDefault="00682CA3" w:rsidP="00A20EF6">
      <w:pPr>
        <w:pStyle w:val="RPG-BodyTextNumbered"/>
        <w:numPr>
          <w:ilvl w:val="0"/>
          <w:numId w:val="0"/>
        </w:numPr>
        <w:ind w:left="425"/>
        <w:rPr>
          <w:color w:val="000000" w:themeColor="text1"/>
          <w:sz w:val="24"/>
        </w:rPr>
      </w:pPr>
      <w:r w:rsidRPr="00A20EF6">
        <w:rPr>
          <w:sz w:val="24"/>
        </w:rPr>
        <w:t xml:space="preserve">It is a condition of the ongoing fee arrangement that the arrangement will terminate if the opt-in requirement has not been complied with. </w:t>
      </w:r>
      <w:r w:rsidRPr="00A20EF6">
        <w:rPr>
          <w:color w:val="000000" w:themeColor="text1"/>
          <w:sz w:val="24"/>
        </w:rPr>
        <w:t>The opt-in requirement only applies in relation to new clients who receive personal advice after 1 July 2013: see s962D(1)</w:t>
      </w:r>
      <w:r w:rsidR="00446604">
        <w:rPr>
          <w:color w:val="000000" w:themeColor="text1"/>
          <w:sz w:val="24"/>
        </w:rPr>
        <w:t xml:space="preserve"> of the </w:t>
      </w:r>
      <w:r w:rsidR="00AE4339" w:rsidRPr="00AE4339">
        <w:rPr>
          <w:color w:val="000000" w:themeColor="text1"/>
          <w:sz w:val="24"/>
        </w:rPr>
        <w:t xml:space="preserve">Corporations </w:t>
      </w:r>
      <w:r w:rsidR="00446604">
        <w:rPr>
          <w:color w:val="000000" w:themeColor="text1"/>
          <w:sz w:val="24"/>
        </w:rPr>
        <w:t>Act</w:t>
      </w:r>
      <w:r w:rsidRPr="00A20EF6">
        <w:rPr>
          <w:color w:val="000000" w:themeColor="text1"/>
          <w:sz w:val="24"/>
        </w:rPr>
        <w:t xml:space="preserve">.  </w:t>
      </w:r>
    </w:p>
    <w:p w:rsidR="00446604" w:rsidRPr="00C02DA0" w:rsidRDefault="00446604" w:rsidP="00A20EF6">
      <w:pPr>
        <w:pStyle w:val="RPG-BodyTextNumbered"/>
        <w:numPr>
          <w:ilvl w:val="0"/>
          <w:numId w:val="0"/>
        </w:numPr>
        <w:ind w:left="425"/>
        <w:rPr>
          <w:i/>
          <w:color w:val="000000" w:themeColor="text1"/>
          <w:sz w:val="24"/>
        </w:rPr>
      </w:pPr>
      <w:r w:rsidRPr="00C02DA0">
        <w:rPr>
          <w:i/>
          <w:color w:val="000000" w:themeColor="text1"/>
          <w:sz w:val="24"/>
        </w:rPr>
        <w:t>ASIC’s code approval powers</w:t>
      </w:r>
    </w:p>
    <w:p w:rsidR="00A03AC1" w:rsidRDefault="00682CA3" w:rsidP="00A03AC1">
      <w:pPr>
        <w:pStyle w:val="RPG-BodyTextNumbered"/>
        <w:numPr>
          <w:ilvl w:val="0"/>
          <w:numId w:val="0"/>
        </w:numPr>
        <w:ind w:left="425"/>
        <w:rPr>
          <w:sz w:val="24"/>
        </w:rPr>
      </w:pPr>
      <w:r w:rsidRPr="00446604">
        <w:rPr>
          <w:sz w:val="24"/>
        </w:rPr>
        <w:t>Under s962CA</w:t>
      </w:r>
      <w:r w:rsidR="00D52A87">
        <w:rPr>
          <w:sz w:val="24"/>
        </w:rPr>
        <w:t>(1)</w:t>
      </w:r>
      <w:r w:rsidRPr="00446604">
        <w:rPr>
          <w:sz w:val="24"/>
        </w:rPr>
        <w:t xml:space="preserve"> </w:t>
      </w:r>
      <w:r w:rsidR="00446604">
        <w:rPr>
          <w:sz w:val="24"/>
        </w:rPr>
        <w:t xml:space="preserve">of the </w:t>
      </w:r>
      <w:r w:rsidR="00AE4339" w:rsidRPr="00AE4339">
        <w:rPr>
          <w:sz w:val="24"/>
        </w:rPr>
        <w:t xml:space="preserve">Corporations </w:t>
      </w:r>
      <w:r w:rsidR="00446604">
        <w:rPr>
          <w:sz w:val="24"/>
        </w:rPr>
        <w:t xml:space="preserve">Act, </w:t>
      </w:r>
      <w:r w:rsidR="00A03AC1">
        <w:rPr>
          <w:sz w:val="24"/>
        </w:rPr>
        <w:t xml:space="preserve">ASIC may </w:t>
      </w:r>
      <w:r w:rsidRPr="00446604">
        <w:rPr>
          <w:sz w:val="24"/>
        </w:rPr>
        <w:t>exempt a person or class of persons fr</w:t>
      </w:r>
      <w:r w:rsidR="00D52A87">
        <w:rPr>
          <w:sz w:val="24"/>
        </w:rPr>
        <w:t>om the opt-in requirement</w:t>
      </w:r>
      <w:r w:rsidR="00A03AC1">
        <w:rPr>
          <w:sz w:val="24"/>
        </w:rPr>
        <w:t xml:space="preserve"> if ASIC is</w:t>
      </w:r>
      <w:r w:rsidRPr="00446604">
        <w:rPr>
          <w:sz w:val="24"/>
        </w:rPr>
        <w:t xml:space="preserve"> satisfied that they are bound by a code of conduct approved by ASIC</w:t>
      </w:r>
      <w:r w:rsidR="00A03AC1">
        <w:rPr>
          <w:sz w:val="24"/>
        </w:rPr>
        <w:t xml:space="preserve"> for the purpose of the section.  </w:t>
      </w:r>
    </w:p>
    <w:p w:rsidR="00A03AC1" w:rsidRDefault="00A03AC1" w:rsidP="00A03AC1">
      <w:pPr>
        <w:pStyle w:val="RPG-BodyTextNumbered"/>
        <w:numPr>
          <w:ilvl w:val="0"/>
          <w:numId w:val="0"/>
        </w:numPr>
        <w:ind w:left="425"/>
        <w:rPr>
          <w:sz w:val="24"/>
        </w:rPr>
      </w:pPr>
      <w:r>
        <w:rPr>
          <w:sz w:val="24"/>
        </w:rPr>
        <w:t xml:space="preserve">Under s962CA(2) of the </w:t>
      </w:r>
      <w:r w:rsidR="00AE4339" w:rsidRPr="00AE4339">
        <w:rPr>
          <w:sz w:val="24"/>
        </w:rPr>
        <w:t>Corporations</w:t>
      </w:r>
      <w:r w:rsidR="00AE4339">
        <w:rPr>
          <w:sz w:val="24"/>
        </w:rPr>
        <w:t xml:space="preserve"> </w:t>
      </w:r>
      <w:r>
        <w:rPr>
          <w:sz w:val="24"/>
        </w:rPr>
        <w:t>Act, ASIC may approve a code of conduct if:</w:t>
      </w:r>
      <w:r w:rsidR="00682CA3" w:rsidRPr="00446604">
        <w:rPr>
          <w:sz w:val="24"/>
        </w:rPr>
        <w:t xml:space="preserve"> </w:t>
      </w:r>
    </w:p>
    <w:p w:rsidR="00A03AC1" w:rsidRDefault="00A03AC1" w:rsidP="00A03AC1">
      <w:pPr>
        <w:pStyle w:val="RPG-BodyTextNumbered"/>
        <w:numPr>
          <w:ilvl w:val="0"/>
          <w:numId w:val="18"/>
        </w:numPr>
        <w:rPr>
          <w:sz w:val="24"/>
        </w:rPr>
      </w:pPr>
      <w:r>
        <w:rPr>
          <w:sz w:val="24"/>
        </w:rPr>
        <w:t>the code of conduct is approved by ASIC under s1101A</w:t>
      </w:r>
      <w:r w:rsidR="00AE4339" w:rsidRPr="00AE4339">
        <w:rPr>
          <w:sz w:val="24"/>
        </w:rPr>
        <w:t xml:space="preserve"> </w:t>
      </w:r>
      <w:r w:rsidR="00AE4339">
        <w:rPr>
          <w:sz w:val="24"/>
        </w:rPr>
        <w:t xml:space="preserve">of the </w:t>
      </w:r>
      <w:r w:rsidR="00AE4339" w:rsidRPr="00AE4339">
        <w:rPr>
          <w:sz w:val="24"/>
        </w:rPr>
        <w:t>Corporations</w:t>
      </w:r>
      <w:r w:rsidR="00AE4339">
        <w:rPr>
          <w:sz w:val="24"/>
        </w:rPr>
        <w:t xml:space="preserve"> Act</w:t>
      </w:r>
      <w:r>
        <w:rPr>
          <w:sz w:val="24"/>
        </w:rPr>
        <w:t>; and</w:t>
      </w:r>
    </w:p>
    <w:p w:rsidR="00682CA3" w:rsidRDefault="00A03AC1" w:rsidP="00A03AC1">
      <w:pPr>
        <w:pStyle w:val="RPG-BodyTextNumbered"/>
        <w:numPr>
          <w:ilvl w:val="0"/>
          <w:numId w:val="18"/>
        </w:numPr>
        <w:rPr>
          <w:sz w:val="24"/>
        </w:rPr>
      </w:pPr>
      <w:r>
        <w:rPr>
          <w:sz w:val="24"/>
        </w:rPr>
        <w:t xml:space="preserve">ASIC is satisfied that the code of conduct </w:t>
      </w:r>
      <w:r w:rsidR="00682CA3" w:rsidRPr="00A03AC1">
        <w:rPr>
          <w:sz w:val="24"/>
        </w:rPr>
        <w:t>obviates the need</w:t>
      </w:r>
      <w:r w:rsidR="00682CA3" w:rsidRPr="00A03AC1">
        <w:rPr>
          <w:i/>
          <w:sz w:val="24"/>
        </w:rPr>
        <w:t xml:space="preserve"> </w:t>
      </w:r>
      <w:r w:rsidR="00682CA3" w:rsidRPr="00A03AC1">
        <w:rPr>
          <w:sz w:val="24"/>
        </w:rPr>
        <w:t>for persons bound by the code to be bound by the opt-in requirement</w:t>
      </w:r>
      <w:r>
        <w:rPr>
          <w:sz w:val="24"/>
        </w:rPr>
        <w:t>; and</w:t>
      </w:r>
    </w:p>
    <w:p w:rsidR="00A03AC1" w:rsidRPr="00A03AC1" w:rsidRDefault="00A03AC1" w:rsidP="00A03AC1">
      <w:pPr>
        <w:pStyle w:val="RPG-BodyTextNumbered"/>
        <w:numPr>
          <w:ilvl w:val="0"/>
          <w:numId w:val="18"/>
        </w:numPr>
        <w:rPr>
          <w:sz w:val="24"/>
        </w:rPr>
      </w:pPr>
      <w:r>
        <w:rPr>
          <w:sz w:val="24"/>
        </w:rPr>
        <w:t xml:space="preserve">ASIC is satisfied of any other matters prescribed by the regulations. </w:t>
      </w:r>
    </w:p>
    <w:p w:rsidR="00A03AC1" w:rsidRDefault="00A03AC1" w:rsidP="00A03AC1">
      <w:pPr>
        <w:pStyle w:val="RPG-BodyTextNumbered"/>
        <w:numPr>
          <w:ilvl w:val="0"/>
          <w:numId w:val="0"/>
        </w:numPr>
        <w:ind w:left="425"/>
        <w:rPr>
          <w:sz w:val="24"/>
        </w:rPr>
      </w:pPr>
      <w:r w:rsidRPr="00A03AC1">
        <w:rPr>
          <w:sz w:val="24"/>
        </w:rPr>
        <w:t>There are</w:t>
      </w:r>
      <w:r>
        <w:rPr>
          <w:sz w:val="24"/>
        </w:rPr>
        <w:t xml:space="preserve"> currently no matters prescribed by the regulations.  </w:t>
      </w:r>
    </w:p>
    <w:p w:rsidR="00A03AC1" w:rsidRPr="00C02DA0" w:rsidRDefault="00A03AC1" w:rsidP="00A03AC1">
      <w:pPr>
        <w:pStyle w:val="RPG-BodyTextNumbered"/>
        <w:numPr>
          <w:ilvl w:val="0"/>
          <w:numId w:val="0"/>
        </w:numPr>
        <w:ind w:left="425"/>
        <w:rPr>
          <w:i/>
          <w:sz w:val="24"/>
        </w:rPr>
      </w:pPr>
      <w:r w:rsidRPr="00C02DA0">
        <w:rPr>
          <w:i/>
          <w:sz w:val="24"/>
        </w:rPr>
        <w:t>Financial Planning Association of Australia Limited</w:t>
      </w:r>
    </w:p>
    <w:p w:rsidR="00A03AC1" w:rsidRPr="00A03AC1" w:rsidRDefault="00A03AC1" w:rsidP="00A03AC1">
      <w:pPr>
        <w:pStyle w:val="RPG-BodyTextNumbered"/>
        <w:numPr>
          <w:ilvl w:val="0"/>
          <w:numId w:val="0"/>
        </w:numPr>
        <w:ind w:left="425"/>
        <w:rPr>
          <w:sz w:val="24"/>
        </w:rPr>
      </w:pPr>
      <w:r>
        <w:rPr>
          <w:sz w:val="24"/>
        </w:rPr>
        <w:t>The Financial Planning Association</w:t>
      </w:r>
      <w:r w:rsidR="00CC1059">
        <w:rPr>
          <w:sz w:val="24"/>
        </w:rPr>
        <w:t xml:space="preserve"> of Australia Limited (FPA) </w:t>
      </w:r>
      <w:r>
        <w:rPr>
          <w:sz w:val="24"/>
        </w:rPr>
        <w:t xml:space="preserve">applied to ASIC for approval of its code of conduct pursuant to s962CA of the </w:t>
      </w:r>
      <w:r w:rsidR="00AE4339" w:rsidRPr="00AE4339">
        <w:rPr>
          <w:sz w:val="24"/>
        </w:rPr>
        <w:t>Corporations</w:t>
      </w:r>
      <w:r w:rsidR="00AE4339">
        <w:rPr>
          <w:sz w:val="24"/>
        </w:rPr>
        <w:t xml:space="preserve"> </w:t>
      </w:r>
      <w:r>
        <w:rPr>
          <w:sz w:val="24"/>
        </w:rPr>
        <w:t xml:space="preserve">Act. </w:t>
      </w:r>
    </w:p>
    <w:p w:rsidR="005B0E3A" w:rsidRDefault="005B0E3A" w:rsidP="005B0E3A">
      <w:pPr>
        <w:spacing w:line="240" w:lineRule="exact"/>
        <w:rPr>
          <w:sz w:val="24"/>
          <w:szCs w:val="24"/>
        </w:rPr>
      </w:pPr>
    </w:p>
    <w:p w:rsidR="005B0E3A" w:rsidRDefault="005B0E3A" w:rsidP="00632658">
      <w:pPr>
        <w:pStyle w:val="Heading3"/>
        <w:keepNext w:val="0"/>
        <w:widowControl w:val="0"/>
        <w:numPr>
          <w:ilvl w:val="0"/>
          <w:numId w:val="7"/>
        </w:numPr>
        <w:tabs>
          <w:tab w:val="left" w:pos="1592"/>
        </w:tabs>
        <w:spacing w:after="0" w:line="240" w:lineRule="auto"/>
        <w:ind w:left="0" w:firstLine="0"/>
        <w:jc w:val="left"/>
        <w:rPr>
          <w:rFonts w:ascii="Arial" w:hAnsi="Arial" w:cs="Arial"/>
          <w:b/>
          <w:spacing w:val="-1"/>
          <w:sz w:val="24"/>
        </w:rPr>
      </w:pPr>
      <w:bookmarkStart w:id="2" w:name="2._Purpose_of_the_class_order_"/>
      <w:bookmarkEnd w:id="2"/>
      <w:r w:rsidRPr="00733251">
        <w:rPr>
          <w:rFonts w:ascii="Arial" w:hAnsi="Arial" w:cs="Arial"/>
          <w:b/>
          <w:spacing w:val="-1"/>
          <w:sz w:val="24"/>
        </w:rPr>
        <w:t>Purpose</w:t>
      </w:r>
      <w:r w:rsidRPr="00733251">
        <w:rPr>
          <w:rFonts w:ascii="Arial" w:hAnsi="Arial" w:cs="Arial"/>
          <w:b/>
          <w:sz w:val="24"/>
        </w:rPr>
        <w:t xml:space="preserve"> of </w:t>
      </w:r>
      <w:r w:rsidRPr="00733251">
        <w:rPr>
          <w:rFonts w:ascii="Arial" w:hAnsi="Arial" w:cs="Arial"/>
          <w:b/>
          <w:spacing w:val="-1"/>
          <w:sz w:val="24"/>
        </w:rPr>
        <w:t>the</w:t>
      </w:r>
      <w:r w:rsidRPr="00733251">
        <w:rPr>
          <w:rFonts w:ascii="Arial" w:hAnsi="Arial" w:cs="Arial"/>
          <w:b/>
          <w:sz w:val="24"/>
        </w:rPr>
        <w:t xml:space="preserve"> </w:t>
      </w:r>
      <w:r w:rsidRPr="00733251">
        <w:rPr>
          <w:rFonts w:ascii="Arial" w:hAnsi="Arial" w:cs="Arial"/>
          <w:b/>
          <w:spacing w:val="-1"/>
          <w:sz w:val="24"/>
        </w:rPr>
        <w:t>instrument</w:t>
      </w:r>
    </w:p>
    <w:p w:rsidR="00632658" w:rsidRPr="00632658" w:rsidRDefault="00632658" w:rsidP="00632658"/>
    <w:p w:rsidR="00D52A87" w:rsidRDefault="004D4DE1" w:rsidP="005B0E3A">
      <w:pPr>
        <w:spacing w:before="71"/>
        <w:rPr>
          <w:sz w:val="24"/>
        </w:rPr>
      </w:pPr>
      <w:r>
        <w:rPr>
          <w:sz w:val="24"/>
        </w:rPr>
        <w:t xml:space="preserve">The purpose of </w:t>
      </w:r>
      <w:r w:rsidR="00C02DA0" w:rsidRPr="00C02DA0">
        <w:rPr>
          <w:i/>
          <w:sz w:val="24"/>
        </w:rPr>
        <w:t xml:space="preserve">ASIC Corporations (Ongoing Fees Code) Instrument </w:t>
      </w:r>
      <w:r w:rsidR="00B27728">
        <w:rPr>
          <w:i/>
          <w:sz w:val="24"/>
        </w:rPr>
        <w:t>2016/1129</w:t>
      </w:r>
      <w:r w:rsidR="00C02DA0">
        <w:rPr>
          <w:sz w:val="24"/>
        </w:rPr>
        <w:t xml:space="preserve"> </w:t>
      </w:r>
      <w:r>
        <w:rPr>
          <w:sz w:val="24"/>
        </w:rPr>
        <w:t xml:space="preserve">is to provide </w:t>
      </w:r>
      <w:r w:rsidR="00D52A87">
        <w:rPr>
          <w:sz w:val="24"/>
        </w:rPr>
        <w:t xml:space="preserve">ASIC’s approval for the FPA Professional Ongoing Fees Code dated 28 September 2016 and issued by the FPA, as in force at the date of this instrument (Ongoing Fees Code). </w:t>
      </w:r>
    </w:p>
    <w:p w:rsidR="00D52A87" w:rsidRDefault="00D52A87" w:rsidP="005B0E3A">
      <w:pPr>
        <w:spacing w:before="71"/>
        <w:rPr>
          <w:sz w:val="24"/>
        </w:rPr>
      </w:pPr>
      <w:r>
        <w:rPr>
          <w:sz w:val="24"/>
        </w:rPr>
        <w:t xml:space="preserve">ASIC has assessed the Ongoing Fees Code and considers that it meets the requirements </w:t>
      </w:r>
      <w:r w:rsidR="00C43A76">
        <w:rPr>
          <w:sz w:val="24"/>
        </w:rPr>
        <w:t xml:space="preserve">of s1101A of the </w:t>
      </w:r>
      <w:r w:rsidR="00AE4339" w:rsidRPr="00AE4339">
        <w:rPr>
          <w:sz w:val="24"/>
        </w:rPr>
        <w:t>Corporations</w:t>
      </w:r>
      <w:r w:rsidR="00AE4339">
        <w:rPr>
          <w:sz w:val="24"/>
        </w:rPr>
        <w:t xml:space="preserve"> </w:t>
      </w:r>
      <w:r w:rsidR="00C43A76">
        <w:rPr>
          <w:sz w:val="24"/>
        </w:rPr>
        <w:t xml:space="preserve">Act, and ASIC guidance in Regulatory Guide 183 </w:t>
      </w:r>
      <w:r w:rsidR="00C43A76">
        <w:rPr>
          <w:i/>
          <w:sz w:val="24"/>
        </w:rPr>
        <w:t>Approval of financial services sector codes of conduct</w:t>
      </w:r>
      <w:r w:rsidR="00C43A76">
        <w:rPr>
          <w:sz w:val="24"/>
        </w:rPr>
        <w:t xml:space="preserve"> (RG 183). </w:t>
      </w:r>
    </w:p>
    <w:p w:rsidR="004A7186" w:rsidRPr="00C43A76" w:rsidRDefault="004A7186" w:rsidP="005B0E3A">
      <w:pPr>
        <w:spacing w:before="71"/>
        <w:rPr>
          <w:sz w:val="24"/>
        </w:rPr>
      </w:pPr>
      <w:r>
        <w:rPr>
          <w:sz w:val="24"/>
        </w:rPr>
        <w:t xml:space="preserve">ASIC has determined that the Ongoing Fees Code obviates the need for code members to comply with the opt-in requirement because it achieves substantially the same policy outcomes that s962K </w:t>
      </w:r>
      <w:r w:rsidR="00AE4339">
        <w:rPr>
          <w:sz w:val="24"/>
        </w:rPr>
        <w:t xml:space="preserve">of the </w:t>
      </w:r>
      <w:r w:rsidR="00AE4339" w:rsidRPr="00AE4339">
        <w:rPr>
          <w:sz w:val="24"/>
        </w:rPr>
        <w:t>Corporations</w:t>
      </w:r>
      <w:r w:rsidR="00AE4339">
        <w:rPr>
          <w:sz w:val="24"/>
        </w:rPr>
        <w:t xml:space="preserve"> Act </w:t>
      </w:r>
      <w:r>
        <w:rPr>
          <w:sz w:val="24"/>
        </w:rPr>
        <w:t xml:space="preserve">is intended to achieve – that is, to protect disengaged clients from paying ongoing financial advice fees where they are receiving little or no service. </w:t>
      </w:r>
    </w:p>
    <w:p w:rsidR="00D52A87" w:rsidRDefault="00D52A87" w:rsidP="005B0E3A">
      <w:pPr>
        <w:spacing w:before="71"/>
        <w:rPr>
          <w:sz w:val="24"/>
        </w:rPr>
      </w:pPr>
      <w:r>
        <w:rPr>
          <w:sz w:val="24"/>
        </w:rPr>
        <w:t xml:space="preserve">The effect of the instrument is that a person does not have to </w:t>
      </w:r>
      <w:r w:rsidR="00C43A76">
        <w:rPr>
          <w:sz w:val="24"/>
        </w:rPr>
        <w:t>comply with s9</w:t>
      </w:r>
      <w:r w:rsidR="00790BD6">
        <w:rPr>
          <w:sz w:val="24"/>
        </w:rPr>
        <w:t>62</w:t>
      </w:r>
      <w:r w:rsidR="00C43A76">
        <w:rPr>
          <w:sz w:val="24"/>
        </w:rPr>
        <w:t xml:space="preserve">K of the </w:t>
      </w:r>
      <w:r w:rsidR="00AE4339">
        <w:rPr>
          <w:sz w:val="24"/>
        </w:rPr>
        <w:t xml:space="preserve">Corporations </w:t>
      </w:r>
      <w:r w:rsidR="00C43A76">
        <w:rPr>
          <w:sz w:val="24"/>
        </w:rPr>
        <w:t>Act in relation to an ongoing fee arr</w:t>
      </w:r>
      <w:r w:rsidR="004A7186">
        <w:rPr>
          <w:sz w:val="24"/>
        </w:rPr>
        <w:t xml:space="preserve">angement covered by the Ongoing Fee Code. </w:t>
      </w:r>
    </w:p>
    <w:p w:rsidR="005B0E3A" w:rsidRPr="004D4DE1" w:rsidRDefault="004D4DE1" w:rsidP="005B0E3A">
      <w:pPr>
        <w:spacing w:before="71"/>
        <w:rPr>
          <w:sz w:val="24"/>
        </w:rPr>
      </w:pPr>
      <w:r>
        <w:rPr>
          <w:sz w:val="24"/>
        </w:rPr>
        <w:lastRenderedPageBreak/>
        <w:t>As ASIC</w:t>
      </w:r>
      <w:r w:rsidR="00D52A87">
        <w:rPr>
          <w:sz w:val="24"/>
        </w:rPr>
        <w:t xml:space="preserve"> </w:t>
      </w:r>
      <w:r w:rsidR="00790BD6">
        <w:rPr>
          <w:sz w:val="24"/>
        </w:rPr>
        <w:t xml:space="preserve">is </w:t>
      </w:r>
      <w:r w:rsidR="00D52A87">
        <w:rPr>
          <w:sz w:val="24"/>
        </w:rPr>
        <w:t xml:space="preserve">approving the Ongoing Fees Code under a legislative provision (s1101A of the </w:t>
      </w:r>
      <w:r w:rsidR="00AE4339" w:rsidRPr="00AE4339">
        <w:rPr>
          <w:sz w:val="24"/>
        </w:rPr>
        <w:t>Corporations</w:t>
      </w:r>
      <w:r w:rsidR="00AE4339">
        <w:rPr>
          <w:sz w:val="24"/>
        </w:rPr>
        <w:t xml:space="preserve"> </w:t>
      </w:r>
      <w:r w:rsidR="00D52A87">
        <w:rPr>
          <w:sz w:val="24"/>
        </w:rPr>
        <w:t xml:space="preserve">Act), and exempting persons from the operation of s962K of the </w:t>
      </w:r>
      <w:r w:rsidR="00AE4339" w:rsidRPr="00AE4339">
        <w:rPr>
          <w:sz w:val="24"/>
        </w:rPr>
        <w:t>Corporations</w:t>
      </w:r>
      <w:r w:rsidR="00AE4339">
        <w:rPr>
          <w:sz w:val="24"/>
        </w:rPr>
        <w:t xml:space="preserve"> </w:t>
      </w:r>
      <w:r w:rsidR="00D52A87">
        <w:rPr>
          <w:sz w:val="24"/>
        </w:rPr>
        <w:t xml:space="preserve">Act in exercise of its powers under the </w:t>
      </w:r>
      <w:r w:rsidR="00AE4339" w:rsidRPr="00AE4339">
        <w:rPr>
          <w:sz w:val="24"/>
        </w:rPr>
        <w:t>Corporations</w:t>
      </w:r>
      <w:r w:rsidR="00AE4339">
        <w:rPr>
          <w:sz w:val="24"/>
        </w:rPr>
        <w:t xml:space="preserve"> </w:t>
      </w:r>
      <w:r w:rsidR="00D52A87">
        <w:rPr>
          <w:sz w:val="24"/>
        </w:rPr>
        <w:t xml:space="preserve">Act, an instrument is necessary. </w:t>
      </w:r>
      <w:r>
        <w:rPr>
          <w:sz w:val="24"/>
        </w:rPr>
        <w:t xml:space="preserve"> </w:t>
      </w:r>
    </w:p>
    <w:p w:rsidR="005B0E3A" w:rsidRDefault="005B0E3A" w:rsidP="005B0E3A">
      <w:pPr>
        <w:spacing w:line="240" w:lineRule="exact"/>
        <w:rPr>
          <w:sz w:val="24"/>
          <w:szCs w:val="24"/>
        </w:rPr>
      </w:pPr>
      <w:bookmarkStart w:id="3" w:name="Insert_a_level_3_heading_"/>
      <w:bookmarkEnd w:id="3"/>
    </w:p>
    <w:p w:rsidR="005B0E3A" w:rsidRPr="0073325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733251">
        <w:rPr>
          <w:rFonts w:ascii="Arial" w:hAnsi="Arial" w:cs="Arial"/>
          <w:b/>
          <w:spacing w:val="-1"/>
          <w:sz w:val="24"/>
          <w:szCs w:val="24"/>
        </w:rPr>
        <w:t>Operation</w:t>
      </w:r>
      <w:r w:rsidRPr="00733251">
        <w:rPr>
          <w:rFonts w:ascii="Arial" w:hAnsi="Arial" w:cs="Arial"/>
          <w:b/>
          <w:sz w:val="24"/>
          <w:szCs w:val="24"/>
        </w:rPr>
        <w:t xml:space="preserve"> </w:t>
      </w:r>
      <w:r w:rsidRPr="00733251">
        <w:rPr>
          <w:rFonts w:ascii="Arial" w:hAnsi="Arial" w:cs="Arial"/>
          <w:b/>
          <w:spacing w:val="-1"/>
          <w:sz w:val="24"/>
          <w:szCs w:val="24"/>
        </w:rPr>
        <w:t>of</w:t>
      </w:r>
      <w:r w:rsidRPr="00733251">
        <w:rPr>
          <w:rFonts w:ascii="Arial" w:hAnsi="Arial" w:cs="Arial"/>
          <w:b/>
          <w:sz w:val="24"/>
          <w:szCs w:val="24"/>
        </w:rPr>
        <w:t xml:space="preserve"> </w:t>
      </w:r>
      <w:r w:rsidRPr="00733251">
        <w:rPr>
          <w:rFonts w:ascii="Arial" w:hAnsi="Arial" w:cs="Arial"/>
          <w:b/>
          <w:spacing w:val="-1"/>
          <w:sz w:val="24"/>
          <w:szCs w:val="24"/>
        </w:rPr>
        <w:t>the</w:t>
      </w:r>
      <w:r w:rsidRPr="00733251">
        <w:rPr>
          <w:rFonts w:ascii="Arial" w:hAnsi="Arial" w:cs="Arial"/>
          <w:b/>
          <w:sz w:val="24"/>
          <w:szCs w:val="24"/>
        </w:rPr>
        <w:t xml:space="preserve"> instrument</w:t>
      </w:r>
    </w:p>
    <w:p w:rsidR="005B0E3A" w:rsidRDefault="005B0E3A" w:rsidP="005B0E3A">
      <w:pPr>
        <w:spacing w:before="4" w:line="220" w:lineRule="exact"/>
      </w:pPr>
    </w:p>
    <w:p w:rsidR="0046793A" w:rsidRPr="00AA1471" w:rsidRDefault="0046793A" w:rsidP="005B0E3A">
      <w:pPr>
        <w:pStyle w:val="BodyText"/>
        <w:spacing w:before="199"/>
      </w:pPr>
      <w:r>
        <w:t xml:space="preserve">Paragraph 2 of the </w:t>
      </w:r>
      <w:r w:rsidRPr="00C02DA0">
        <w:rPr>
          <w:i/>
        </w:rPr>
        <w:t>ASIC Corporations (Ongoi</w:t>
      </w:r>
      <w:r>
        <w:rPr>
          <w:i/>
        </w:rPr>
        <w:t>ng Fees Code) Instrument 2016/1129</w:t>
      </w:r>
      <w:r w:rsidR="00AA1471">
        <w:rPr>
          <w:i/>
        </w:rPr>
        <w:t xml:space="preserve"> </w:t>
      </w:r>
      <w:r w:rsidR="00AA1471">
        <w:t>provides that the instrument commences on 1 July 2017. T</w:t>
      </w:r>
      <w:r w:rsidR="00AA1471" w:rsidRPr="00AA1471">
        <w:t xml:space="preserve">his date has </w:t>
      </w:r>
      <w:r w:rsidR="00AA1471">
        <w:t>been set to accommodate the FPA’</w:t>
      </w:r>
      <w:r w:rsidR="00AA1471" w:rsidRPr="00AA1471">
        <w:t xml:space="preserve">s plans for an orderly sign up </w:t>
      </w:r>
      <w:r w:rsidR="00AA1471">
        <w:t xml:space="preserve">to the Ongoing Fees Code </w:t>
      </w:r>
      <w:r w:rsidR="00AA1471" w:rsidRPr="00AA1471">
        <w:t>as part of their broader membership renewal</w:t>
      </w:r>
      <w:r w:rsidR="00AA1471">
        <w:t xml:space="preserve"> process. </w:t>
      </w:r>
    </w:p>
    <w:p w:rsidR="005B0E3A" w:rsidRDefault="00AB15A6" w:rsidP="005B0E3A">
      <w:pPr>
        <w:pStyle w:val="BodyText"/>
        <w:spacing w:before="199"/>
      </w:pPr>
      <w:r>
        <w:t xml:space="preserve">Paragraph 5 of the </w:t>
      </w:r>
      <w:r w:rsidRPr="00C02DA0">
        <w:rPr>
          <w:i/>
        </w:rPr>
        <w:t>ASIC Corporations (Ongoi</w:t>
      </w:r>
      <w:r w:rsidR="00B27728">
        <w:rPr>
          <w:i/>
        </w:rPr>
        <w:t>ng Fees Code) Instrument 2016/1129</w:t>
      </w:r>
      <w:r>
        <w:rPr>
          <w:i/>
        </w:rPr>
        <w:t xml:space="preserve"> </w:t>
      </w:r>
      <w:r w:rsidR="00044ED4">
        <w:t xml:space="preserve">approves the Ongoing Fees Code for the purpose of s1101A of the Corporations Act and s962CA(2) of the </w:t>
      </w:r>
      <w:r w:rsidR="00044ED4" w:rsidRPr="00AE4339">
        <w:t>Corporations</w:t>
      </w:r>
      <w:r w:rsidR="00044ED4">
        <w:t xml:space="preserve"> Act.</w:t>
      </w:r>
    </w:p>
    <w:p w:rsidR="00044ED4" w:rsidRDefault="00044ED4" w:rsidP="005B0E3A">
      <w:pPr>
        <w:pStyle w:val="BodyText"/>
        <w:spacing w:before="199"/>
      </w:pPr>
      <w:r>
        <w:t xml:space="preserve">Paragraph 6(1) of the </w:t>
      </w:r>
      <w:r w:rsidRPr="00C02DA0">
        <w:rPr>
          <w:i/>
        </w:rPr>
        <w:t>ASIC Corporations (Ongoi</w:t>
      </w:r>
      <w:r w:rsidR="00B27728">
        <w:rPr>
          <w:i/>
        </w:rPr>
        <w:t>ng Fees Code) Instrument 2016/1129</w:t>
      </w:r>
      <w:r>
        <w:rPr>
          <w:i/>
        </w:rPr>
        <w:t xml:space="preserve"> </w:t>
      </w:r>
      <w:r w:rsidR="00880E98">
        <w:t xml:space="preserve">exempts a person </w:t>
      </w:r>
      <w:r w:rsidR="00880E98" w:rsidRPr="00682CA3">
        <w:t>who receives fees under an ongoing fee a</w:t>
      </w:r>
      <w:r w:rsidR="00880E98">
        <w:t>rrangement from giving</w:t>
      </w:r>
      <w:r w:rsidR="00880E98" w:rsidRPr="00682CA3">
        <w:t xml:space="preserve"> the client </w:t>
      </w:r>
      <w:r w:rsidR="00880E98">
        <w:t>a written renewal notice every two</w:t>
      </w:r>
      <w:r w:rsidR="00880E98" w:rsidRPr="00682CA3">
        <w:t xml:space="preserve"> years which requires the client to opt-in to renew that agreement.</w:t>
      </w:r>
      <w:r w:rsidR="00AB2F83">
        <w:t xml:space="preserve"> </w:t>
      </w:r>
    </w:p>
    <w:p w:rsidR="004627BC" w:rsidRDefault="004627BC" w:rsidP="005B0E3A">
      <w:pPr>
        <w:pStyle w:val="BodyText"/>
        <w:spacing w:before="199"/>
      </w:pPr>
      <w:r>
        <w:t xml:space="preserve">The exemption in paragraph 6(1) </w:t>
      </w:r>
      <w:r w:rsidR="00AB2F83">
        <w:t xml:space="preserve">of the </w:t>
      </w:r>
      <w:r w:rsidR="00AB2F83" w:rsidRPr="00C02DA0">
        <w:rPr>
          <w:i/>
        </w:rPr>
        <w:t>ASIC Corporations (Ongoi</w:t>
      </w:r>
      <w:r w:rsidR="00B27728">
        <w:rPr>
          <w:i/>
        </w:rPr>
        <w:t>ng Fees Code) Instrument 2016/1129</w:t>
      </w:r>
      <w:r w:rsidR="00AB2F83">
        <w:rPr>
          <w:i/>
        </w:rPr>
        <w:t xml:space="preserve"> </w:t>
      </w:r>
      <w:r>
        <w:t xml:space="preserve">is only available where the person is a member of the FPA in either the CFP® Professional or Financial Planner AFP® category and is party to the FPA Ongoing Fees Code Participating Member Registration Agreement with the FPA in the form given by the FPA to ASIC on 30 September 2016. </w:t>
      </w:r>
    </w:p>
    <w:p w:rsidR="00AB2F83" w:rsidRPr="00AB2F83" w:rsidRDefault="00AB2F83" w:rsidP="005B0E3A">
      <w:pPr>
        <w:pStyle w:val="BodyText"/>
        <w:spacing w:before="199"/>
      </w:pPr>
      <w:r>
        <w:t xml:space="preserve">Note 1 makes it clear that a person who relies on the exemption in paragraph 6(1) of the </w:t>
      </w:r>
      <w:r w:rsidRPr="00C02DA0">
        <w:rPr>
          <w:i/>
        </w:rPr>
        <w:t>ASIC Corporations (Ongoi</w:t>
      </w:r>
      <w:r w:rsidR="00B27728">
        <w:rPr>
          <w:i/>
        </w:rPr>
        <w:t>ng Fees Code) Instrument 2016/1129</w:t>
      </w:r>
      <w:r>
        <w:rPr>
          <w:i/>
        </w:rPr>
        <w:t xml:space="preserve"> </w:t>
      </w:r>
      <w:r>
        <w:t xml:space="preserve">must still give a fee disclosure statement every year in accordance with s962G of the Corporations Act. </w:t>
      </w:r>
    </w:p>
    <w:p w:rsidR="005B0E3A" w:rsidRDefault="005B0E3A" w:rsidP="005B0E3A">
      <w:pPr>
        <w:spacing w:line="240" w:lineRule="exact"/>
        <w:rPr>
          <w:sz w:val="24"/>
          <w:szCs w:val="24"/>
        </w:rPr>
      </w:pPr>
    </w:p>
    <w:p w:rsidR="005B0E3A" w:rsidRPr="0073325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End w:id="5"/>
      <w:r w:rsidRPr="00733251">
        <w:rPr>
          <w:rFonts w:ascii="Arial" w:hAnsi="Arial" w:cs="Arial"/>
          <w:b/>
          <w:spacing w:val="-1"/>
          <w:sz w:val="24"/>
          <w:szCs w:val="24"/>
        </w:rPr>
        <w:t>Documents</w:t>
      </w:r>
      <w:r w:rsidRPr="00733251">
        <w:rPr>
          <w:rFonts w:ascii="Arial" w:hAnsi="Arial" w:cs="Arial"/>
          <w:b/>
          <w:sz w:val="24"/>
          <w:szCs w:val="24"/>
        </w:rPr>
        <w:t xml:space="preserve"> </w:t>
      </w:r>
      <w:r w:rsidRPr="00733251">
        <w:rPr>
          <w:rFonts w:ascii="Arial" w:hAnsi="Arial" w:cs="Arial"/>
          <w:b/>
          <w:spacing w:val="-1"/>
          <w:sz w:val="24"/>
          <w:szCs w:val="24"/>
        </w:rPr>
        <w:t>incorporated</w:t>
      </w:r>
      <w:r w:rsidRPr="00733251">
        <w:rPr>
          <w:rFonts w:ascii="Arial" w:hAnsi="Arial" w:cs="Arial"/>
          <w:b/>
          <w:sz w:val="24"/>
          <w:szCs w:val="24"/>
        </w:rPr>
        <w:t xml:space="preserve"> by</w:t>
      </w:r>
      <w:r w:rsidRPr="00733251">
        <w:rPr>
          <w:rFonts w:ascii="Arial" w:hAnsi="Arial" w:cs="Arial"/>
          <w:b/>
          <w:spacing w:val="-3"/>
          <w:sz w:val="24"/>
          <w:szCs w:val="24"/>
        </w:rPr>
        <w:t xml:space="preserve"> </w:t>
      </w:r>
      <w:r w:rsidRPr="00733251">
        <w:rPr>
          <w:rFonts w:ascii="Arial" w:hAnsi="Arial" w:cs="Arial"/>
          <w:b/>
          <w:spacing w:val="-1"/>
          <w:sz w:val="24"/>
          <w:szCs w:val="24"/>
        </w:rPr>
        <w:t>reference</w:t>
      </w:r>
    </w:p>
    <w:p w:rsidR="005B0E3A" w:rsidRDefault="005B0E3A" w:rsidP="005B0E3A">
      <w:pPr>
        <w:spacing w:before="4" w:line="220" w:lineRule="exact"/>
      </w:pPr>
    </w:p>
    <w:p w:rsidR="00C02DA0" w:rsidRDefault="00C02DA0" w:rsidP="005B0E3A">
      <w:pPr>
        <w:spacing w:line="240" w:lineRule="exact"/>
        <w:rPr>
          <w:sz w:val="24"/>
          <w:szCs w:val="24"/>
        </w:rPr>
      </w:pPr>
      <w:r>
        <w:rPr>
          <w:sz w:val="24"/>
          <w:szCs w:val="24"/>
        </w:rPr>
        <w:t xml:space="preserve">The </w:t>
      </w:r>
      <w:r w:rsidRPr="00C02DA0">
        <w:rPr>
          <w:i/>
          <w:sz w:val="24"/>
          <w:szCs w:val="24"/>
        </w:rPr>
        <w:t>ASIC Corporations (Ongoi</w:t>
      </w:r>
      <w:r w:rsidR="00B27728">
        <w:rPr>
          <w:i/>
          <w:sz w:val="24"/>
          <w:szCs w:val="24"/>
        </w:rPr>
        <w:t>ng Fees Code) Instrument 2016/1129</w:t>
      </w:r>
      <w:r>
        <w:rPr>
          <w:i/>
          <w:sz w:val="24"/>
          <w:szCs w:val="24"/>
        </w:rPr>
        <w:t xml:space="preserve"> </w:t>
      </w:r>
      <w:r>
        <w:rPr>
          <w:sz w:val="24"/>
          <w:szCs w:val="24"/>
        </w:rPr>
        <w:t>incorporates by reference:</w:t>
      </w:r>
    </w:p>
    <w:p w:rsidR="005B0E3A" w:rsidRDefault="00C02DA0" w:rsidP="00C02DA0">
      <w:pPr>
        <w:pStyle w:val="RPG-BodyTextNumbered"/>
        <w:numPr>
          <w:ilvl w:val="0"/>
          <w:numId w:val="21"/>
        </w:numPr>
        <w:rPr>
          <w:sz w:val="24"/>
        </w:rPr>
      </w:pPr>
      <w:r w:rsidRPr="00C02DA0">
        <w:rPr>
          <w:sz w:val="24"/>
        </w:rPr>
        <w:t xml:space="preserve">the Ongoing Fees Code; and </w:t>
      </w:r>
    </w:p>
    <w:p w:rsidR="00C02DA0" w:rsidRDefault="00C02DA0" w:rsidP="00C02DA0">
      <w:pPr>
        <w:pStyle w:val="RPG-BodyTextNumbered"/>
        <w:numPr>
          <w:ilvl w:val="0"/>
          <w:numId w:val="21"/>
        </w:numPr>
        <w:rPr>
          <w:sz w:val="24"/>
        </w:rPr>
      </w:pPr>
      <w:r>
        <w:rPr>
          <w:sz w:val="24"/>
        </w:rPr>
        <w:t xml:space="preserve">the FPA Professional Ongoing </w:t>
      </w:r>
      <w:r w:rsidR="00AE4339">
        <w:rPr>
          <w:sz w:val="24"/>
        </w:rPr>
        <w:t>Fees Code Participating</w:t>
      </w:r>
      <w:r>
        <w:rPr>
          <w:sz w:val="24"/>
        </w:rPr>
        <w:t xml:space="preserve"> Member Registration Agreement with the FPA in the form given by the FPA to ASIC on 30 September 2016. </w:t>
      </w:r>
    </w:p>
    <w:p w:rsidR="00C02DA0" w:rsidRPr="00C02DA0" w:rsidRDefault="00C02DA0" w:rsidP="00C02DA0">
      <w:pPr>
        <w:pStyle w:val="RPG-BodyTextNumbered"/>
        <w:numPr>
          <w:ilvl w:val="0"/>
          <w:numId w:val="0"/>
        </w:numPr>
        <w:rPr>
          <w:sz w:val="24"/>
        </w:rPr>
      </w:pPr>
      <w:r>
        <w:rPr>
          <w:sz w:val="24"/>
        </w:rPr>
        <w:t xml:space="preserve">These documents are available at </w:t>
      </w:r>
      <w:hyperlink r:id="rId13" w:history="1">
        <w:r w:rsidR="00FF65EA" w:rsidRPr="00C27EA4">
          <w:rPr>
            <w:rStyle w:val="Hyperlink"/>
            <w:sz w:val="24"/>
          </w:rPr>
          <w:t>http://fpa.com.au</w:t>
        </w:r>
      </w:hyperlink>
      <w:r w:rsidR="00FF65EA">
        <w:rPr>
          <w:sz w:val="24"/>
        </w:rPr>
        <w:t xml:space="preserve"> </w:t>
      </w:r>
    </w:p>
    <w:p w:rsidR="00C02DA0" w:rsidRPr="00C02DA0" w:rsidRDefault="00C02DA0" w:rsidP="00C02DA0">
      <w:pPr>
        <w:pStyle w:val="ListParagraph"/>
        <w:spacing w:line="240" w:lineRule="exact"/>
        <w:ind w:left="785"/>
        <w:rPr>
          <w:sz w:val="24"/>
          <w:szCs w:val="24"/>
        </w:rPr>
      </w:pPr>
    </w:p>
    <w:p w:rsidR="005B0E3A" w:rsidRPr="0073325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6" w:name="5._Consultation"/>
      <w:bookmarkEnd w:id="6"/>
      <w:r w:rsidRPr="00733251">
        <w:rPr>
          <w:rFonts w:ascii="Arial" w:hAnsi="Arial" w:cs="Arial"/>
          <w:b/>
          <w:sz w:val="24"/>
          <w:szCs w:val="24"/>
        </w:rPr>
        <w:t>Consultation</w:t>
      </w:r>
    </w:p>
    <w:p w:rsidR="005B0E3A" w:rsidRDefault="005B0E3A" w:rsidP="005B0E3A">
      <w:pPr>
        <w:spacing w:before="4" w:line="220" w:lineRule="exact"/>
      </w:pPr>
    </w:p>
    <w:p w:rsidR="005B0E3A" w:rsidRDefault="001E116D" w:rsidP="005B0E3A">
      <w:pPr>
        <w:pStyle w:val="Bodytextplain"/>
        <w:ind w:left="0"/>
        <w:rPr>
          <w:sz w:val="24"/>
        </w:rPr>
      </w:pPr>
      <w:r>
        <w:rPr>
          <w:sz w:val="24"/>
        </w:rPr>
        <w:lastRenderedPageBreak/>
        <w:t xml:space="preserve">ASIC released </w:t>
      </w:r>
      <w:r w:rsidRPr="001E116D">
        <w:rPr>
          <w:sz w:val="24"/>
        </w:rPr>
        <w:t xml:space="preserve">Consultation Paper 191 </w:t>
      </w:r>
      <w:r w:rsidRPr="001E116D">
        <w:rPr>
          <w:i/>
          <w:sz w:val="24"/>
        </w:rPr>
        <w:t>Future of Financial Advice: Approval of codes of conduct for exemption from opt-in requirement</w:t>
      </w:r>
      <w:r w:rsidRPr="001E116D">
        <w:rPr>
          <w:sz w:val="24"/>
        </w:rPr>
        <w:t xml:space="preserve"> (CP 191)</w:t>
      </w:r>
      <w:r>
        <w:rPr>
          <w:sz w:val="24"/>
        </w:rPr>
        <w:t xml:space="preserve"> on 23 October 2012 which consulted publicly on our</w:t>
      </w:r>
      <w:r w:rsidRPr="001E116D">
        <w:rPr>
          <w:sz w:val="24"/>
        </w:rPr>
        <w:t xml:space="preserve"> approach to code approva</w:t>
      </w:r>
      <w:r>
        <w:rPr>
          <w:sz w:val="24"/>
        </w:rPr>
        <w:t xml:space="preserve">l and relief powers under the FOFA reforms and how RG 183 should be modified to address these issues. </w:t>
      </w:r>
    </w:p>
    <w:p w:rsidR="00540C5D" w:rsidRDefault="001E116D" w:rsidP="005B0E3A">
      <w:pPr>
        <w:pStyle w:val="Bodytextplain"/>
        <w:ind w:left="0"/>
        <w:rPr>
          <w:sz w:val="24"/>
        </w:rPr>
      </w:pPr>
      <w:r w:rsidRPr="001E116D">
        <w:rPr>
          <w:sz w:val="24"/>
        </w:rPr>
        <w:t>We received 12 responses to CP 191 from licensees, industry associations, a law firm and a joint consumer submission.</w:t>
      </w:r>
      <w:r>
        <w:rPr>
          <w:sz w:val="24"/>
        </w:rPr>
        <w:t xml:space="preserve"> The feedback from these submissions is set out in ASIC Report 329 </w:t>
      </w:r>
      <w:r w:rsidRPr="001E116D">
        <w:rPr>
          <w:i/>
          <w:sz w:val="24"/>
        </w:rPr>
        <w:t>Response to submissions on CP 191 FOFA: Approval of codes of conduct for exemption from opt-in requirement</w:t>
      </w:r>
      <w:r>
        <w:rPr>
          <w:i/>
          <w:sz w:val="24"/>
        </w:rPr>
        <w:t xml:space="preserve"> </w:t>
      </w:r>
      <w:r>
        <w:rPr>
          <w:sz w:val="24"/>
        </w:rPr>
        <w:t>(REP 329)</w:t>
      </w:r>
      <w:r w:rsidR="00540C5D">
        <w:rPr>
          <w:sz w:val="24"/>
        </w:rPr>
        <w:t xml:space="preserve">. </w:t>
      </w:r>
    </w:p>
    <w:p w:rsidR="001E116D" w:rsidRPr="00540C5D" w:rsidRDefault="00540C5D" w:rsidP="005B0E3A">
      <w:pPr>
        <w:pStyle w:val="Bodytextplain"/>
        <w:ind w:left="0"/>
        <w:rPr>
          <w:sz w:val="24"/>
        </w:rPr>
      </w:pPr>
      <w:r>
        <w:rPr>
          <w:sz w:val="24"/>
        </w:rPr>
        <w:t xml:space="preserve">We have consulted with the FPA on the terms of </w:t>
      </w:r>
      <w:r w:rsidRPr="00540C5D">
        <w:rPr>
          <w:i/>
          <w:sz w:val="24"/>
        </w:rPr>
        <w:t>ASIC Corporations (Ongoing Fees Code) I</w:t>
      </w:r>
      <w:r w:rsidR="00B27728">
        <w:rPr>
          <w:i/>
          <w:sz w:val="24"/>
        </w:rPr>
        <w:t>nstrument 2016/1129</w:t>
      </w:r>
      <w:r>
        <w:rPr>
          <w:sz w:val="24"/>
        </w:rPr>
        <w:t xml:space="preserve"> as this instrument directly concerns them and their members. </w:t>
      </w:r>
    </w:p>
    <w:p w:rsidR="001E116D" w:rsidRPr="00C02DA0" w:rsidRDefault="001E116D" w:rsidP="005B0E3A">
      <w:pPr>
        <w:pStyle w:val="Bodytextplain"/>
        <w:ind w:left="0"/>
        <w:rPr>
          <w:sz w:val="24"/>
        </w:rPr>
      </w:pPr>
    </w:p>
    <w:p w:rsidR="00C02DA0" w:rsidRDefault="00C02DA0" w:rsidP="005B0E3A">
      <w:pPr>
        <w:pStyle w:val="Bodytextplain"/>
        <w:ind w:left="0"/>
      </w:pPr>
    </w:p>
    <w:p w:rsidR="005B0E3A" w:rsidRDefault="005B0E3A" w:rsidP="005B0E3A">
      <w:pPr>
        <w:pStyle w:val="Bodytextplain"/>
        <w:sectPr w:rsidR="005B0E3A" w:rsidSect="00651E40">
          <w:headerReference w:type="even" r:id="rId14"/>
          <w:headerReference w:type="default" r:id="rId15"/>
          <w:footerReference w:type="even" r:id="rId16"/>
          <w:footerReference w:type="default" r:id="rId17"/>
          <w:headerReference w:type="first" r:id="rId18"/>
          <w:footerReference w:type="first" r:id="rId19"/>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14:anchorId="791200DF" wp14:editId="42B87076">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4D4DE1" w:rsidRPr="00834797" w:rsidRDefault="004D4DE1" w:rsidP="000076D6">
                            <w:pPr>
                              <w:spacing w:before="360" w:after="120"/>
                              <w:jc w:val="center"/>
                              <w:rPr>
                                <w:b/>
                              </w:rPr>
                            </w:pPr>
                            <w:r w:rsidRPr="00834797">
                              <w:rPr>
                                <w:b/>
                              </w:rPr>
                              <w:t>Statement of Compatibility with Human Rights</w:t>
                            </w:r>
                          </w:p>
                          <w:p w:rsidR="004D4DE1" w:rsidRPr="00247F54" w:rsidRDefault="004D4DE1" w:rsidP="000076D6">
                            <w:pPr>
                              <w:spacing w:before="120" w:after="120"/>
                              <w:jc w:val="center"/>
                            </w:pPr>
                            <w:r w:rsidRPr="00247F54">
                              <w:rPr>
                                <w:i/>
                              </w:rPr>
                              <w:t>Prepared in accordance with Part 3 of the Human Rights (Parliamentary Scrutiny) Act 2011</w:t>
                            </w:r>
                          </w:p>
                          <w:p w:rsidR="004D4DE1" w:rsidRPr="00247F54" w:rsidRDefault="004D4DE1" w:rsidP="000076D6">
                            <w:pPr>
                              <w:spacing w:before="120" w:after="120"/>
                              <w:jc w:val="center"/>
                            </w:pPr>
                          </w:p>
                          <w:p w:rsidR="004D4DE1" w:rsidRPr="00247F54" w:rsidRDefault="004D4DE1" w:rsidP="000076D6">
                            <w:pPr>
                              <w:spacing w:before="120" w:after="120"/>
                              <w:jc w:val="center"/>
                              <w:rPr>
                                <w:b/>
                              </w:rPr>
                            </w:pPr>
                            <w:r>
                              <w:rPr>
                                <w:b/>
                              </w:rPr>
                              <w:t>ASIC Corporations (Ongoi</w:t>
                            </w:r>
                            <w:r w:rsidR="00E45FAF">
                              <w:rPr>
                                <w:b/>
                              </w:rPr>
                              <w:t>ng Fees Code) Instrument 2016/1129</w:t>
                            </w:r>
                          </w:p>
                          <w:p w:rsidR="004D4DE1" w:rsidRPr="00247F54" w:rsidRDefault="004D4DE1" w:rsidP="000076D6">
                            <w:pPr>
                              <w:spacing w:before="120" w:after="120"/>
                              <w:jc w:val="center"/>
                            </w:pPr>
                          </w:p>
                          <w:p w:rsidR="004D4DE1" w:rsidRPr="00247F54" w:rsidRDefault="004D4DE1" w:rsidP="000076D6">
                            <w:pPr>
                              <w:spacing w:before="120" w:after="120"/>
                              <w:jc w:val="center"/>
                            </w:pPr>
                            <w:r>
                              <w:t>ASIC Corporations (Ongoi</w:t>
                            </w:r>
                            <w:r w:rsidR="00E45FAF">
                              <w:t>ng Fees Code) Instrument 2016/1129</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4D4DE1" w:rsidRPr="00247F54" w:rsidRDefault="004D4DE1" w:rsidP="000076D6">
                            <w:pPr>
                              <w:spacing w:before="120" w:after="120"/>
                              <w:jc w:val="center"/>
                            </w:pPr>
                          </w:p>
                          <w:p w:rsidR="004D4DE1" w:rsidRPr="00247F54" w:rsidRDefault="004D4DE1" w:rsidP="000076D6">
                            <w:pPr>
                              <w:spacing w:before="120" w:after="120"/>
                              <w:jc w:val="center"/>
                            </w:pPr>
                          </w:p>
                          <w:p w:rsidR="004D4DE1" w:rsidRPr="00247F54" w:rsidRDefault="004D4DE1" w:rsidP="000076D6">
                            <w:pPr>
                              <w:spacing w:before="120" w:after="120"/>
                              <w:jc w:val="both"/>
                              <w:rPr>
                                <w:b/>
                              </w:rPr>
                            </w:pPr>
                            <w:r w:rsidRPr="00247F54">
                              <w:rPr>
                                <w:b/>
                              </w:rPr>
                              <w:t>Overview</w:t>
                            </w:r>
                          </w:p>
                          <w:p w:rsidR="004D4DE1" w:rsidRPr="00F640B8" w:rsidRDefault="002E0458" w:rsidP="000076D6">
                            <w:pPr>
                              <w:spacing w:before="120" w:after="120"/>
                            </w:pPr>
                            <w:r>
                              <w:t>ASIC Corporations (Ongoi</w:t>
                            </w:r>
                            <w:r w:rsidR="00E45FAF">
                              <w:t>ng Fees Code) Instrument 2016/1129</w:t>
                            </w:r>
                            <w:r>
                              <w:t xml:space="preserve"> approves the FPA Professional Ongoing Fees Code dated 28 September 2016 and issued by the FPA, as in force at the date of this instrument.  This legislative instrument exempts a person </w:t>
                            </w:r>
                            <w:r w:rsidRPr="002E0458">
                              <w:t>who receives fees under an ongoing fee arrangement from giving the client a written renewal notice every two years which requires the client to</w:t>
                            </w:r>
                            <w:r>
                              <w:t xml:space="preserve"> opt-in to renew that agreement, on the conditions set out in the instrument. </w:t>
                            </w:r>
                          </w:p>
                          <w:p w:rsidR="004D4DE1" w:rsidRPr="00883DB6" w:rsidRDefault="004D4DE1" w:rsidP="000076D6">
                            <w:pPr>
                              <w:spacing w:before="120" w:after="120"/>
                            </w:pPr>
                          </w:p>
                          <w:p w:rsidR="004D4DE1" w:rsidRPr="00247F54" w:rsidRDefault="004D4DE1" w:rsidP="000076D6">
                            <w:pPr>
                              <w:spacing w:before="120" w:after="120"/>
                              <w:rPr>
                                <w:b/>
                              </w:rPr>
                            </w:pPr>
                            <w:r w:rsidRPr="00247F54">
                              <w:rPr>
                                <w:b/>
                              </w:rPr>
                              <w:t>Human rights implications</w:t>
                            </w:r>
                          </w:p>
                          <w:p w:rsidR="004D4DE1" w:rsidRPr="00247F54" w:rsidRDefault="004D4DE1"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4D4DE1" w:rsidRPr="00247F54" w:rsidRDefault="004D4DE1" w:rsidP="000076D6">
                            <w:pPr>
                              <w:spacing w:before="120" w:after="120"/>
                            </w:pPr>
                          </w:p>
                          <w:p w:rsidR="004D4DE1" w:rsidRPr="00247F54" w:rsidRDefault="004D4DE1" w:rsidP="000076D6">
                            <w:pPr>
                              <w:spacing w:before="120" w:after="120"/>
                              <w:rPr>
                                <w:b/>
                              </w:rPr>
                            </w:pPr>
                            <w:r w:rsidRPr="00247F54">
                              <w:rPr>
                                <w:b/>
                              </w:rPr>
                              <w:t>Conclusion</w:t>
                            </w:r>
                          </w:p>
                          <w:p w:rsidR="004D4DE1" w:rsidRPr="00247F54" w:rsidRDefault="004D4DE1"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4D4DE1" w:rsidRPr="00E4135E" w:rsidRDefault="004D4DE1" w:rsidP="000076D6">
                            <w:pPr>
                              <w:spacing w:before="120" w:after="120"/>
                              <w:jc w:val="center"/>
                            </w:pPr>
                          </w:p>
                          <w:p w:rsidR="004D4DE1" w:rsidRPr="00E4135E" w:rsidRDefault="00790BD6"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4D4DE1" w:rsidRPr="00834797" w:rsidRDefault="004D4DE1" w:rsidP="000076D6">
                      <w:pPr>
                        <w:spacing w:before="360" w:after="120"/>
                        <w:jc w:val="center"/>
                        <w:rPr>
                          <w:b/>
                        </w:rPr>
                      </w:pPr>
                      <w:r w:rsidRPr="00834797">
                        <w:rPr>
                          <w:b/>
                        </w:rPr>
                        <w:t>Statement of Compatibility with Human Rights</w:t>
                      </w:r>
                    </w:p>
                    <w:p w:rsidR="004D4DE1" w:rsidRPr="00247F54" w:rsidRDefault="004D4DE1" w:rsidP="000076D6">
                      <w:pPr>
                        <w:spacing w:before="120" w:after="120"/>
                        <w:jc w:val="center"/>
                      </w:pPr>
                      <w:r w:rsidRPr="00247F54">
                        <w:rPr>
                          <w:i/>
                        </w:rPr>
                        <w:t>Prepared in accordance with Part 3 of the Human Rights (Parliamentary Scrutiny) Act 2011</w:t>
                      </w:r>
                    </w:p>
                    <w:p w:rsidR="004D4DE1" w:rsidRPr="00247F54" w:rsidRDefault="004D4DE1" w:rsidP="000076D6">
                      <w:pPr>
                        <w:spacing w:before="120" w:after="120"/>
                        <w:jc w:val="center"/>
                      </w:pPr>
                    </w:p>
                    <w:p w:rsidR="004D4DE1" w:rsidRPr="00247F54" w:rsidRDefault="004D4DE1" w:rsidP="000076D6">
                      <w:pPr>
                        <w:spacing w:before="120" w:after="120"/>
                        <w:jc w:val="center"/>
                        <w:rPr>
                          <w:b/>
                        </w:rPr>
                      </w:pPr>
                      <w:r>
                        <w:rPr>
                          <w:b/>
                        </w:rPr>
                        <w:t>ASIC Corporations (Ongoi</w:t>
                      </w:r>
                      <w:r w:rsidR="00E45FAF">
                        <w:rPr>
                          <w:b/>
                        </w:rPr>
                        <w:t>ng Fees Code) Instrument 2016/1129</w:t>
                      </w:r>
                    </w:p>
                    <w:p w:rsidR="004D4DE1" w:rsidRPr="00247F54" w:rsidRDefault="004D4DE1" w:rsidP="000076D6">
                      <w:pPr>
                        <w:spacing w:before="120" w:after="120"/>
                        <w:jc w:val="center"/>
                      </w:pPr>
                    </w:p>
                    <w:p w:rsidR="004D4DE1" w:rsidRPr="00247F54" w:rsidRDefault="004D4DE1" w:rsidP="000076D6">
                      <w:pPr>
                        <w:spacing w:before="120" w:after="120"/>
                        <w:jc w:val="center"/>
                      </w:pPr>
                      <w:r>
                        <w:t>ASIC Corporations (Ongoi</w:t>
                      </w:r>
                      <w:r w:rsidR="00E45FAF">
                        <w:t>ng Fees Code) Instrument 2016/1129</w:t>
                      </w:r>
                      <w: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4D4DE1" w:rsidRPr="00247F54" w:rsidRDefault="004D4DE1" w:rsidP="000076D6">
                      <w:pPr>
                        <w:spacing w:before="120" w:after="120"/>
                        <w:jc w:val="center"/>
                      </w:pPr>
                    </w:p>
                    <w:p w:rsidR="004D4DE1" w:rsidRPr="00247F54" w:rsidRDefault="004D4DE1" w:rsidP="000076D6">
                      <w:pPr>
                        <w:spacing w:before="120" w:after="120"/>
                        <w:jc w:val="center"/>
                      </w:pPr>
                    </w:p>
                    <w:p w:rsidR="004D4DE1" w:rsidRPr="00247F54" w:rsidRDefault="004D4DE1" w:rsidP="000076D6">
                      <w:pPr>
                        <w:spacing w:before="120" w:after="120"/>
                        <w:jc w:val="both"/>
                        <w:rPr>
                          <w:b/>
                        </w:rPr>
                      </w:pPr>
                      <w:r w:rsidRPr="00247F54">
                        <w:rPr>
                          <w:b/>
                        </w:rPr>
                        <w:t>Overview</w:t>
                      </w:r>
                    </w:p>
                    <w:p w:rsidR="004D4DE1" w:rsidRPr="00F640B8" w:rsidRDefault="002E0458" w:rsidP="000076D6">
                      <w:pPr>
                        <w:spacing w:before="120" w:after="120"/>
                      </w:pPr>
                      <w:r>
                        <w:t>ASIC Corporations (Ongoi</w:t>
                      </w:r>
                      <w:r w:rsidR="00E45FAF">
                        <w:t>ng Fees Code) Instrument 2016/1129</w:t>
                      </w:r>
                      <w:r>
                        <w:t xml:space="preserve"> approves the FPA Professional Ongoing Fees Code dated 28 September 2016 and issued by the FPA, as in force at the date of this instrument.  This legislative instrument exempts a person </w:t>
                      </w:r>
                      <w:r w:rsidRPr="002E0458">
                        <w:t>who receives fees under an ongoing fee arrangement from giving the client a written renewal notice every two years which requires the client to</w:t>
                      </w:r>
                      <w:r>
                        <w:t xml:space="preserve"> opt-in to renew that agreement, on the conditions set out in the instrument. </w:t>
                      </w:r>
                    </w:p>
                    <w:p w:rsidR="004D4DE1" w:rsidRPr="00883DB6" w:rsidRDefault="004D4DE1" w:rsidP="000076D6">
                      <w:pPr>
                        <w:spacing w:before="120" w:after="120"/>
                      </w:pPr>
                    </w:p>
                    <w:p w:rsidR="004D4DE1" w:rsidRPr="00247F54" w:rsidRDefault="004D4DE1" w:rsidP="000076D6">
                      <w:pPr>
                        <w:spacing w:before="120" w:after="120"/>
                        <w:rPr>
                          <w:b/>
                        </w:rPr>
                      </w:pPr>
                      <w:r w:rsidRPr="00247F54">
                        <w:rPr>
                          <w:b/>
                        </w:rPr>
                        <w:t>Human rights implications</w:t>
                      </w:r>
                    </w:p>
                    <w:p w:rsidR="004D4DE1" w:rsidRPr="00247F54" w:rsidRDefault="004D4DE1"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4D4DE1" w:rsidRPr="00247F54" w:rsidRDefault="004D4DE1" w:rsidP="000076D6">
                      <w:pPr>
                        <w:spacing w:before="120" w:after="120"/>
                      </w:pPr>
                    </w:p>
                    <w:p w:rsidR="004D4DE1" w:rsidRPr="00247F54" w:rsidRDefault="004D4DE1" w:rsidP="000076D6">
                      <w:pPr>
                        <w:spacing w:before="120" w:after="120"/>
                        <w:rPr>
                          <w:b/>
                        </w:rPr>
                      </w:pPr>
                      <w:r w:rsidRPr="00247F54">
                        <w:rPr>
                          <w:b/>
                        </w:rPr>
                        <w:t>Conclusion</w:t>
                      </w:r>
                    </w:p>
                    <w:p w:rsidR="004D4DE1" w:rsidRPr="00247F54" w:rsidRDefault="004D4DE1"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4D4DE1" w:rsidRPr="00E4135E" w:rsidRDefault="004D4DE1" w:rsidP="000076D6">
                      <w:pPr>
                        <w:spacing w:before="120" w:after="120"/>
                        <w:jc w:val="center"/>
                      </w:pPr>
                    </w:p>
                    <w:p w:rsidR="004D4DE1" w:rsidRPr="00E4135E" w:rsidRDefault="00790BD6"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02" w:rsidRDefault="00A75102">
      <w:pPr>
        <w:spacing w:after="0"/>
      </w:pPr>
      <w:r>
        <w:separator/>
      </w:r>
    </w:p>
  </w:endnote>
  <w:endnote w:type="continuationSeparator" w:id="0">
    <w:p w:rsidR="00A75102" w:rsidRDefault="00A75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E1" w:rsidRDefault="004D4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0BD6">
      <w:rPr>
        <w:rStyle w:val="PageNumber"/>
        <w:noProof/>
      </w:rPr>
      <w:t>5</w:t>
    </w:r>
    <w:r>
      <w:rPr>
        <w:rStyle w:val="PageNumber"/>
      </w:rPr>
      <w:fldChar w:fldCharType="end"/>
    </w:r>
  </w:p>
  <w:p w:rsidR="004D4DE1" w:rsidRDefault="004D4DE1">
    <w:pPr>
      <w:pStyle w:val="Footer"/>
      <w:ind w:right="360"/>
    </w:pPr>
  </w:p>
  <w:p w:rsidR="004D4DE1" w:rsidRDefault="004D4DE1"/>
  <w:p w:rsidR="004D4DE1" w:rsidRDefault="004D4DE1"/>
  <w:p w:rsidR="004D4DE1" w:rsidRDefault="004D4DE1"/>
  <w:p w:rsidR="004D4DE1" w:rsidRDefault="004D4DE1"/>
  <w:p w:rsidR="004D4DE1" w:rsidRDefault="004D4D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E1" w:rsidRDefault="004D4DE1">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E2055F7" wp14:editId="098E900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DE1" w:rsidRPr="008F541E" w:rsidRDefault="004D4DE1" w:rsidP="00651E40">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75102">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4D4DE1" w:rsidRPr="008F541E" w:rsidRDefault="004D4DE1" w:rsidP="00651E40">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75102">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F48" w:rsidRDefault="00395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02" w:rsidRDefault="00A75102">
      <w:pPr>
        <w:spacing w:after="0"/>
      </w:pPr>
      <w:r>
        <w:separator/>
      </w:r>
    </w:p>
  </w:footnote>
  <w:footnote w:type="continuationSeparator" w:id="0">
    <w:p w:rsidR="00A75102" w:rsidRDefault="00A751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E1" w:rsidRDefault="004D4DE1"/>
  <w:p w:rsidR="004D4DE1" w:rsidRDefault="004D4D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E1" w:rsidRDefault="004D4DE1">
    <w:pPr>
      <w:pStyle w:val="Footer"/>
      <w:pBdr>
        <w:bottom w:val="single" w:sz="4" w:space="1" w:color="117DC7"/>
      </w:pBdr>
      <w:jc w:val="right"/>
      <w:rPr>
        <w:color w:val="117DC7"/>
      </w:rPr>
    </w:pPr>
    <w:r>
      <w:tab/>
    </w:r>
  </w:p>
  <w:p w:rsidR="004D4DE1" w:rsidRDefault="004D4D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E1" w:rsidRDefault="004D4DE1">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1FBA50D1"/>
    <w:multiLevelType w:val="hybridMultilevel"/>
    <w:tmpl w:val="5E0A05D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3DE54C7"/>
    <w:multiLevelType w:val="hybridMultilevel"/>
    <w:tmpl w:val="5E0A05DA"/>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A243818"/>
    <w:multiLevelType w:val="hybridMultilevel"/>
    <w:tmpl w:val="614C3C9C"/>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1CF67B5"/>
    <w:multiLevelType w:val="multilevel"/>
    <w:tmpl w:val="6F5819E8"/>
    <w:lvl w:ilvl="0">
      <w:start w:val="1"/>
      <w:numFmt w:val="bullet"/>
      <w:pStyle w:val="RPG-BulletListLevel1"/>
      <w:lvlText w:val=""/>
      <w:lvlJc w:val="left"/>
      <w:pPr>
        <w:tabs>
          <w:tab w:val="num" w:pos="1276"/>
        </w:tabs>
        <w:ind w:left="1276" w:hanging="425"/>
      </w:pPr>
      <w:rPr>
        <w:rFonts w:ascii="Symbol" w:hAnsi="Symbol" w:hint="default"/>
        <w:sz w:val="18"/>
      </w:rPr>
    </w:lvl>
    <w:lvl w:ilvl="1">
      <w:start w:val="1"/>
      <w:numFmt w:val="bullet"/>
      <w:pStyle w:val="RPG-BulletListLevel2"/>
      <w:lvlText w:val="–"/>
      <w:lvlJc w:val="left"/>
      <w:pPr>
        <w:tabs>
          <w:tab w:val="num" w:pos="1701"/>
        </w:tabs>
        <w:ind w:left="1701" w:hanging="425"/>
      </w:pPr>
      <w:rPr>
        <w:rFonts w:ascii="Arial" w:hAnsi="Aria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8"/>
  </w:num>
  <w:num w:numId="3">
    <w:abstractNumId w:val="11"/>
  </w:num>
  <w:num w:numId="4">
    <w:abstractNumId w:val="16"/>
  </w:num>
  <w:num w:numId="5">
    <w:abstractNumId w:val="6"/>
  </w:num>
  <w:num w:numId="6">
    <w:abstractNumId w:val="4"/>
  </w:num>
  <w:num w:numId="7">
    <w:abstractNumId w:val="9"/>
  </w:num>
  <w:num w:numId="8">
    <w:abstractNumId w:val="2"/>
  </w:num>
  <w:num w:numId="9">
    <w:abstractNumId w:val="1"/>
  </w:num>
  <w:num w:numId="10">
    <w:abstractNumId w:val="0"/>
  </w:num>
  <w:num w:numId="11">
    <w:abstractNumId w:val="8"/>
  </w:num>
  <w:num w:numId="12">
    <w:abstractNumId w:val="15"/>
  </w:num>
  <w:num w:numId="13">
    <w:abstractNumId w:val="12"/>
  </w:num>
  <w:num w:numId="14">
    <w:abstractNumId w:val="7"/>
  </w:num>
  <w:num w:numId="15">
    <w:abstractNumId w:val="13"/>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02"/>
    <w:rsid w:val="000076D6"/>
    <w:rsid w:val="00044ED4"/>
    <w:rsid w:val="000C059A"/>
    <w:rsid w:val="001E116D"/>
    <w:rsid w:val="002E0458"/>
    <w:rsid w:val="00395F48"/>
    <w:rsid w:val="003F7C4D"/>
    <w:rsid w:val="00446604"/>
    <w:rsid w:val="004627BC"/>
    <w:rsid w:val="0046793A"/>
    <w:rsid w:val="00471F8B"/>
    <w:rsid w:val="004A7186"/>
    <w:rsid w:val="004D4DE1"/>
    <w:rsid w:val="004E0203"/>
    <w:rsid w:val="00540C5D"/>
    <w:rsid w:val="005B0E3A"/>
    <w:rsid w:val="00632658"/>
    <w:rsid w:val="00651E40"/>
    <w:rsid w:val="00682CA3"/>
    <w:rsid w:val="00733251"/>
    <w:rsid w:val="00790BD6"/>
    <w:rsid w:val="00880E98"/>
    <w:rsid w:val="00A03AC1"/>
    <w:rsid w:val="00A20EF6"/>
    <w:rsid w:val="00A75102"/>
    <w:rsid w:val="00A92BA1"/>
    <w:rsid w:val="00AA1471"/>
    <w:rsid w:val="00AB15A6"/>
    <w:rsid w:val="00AB2F83"/>
    <w:rsid w:val="00AC02C2"/>
    <w:rsid w:val="00AE4339"/>
    <w:rsid w:val="00B27728"/>
    <w:rsid w:val="00B365CA"/>
    <w:rsid w:val="00B84BE6"/>
    <w:rsid w:val="00C02DA0"/>
    <w:rsid w:val="00C43A76"/>
    <w:rsid w:val="00CC1059"/>
    <w:rsid w:val="00CF6994"/>
    <w:rsid w:val="00D52A87"/>
    <w:rsid w:val="00E45FAF"/>
    <w:rsid w:val="00E805A1"/>
    <w:rsid w:val="00EC0D86"/>
    <w:rsid w:val="00F1490B"/>
    <w:rsid w:val="00F43B10"/>
    <w:rsid w:val="00FF65EA"/>
    <w:rsid w:val="00FF7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2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RPG-BodyTextNumbered">
    <w:name w:val="RPG - Body Text (Numbered)"/>
    <w:basedOn w:val="Normal"/>
    <w:link w:val="RPG-BodyTextNumberedChar"/>
    <w:qFormat/>
    <w:rsid w:val="00682CA3"/>
    <w:pPr>
      <w:numPr>
        <w:numId w:val="15"/>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682CA3"/>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682CA3"/>
    <w:pPr>
      <w:numPr>
        <w:ilvl w:val="2"/>
      </w:numPr>
      <w:tabs>
        <w:tab w:val="clear" w:pos="1701"/>
        <w:tab w:val="num" w:pos="2160"/>
      </w:tabs>
      <w:ind w:left="2160" w:hanging="180"/>
    </w:pPr>
  </w:style>
  <w:style w:type="paragraph" w:customStyle="1" w:styleId="RPG-Heading3">
    <w:name w:val="RPG - Heading 3"/>
    <w:basedOn w:val="Normal"/>
    <w:next w:val="RPG-BodyTextNumbered"/>
    <w:link w:val="RPG-Heading3Char"/>
    <w:qFormat/>
    <w:rsid w:val="00682CA3"/>
    <w:pPr>
      <w:keepNext/>
      <w:tabs>
        <w:tab w:val="left" w:pos="425"/>
      </w:tabs>
      <w:spacing w:before="240" w:after="0"/>
      <w:ind w:left="851"/>
    </w:pPr>
    <w:rPr>
      <w:rFonts w:ascii="Arial" w:eastAsiaTheme="minorHAnsi" w:hAnsi="Arial" w:cstheme="minorBidi"/>
      <w:b/>
      <w:sz w:val="24"/>
      <w:szCs w:val="22"/>
      <w:lang w:eastAsia="en-US"/>
    </w:rPr>
  </w:style>
  <w:style w:type="paragraph" w:customStyle="1" w:styleId="RPG-BulletListLevel1">
    <w:name w:val="RPG - Bullet List Level 1"/>
    <w:basedOn w:val="RPG-BodyTextNumbered"/>
    <w:qFormat/>
    <w:rsid w:val="00682CA3"/>
    <w:pPr>
      <w:numPr>
        <w:numId w:val="16"/>
      </w:numPr>
      <w:tabs>
        <w:tab w:val="clear" w:pos="1276"/>
        <w:tab w:val="num" w:pos="1440"/>
      </w:tabs>
      <w:spacing w:before="120"/>
      <w:ind w:left="1440" w:hanging="360"/>
    </w:pPr>
  </w:style>
  <w:style w:type="character" w:customStyle="1" w:styleId="RPG-BodyTextNumberedChar">
    <w:name w:val="RPG - Body Text (Numbered) Char"/>
    <w:basedOn w:val="DefaultParagraphFont"/>
    <w:link w:val="RPG-BodyTextNumbered"/>
    <w:rsid w:val="00682CA3"/>
    <w:rPr>
      <w:rFonts w:eastAsiaTheme="minorHAnsi" w:cstheme="minorBidi"/>
      <w:sz w:val="22"/>
      <w:szCs w:val="22"/>
      <w:lang w:eastAsia="en-US"/>
    </w:rPr>
  </w:style>
  <w:style w:type="paragraph" w:customStyle="1" w:styleId="RPG-BulletListLevel2">
    <w:name w:val="RPG - Bullet List Level 2"/>
    <w:basedOn w:val="RPG-BulletListLevel1"/>
    <w:qFormat/>
    <w:rsid w:val="00682CA3"/>
    <w:pPr>
      <w:numPr>
        <w:ilvl w:val="1"/>
      </w:numPr>
      <w:tabs>
        <w:tab w:val="clear" w:pos="1701"/>
        <w:tab w:val="num" w:pos="1440"/>
      </w:tabs>
      <w:ind w:left="1440" w:hanging="360"/>
    </w:pPr>
  </w:style>
  <w:style w:type="character" w:customStyle="1" w:styleId="RPG-Heading3Char">
    <w:name w:val="RPG - Heading 3 Char"/>
    <w:basedOn w:val="DefaultParagraphFont"/>
    <w:link w:val="RPG-Heading3"/>
    <w:rsid w:val="00682CA3"/>
    <w:rPr>
      <w:rFonts w:ascii="Arial" w:eastAsiaTheme="minorHAnsi" w:hAnsi="Arial" w:cstheme="minorBidi"/>
      <w:b/>
      <w:sz w:val="24"/>
      <w:szCs w:val="22"/>
      <w:lang w:eastAsia="en-US"/>
    </w:rPr>
  </w:style>
  <w:style w:type="character" w:styleId="CommentReference">
    <w:name w:val="annotation reference"/>
    <w:basedOn w:val="DefaultParagraphFont"/>
    <w:uiPriority w:val="99"/>
    <w:semiHidden/>
    <w:unhideWhenUsed/>
    <w:rsid w:val="00CC1059"/>
    <w:rPr>
      <w:sz w:val="16"/>
      <w:szCs w:val="16"/>
    </w:rPr>
  </w:style>
  <w:style w:type="paragraph" w:styleId="CommentSubject">
    <w:name w:val="annotation subject"/>
    <w:basedOn w:val="CommentText"/>
    <w:next w:val="CommentText"/>
    <w:link w:val="CommentSubjectChar"/>
    <w:uiPriority w:val="99"/>
    <w:semiHidden/>
    <w:unhideWhenUsed/>
    <w:rsid w:val="00CC1059"/>
    <w:rPr>
      <w:b/>
      <w:bCs/>
    </w:rPr>
  </w:style>
  <w:style w:type="character" w:customStyle="1" w:styleId="CommentTextChar">
    <w:name w:val="Comment Text Char"/>
    <w:basedOn w:val="DefaultParagraphFont"/>
    <w:link w:val="CommentText"/>
    <w:semiHidden/>
    <w:rsid w:val="00CC1059"/>
  </w:style>
  <w:style w:type="character" w:customStyle="1" w:styleId="CommentSubjectChar">
    <w:name w:val="Comment Subject Char"/>
    <w:basedOn w:val="CommentTextChar"/>
    <w:link w:val="CommentSubject"/>
    <w:uiPriority w:val="99"/>
    <w:semiHidden/>
    <w:rsid w:val="00CC1059"/>
    <w:rPr>
      <w:b/>
      <w:bCs/>
    </w:rPr>
  </w:style>
  <w:style w:type="paragraph" w:styleId="BalloonText">
    <w:name w:val="Balloon Text"/>
    <w:basedOn w:val="Normal"/>
    <w:link w:val="BalloonTextChar"/>
    <w:uiPriority w:val="99"/>
    <w:semiHidden/>
    <w:unhideWhenUsed/>
    <w:rsid w:val="00CC10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59"/>
    <w:rPr>
      <w:rFonts w:ascii="Tahoma" w:hAnsi="Tahoma" w:cs="Tahoma"/>
      <w:sz w:val="16"/>
      <w:szCs w:val="16"/>
    </w:rPr>
  </w:style>
  <w:style w:type="character" w:styleId="Hyperlink">
    <w:name w:val="Hyperlink"/>
    <w:basedOn w:val="DefaultParagraphFont"/>
    <w:uiPriority w:val="99"/>
    <w:unhideWhenUsed/>
    <w:rsid w:val="00FF65EA"/>
    <w:rPr>
      <w:color w:val="0000FF" w:themeColor="hyperlink"/>
      <w:u w:val="single"/>
    </w:rPr>
  </w:style>
  <w:style w:type="character" w:styleId="FollowedHyperlink">
    <w:name w:val="FollowedHyperlink"/>
    <w:basedOn w:val="DefaultParagraphFont"/>
    <w:uiPriority w:val="99"/>
    <w:semiHidden/>
    <w:unhideWhenUsed/>
    <w:rsid w:val="00FF65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RPG-BodyTextNumbered">
    <w:name w:val="RPG - Body Text (Numbered)"/>
    <w:basedOn w:val="Normal"/>
    <w:link w:val="RPG-BodyTextNumberedChar"/>
    <w:qFormat/>
    <w:rsid w:val="00682CA3"/>
    <w:pPr>
      <w:numPr>
        <w:numId w:val="15"/>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682CA3"/>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682CA3"/>
    <w:pPr>
      <w:numPr>
        <w:ilvl w:val="2"/>
      </w:numPr>
      <w:tabs>
        <w:tab w:val="clear" w:pos="1701"/>
        <w:tab w:val="num" w:pos="2160"/>
      </w:tabs>
      <w:ind w:left="2160" w:hanging="180"/>
    </w:pPr>
  </w:style>
  <w:style w:type="paragraph" w:customStyle="1" w:styleId="RPG-Heading3">
    <w:name w:val="RPG - Heading 3"/>
    <w:basedOn w:val="Normal"/>
    <w:next w:val="RPG-BodyTextNumbered"/>
    <w:link w:val="RPG-Heading3Char"/>
    <w:qFormat/>
    <w:rsid w:val="00682CA3"/>
    <w:pPr>
      <w:keepNext/>
      <w:tabs>
        <w:tab w:val="left" w:pos="425"/>
      </w:tabs>
      <w:spacing w:before="240" w:after="0"/>
      <w:ind w:left="851"/>
    </w:pPr>
    <w:rPr>
      <w:rFonts w:ascii="Arial" w:eastAsiaTheme="minorHAnsi" w:hAnsi="Arial" w:cstheme="minorBidi"/>
      <w:b/>
      <w:sz w:val="24"/>
      <w:szCs w:val="22"/>
      <w:lang w:eastAsia="en-US"/>
    </w:rPr>
  </w:style>
  <w:style w:type="paragraph" w:customStyle="1" w:styleId="RPG-BulletListLevel1">
    <w:name w:val="RPG - Bullet List Level 1"/>
    <w:basedOn w:val="RPG-BodyTextNumbered"/>
    <w:qFormat/>
    <w:rsid w:val="00682CA3"/>
    <w:pPr>
      <w:numPr>
        <w:numId w:val="16"/>
      </w:numPr>
      <w:tabs>
        <w:tab w:val="clear" w:pos="1276"/>
        <w:tab w:val="num" w:pos="1440"/>
      </w:tabs>
      <w:spacing w:before="120"/>
      <w:ind w:left="1440" w:hanging="360"/>
    </w:pPr>
  </w:style>
  <w:style w:type="character" w:customStyle="1" w:styleId="RPG-BodyTextNumberedChar">
    <w:name w:val="RPG - Body Text (Numbered) Char"/>
    <w:basedOn w:val="DefaultParagraphFont"/>
    <w:link w:val="RPG-BodyTextNumbered"/>
    <w:rsid w:val="00682CA3"/>
    <w:rPr>
      <w:rFonts w:eastAsiaTheme="minorHAnsi" w:cstheme="minorBidi"/>
      <w:sz w:val="22"/>
      <w:szCs w:val="22"/>
      <w:lang w:eastAsia="en-US"/>
    </w:rPr>
  </w:style>
  <w:style w:type="paragraph" w:customStyle="1" w:styleId="RPG-BulletListLevel2">
    <w:name w:val="RPG - Bullet List Level 2"/>
    <w:basedOn w:val="RPG-BulletListLevel1"/>
    <w:qFormat/>
    <w:rsid w:val="00682CA3"/>
    <w:pPr>
      <w:numPr>
        <w:ilvl w:val="1"/>
      </w:numPr>
      <w:tabs>
        <w:tab w:val="clear" w:pos="1701"/>
        <w:tab w:val="num" w:pos="1440"/>
      </w:tabs>
      <w:ind w:left="1440" w:hanging="360"/>
    </w:pPr>
  </w:style>
  <w:style w:type="character" w:customStyle="1" w:styleId="RPG-Heading3Char">
    <w:name w:val="RPG - Heading 3 Char"/>
    <w:basedOn w:val="DefaultParagraphFont"/>
    <w:link w:val="RPG-Heading3"/>
    <w:rsid w:val="00682CA3"/>
    <w:rPr>
      <w:rFonts w:ascii="Arial" w:eastAsiaTheme="minorHAnsi" w:hAnsi="Arial" w:cstheme="minorBidi"/>
      <w:b/>
      <w:sz w:val="24"/>
      <w:szCs w:val="22"/>
      <w:lang w:eastAsia="en-US"/>
    </w:rPr>
  </w:style>
  <w:style w:type="character" w:styleId="CommentReference">
    <w:name w:val="annotation reference"/>
    <w:basedOn w:val="DefaultParagraphFont"/>
    <w:uiPriority w:val="99"/>
    <w:semiHidden/>
    <w:unhideWhenUsed/>
    <w:rsid w:val="00CC1059"/>
    <w:rPr>
      <w:sz w:val="16"/>
      <w:szCs w:val="16"/>
    </w:rPr>
  </w:style>
  <w:style w:type="paragraph" w:styleId="CommentSubject">
    <w:name w:val="annotation subject"/>
    <w:basedOn w:val="CommentText"/>
    <w:next w:val="CommentText"/>
    <w:link w:val="CommentSubjectChar"/>
    <w:uiPriority w:val="99"/>
    <w:semiHidden/>
    <w:unhideWhenUsed/>
    <w:rsid w:val="00CC1059"/>
    <w:rPr>
      <w:b/>
      <w:bCs/>
    </w:rPr>
  </w:style>
  <w:style w:type="character" w:customStyle="1" w:styleId="CommentTextChar">
    <w:name w:val="Comment Text Char"/>
    <w:basedOn w:val="DefaultParagraphFont"/>
    <w:link w:val="CommentText"/>
    <w:semiHidden/>
    <w:rsid w:val="00CC1059"/>
  </w:style>
  <w:style w:type="character" w:customStyle="1" w:styleId="CommentSubjectChar">
    <w:name w:val="Comment Subject Char"/>
    <w:basedOn w:val="CommentTextChar"/>
    <w:link w:val="CommentSubject"/>
    <w:uiPriority w:val="99"/>
    <w:semiHidden/>
    <w:rsid w:val="00CC1059"/>
    <w:rPr>
      <w:b/>
      <w:bCs/>
    </w:rPr>
  </w:style>
  <w:style w:type="paragraph" w:styleId="BalloonText">
    <w:name w:val="Balloon Text"/>
    <w:basedOn w:val="Normal"/>
    <w:link w:val="BalloonTextChar"/>
    <w:uiPriority w:val="99"/>
    <w:semiHidden/>
    <w:unhideWhenUsed/>
    <w:rsid w:val="00CC10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59"/>
    <w:rPr>
      <w:rFonts w:ascii="Tahoma" w:hAnsi="Tahoma" w:cs="Tahoma"/>
      <w:sz w:val="16"/>
      <w:szCs w:val="16"/>
    </w:rPr>
  </w:style>
  <w:style w:type="character" w:styleId="Hyperlink">
    <w:name w:val="Hyperlink"/>
    <w:basedOn w:val="DefaultParagraphFont"/>
    <w:uiPriority w:val="99"/>
    <w:unhideWhenUsed/>
    <w:rsid w:val="00FF65EA"/>
    <w:rPr>
      <w:color w:val="0000FF" w:themeColor="hyperlink"/>
      <w:u w:val="single"/>
    </w:rPr>
  </w:style>
  <w:style w:type="character" w:styleId="FollowedHyperlink">
    <w:name w:val="FollowedHyperlink"/>
    <w:basedOn w:val="DefaultParagraphFont"/>
    <w:uiPriority w:val="99"/>
    <w:semiHidden/>
    <w:unhideWhenUsed/>
    <w:rsid w:val="00FF6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fpa.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L~1.MUR\AppData\Local\Temp\notes3987A6\20161012%20explanatory%20statement%20for%20ASIC%20Corporations%20(Ongoing%20Fees%20Code)%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7479B91D6C1774B8C06CAE1FB87E9FB" ma:contentTypeVersion="29" ma:contentTypeDescription="" ma:contentTypeScope="" ma:versionID="6bcb444199a90f75fda12f0332715582">
  <xsd:schema xmlns:xsd="http://www.w3.org/2001/XMLSchema" xmlns:xs="http://www.w3.org/2001/XMLSchema" xmlns:p="http://schemas.microsoft.com/office/2006/metadata/properties" xmlns:ns2="da7a9ac0-bc47-4684-84e6-3a8e9ac80c12" xmlns:ns3="c34c7f6c-aaaf-45a3-a9eb-afe48db4d66e" xmlns:ns4="17f478ab-373e-4295-9ff0-9b833ad01319" targetNamespace="http://schemas.microsoft.com/office/2006/metadata/properties" ma:root="true" ma:fieldsID="064b2f459326cdf618a3c2e2d94d4c64" ns2:_="" ns3:_="" ns4:_="">
    <xsd:import namespace="da7a9ac0-bc47-4684-84e6-3a8e9ac80c12"/>
    <xsd:import namespace="c34c7f6c-aaaf-45a3-a9eb-afe48db4d66e"/>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d60934758bd44d46b350733ac9e6adc4"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8" ma:taxonomy="true" ma:internalName="d60934758bd44d46b350733ac9e6adc4" ma:taxonomyFieldName="SecurityClassification" ma:displayName="Security Classification" ma:readOnly="false" ma:default="6;#Sensitive|19fd2cb8-3e97-4464-ae71-8c2c2095d028"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R20160000682507</RecordNumber>
    <ObjectiveID xmlns="da7a9ac0-bc47-4684-84e6-3a8e9ac80c12" xsi:nil="true"/>
    <TaxCatchAll xmlns="c34c7f6c-aaaf-45a3-a9eb-afe48db4d66e">
      <Value>6</Value>
    </TaxCatchAll>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60934758bd44d46b350733ac9e6adc4 xmlns="c34c7f6c-aaaf-45a3-a9eb-afe48db4d6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60934758bd44d46b350733ac9e6adc4>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F3D7-00D5-4727-B7B5-E5DEC44CBC92}">
  <ds:schemaRefs>
    <ds:schemaRef ds:uri="http://schemas.microsoft.com/sharepoint/v3/contenttype/forms"/>
  </ds:schemaRefs>
</ds:datastoreItem>
</file>

<file path=customXml/itemProps2.xml><?xml version="1.0" encoding="utf-8"?>
<ds:datastoreItem xmlns:ds="http://schemas.openxmlformats.org/officeDocument/2006/customXml" ds:itemID="{D0702B23-923C-4BCF-A16F-903A65629F56}">
  <ds:schemaRefs>
    <ds:schemaRef ds:uri="http://schemas.microsoft.com/sharepoint/events"/>
  </ds:schemaRefs>
</ds:datastoreItem>
</file>

<file path=customXml/itemProps3.xml><?xml version="1.0" encoding="utf-8"?>
<ds:datastoreItem xmlns:ds="http://schemas.openxmlformats.org/officeDocument/2006/customXml" ds:itemID="{042C1E3B-75F6-4936-8CF2-AFA26317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c34c7f6c-aaaf-45a3-a9eb-afe48db4d66e"/>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835D1-F825-4D0F-984F-CB6CA6ADD7F8}">
  <ds:schemaRefs>
    <ds:schemaRef ds:uri="http://purl.org/dc/terms/"/>
    <ds:schemaRef ds:uri="http://schemas.microsoft.com/office/2006/documentManagement/types"/>
    <ds:schemaRef ds:uri="da7a9ac0-bc47-4684-84e6-3a8e9ac80c12"/>
    <ds:schemaRef ds:uri="http://www.w3.org/XML/1998/namespace"/>
    <ds:schemaRef ds:uri="http://purl.org/dc/elements/1.1/"/>
    <ds:schemaRef ds:uri="http://schemas.microsoft.com/office/2006/metadata/properties"/>
    <ds:schemaRef ds:uri="c34c7f6c-aaaf-45a3-a9eb-afe48db4d66e"/>
    <ds:schemaRef ds:uri="http://schemas.openxmlformats.org/package/2006/metadata/core-properties"/>
    <ds:schemaRef ds:uri="http://purl.org/dc/dcmitype/"/>
    <ds:schemaRef ds:uri="http://schemas.microsoft.com/office/infopath/2007/PartnerControls"/>
    <ds:schemaRef ds:uri="17f478ab-373e-4295-9ff0-9b833ad01319"/>
  </ds:schemaRefs>
</ds:datastoreItem>
</file>

<file path=customXml/itemProps5.xml><?xml version="1.0" encoding="utf-8"?>
<ds:datastoreItem xmlns:ds="http://schemas.openxmlformats.org/officeDocument/2006/customXml" ds:itemID="{E9B6F1BC-8C47-49D4-AC02-2AB3C540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20161012 explanatory statement for ASIC Corporations (Ongoing Fees Code) Instrument.dotx</Template>
  <TotalTime>1</TotalTime>
  <Pages>5</Pages>
  <Words>1176</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Merrill.murray</dc:creator>
  <cp:lastModifiedBy>Merrill.murray</cp:lastModifiedBy>
  <cp:revision>1</cp:revision>
  <cp:lastPrinted>2016-11-21T01:35:00Z</cp:lastPrinted>
  <dcterms:created xsi:type="dcterms:W3CDTF">2016-11-22T22:28:00Z</dcterms:created>
  <dcterms:modified xsi:type="dcterms:W3CDTF">2016-11-22T22:29:00Z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0x010100B5F685A1365F544391EF8C813B164F3A0097479B91D6C1774B8C06CAE1FB87E9FB</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UniqueId">
    <vt:lpwstr>{8667df1e-b8b7-496a-9e98-fd3442f6a9bd}</vt:lpwstr>
  </property>
  <property fmtid="{D5CDD505-2E9C-101B-9397-08002B2CF9AE}" pid="26" name="RecordPoint_SubmissionCompleted">
    <vt:lpwstr>2016-11-22T16:35:20.0082806+11:00</vt:lpwstr>
  </property>
  <property fmtid="{D5CDD505-2E9C-101B-9397-08002B2CF9AE}" pid="27" name="RecordPoint_ActiveItemWebId">
    <vt:lpwstr>{c34c7f6c-aaaf-45a3-a9eb-afe48db4d66e}</vt:lpwstr>
  </property>
  <property fmtid="{D5CDD505-2E9C-101B-9397-08002B2CF9AE}" pid="28" name="RecordPoint_ActiveItemSiteId">
    <vt:lpwstr>{970ad2fa-f22f-46d1-9c2d-779d215cedf1}</vt:lpwstr>
  </property>
  <property fmtid="{D5CDD505-2E9C-101B-9397-08002B2CF9AE}" pid="29" name="RecordPoint_ActiveItemListId">
    <vt:lpwstr>{baa84113-1696-4f16-99ca-be7d9f717456}</vt:lpwstr>
  </property>
  <property fmtid="{D5CDD505-2E9C-101B-9397-08002B2CF9AE}" pid="30" name="RecordPoint_RecordNumberSubmitted">
    <vt:lpwstr>R20160000682507</vt:lpwstr>
  </property>
</Properties>
</file>