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A16" w:rsidRPr="001F2A16" w:rsidRDefault="001F2A16" w:rsidP="00AF4CAF">
      <w:pPr>
        <w:pStyle w:val="Header"/>
        <w:pBdr>
          <w:top w:val="double" w:sz="4" w:space="1" w:color="auto"/>
          <w:bottom w:val="double" w:sz="4" w:space="1" w:color="auto"/>
        </w:pBdr>
        <w:tabs>
          <w:tab w:val="clear" w:pos="4153"/>
          <w:tab w:val="clear" w:pos="8306"/>
        </w:tabs>
        <w:jc w:val="center"/>
        <w:rPr>
          <w:rFonts w:ascii="Arial" w:hAnsi="Arial" w:cs="Arial"/>
          <w:sz w:val="34"/>
          <w:szCs w:val="34"/>
        </w:rPr>
      </w:pPr>
      <w:bookmarkStart w:id="0" w:name="FDocName"/>
      <w:r w:rsidRPr="001F2A16">
        <w:rPr>
          <w:rFonts w:ascii="Arial" w:hAnsi="Arial" w:cs="Arial"/>
          <w:sz w:val="34"/>
          <w:szCs w:val="34"/>
        </w:rPr>
        <w:t>Explanatory Statement</w:t>
      </w:r>
    </w:p>
    <w:p w:rsidR="001F2A16" w:rsidRPr="001F2A16" w:rsidRDefault="001F2A16" w:rsidP="00AF4CAF">
      <w:pPr>
        <w:pStyle w:val="Header"/>
        <w:pBdr>
          <w:top w:val="double" w:sz="4" w:space="1" w:color="auto"/>
          <w:bottom w:val="double" w:sz="4" w:space="1" w:color="auto"/>
        </w:pBdr>
        <w:tabs>
          <w:tab w:val="clear" w:pos="4153"/>
          <w:tab w:val="clear" w:pos="8306"/>
        </w:tabs>
        <w:jc w:val="center"/>
        <w:rPr>
          <w:rFonts w:ascii="Arial" w:hAnsi="Arial" w:cs="Arial"/>
          <w:sz w:val="34"/>
          <w:szCs w:val="34"/>
        </w:rPr>
      </w:pPr>
    </w:p>
    <w:p w:rsidR="0099555F" w:rsidRPr="001F2A16" w:rsidRDefault="00B94253" w:rsidP="00AF4CAF">
      <w:pPr>
        <w:pStyle w:val="Header"/>
        <w:pBdr>
          <w:top w:val="double" w:sz="4" w:space="1" w:color="auto"/>
          <w:bottom w:val="double" w:sz="4" w:space="1" w:color="auto"/>
        </w:pBdr>
        <w:tabs>
          <w:tab w:val="clear" w:pos="4153"/>
          <w:tab w:val="clear" w:pos="8306"/>
        </w:tabs>
        <w:jc w:val="center"/>
        <w:rPr>
          <w:rFonts w:ascii="Arial" w:hAnsi="Arial" w:cs="Arial"/>
          <w:sz w:val="34"/>
          <w:szCs w:val="34"/>
        </w:rPr>
      </w:pPr>
      <w:r>
        <w:rPr>
          <w:rFonts w:ascii="Arial" w:hAnsi="Arial" w:cs="Arial"/>
          <w:sz w:val="34"/>
          <w:szCs w:val="34"/>
        </w:rPr>
        <w:t>Superannuation Data and Payment Standar</w:t>
      </w:r>
      <w:r w:rsidR="005D5D19">
        <w:rPr>
          <w:rFonts w:ascii="Arial" w:hAnsi="Arial" w:cs="Arial"/>
          <w:sz w:val="34"/>
          <w:szCs w:val="34"/>
        </w:rPr>
        <w:t>ds (Payments and Information from</w:t>
      </w:r>
      <w:r>
        <w:rPr>
          <w:rFonts w:ascii="Arial" w:hAnsi="Arial" w:cs="Arial"/>
          <w:sz w:val="34"/>
          <w:szCs w:val="34"/>
        </w:rPr>
        <w:t xml:space="preserve"> the Commissioner of Taxation</w:t>
      </w:r>
      <w:r w:rsidR="0015048C">
        <w:rPr>
          <w:rFonts w:ascii="Arial" w:hAnsi="Arial" w:cs="Arial"/>
          <w:sz w:val="34"/>
          <w:szCs w:val="34"/>
        </w:rPr>
        <w:t>)</w:t>
      </w:r>
      <w:r>
        <w:rPr>
          <w:rFonts w:ascii="Arial" w:hAnsi="Arial" w:cs="Arial"/>
          <w:sz w:val="34"/>
          <w:szCs w:val="34"/>
        </w:rPr>
        <w:t xml:space="preserve"> Amendment </w:t>
      </w:r>
      <w:r w:rsidR="00B80099">
        <w:rPr>
          <w:rFonts w:ascii="Arial" w:hAnsi="Arial" w:cs="Arial"/>
          <w:sz w:val="34"/>
          <w:szCs w:val="34"/>
        </w:rPr>
        <w:t>2016</w:t>
      </w:r>
    </w:p>
    <w:p w:rsidR="0099555F" w:rsidRDefault="0099555F" w:rsidP="0099555F">
      <w:pPr>
        <w:pStyle w:val="Header"/>
        <w:tabs>
          <w:tab w:val="clear" w:pos="4153"/>
          <w:tab w:val="clear" w:pos="8306"/>
        </w:tabs>
        <w:jc w:val="center"/>
        <w:rPr>
          <w:rFonts w:ascii="Arial" w:hAnsi="Arial" w:cs="Arial"/>
          <w:szCs w:val="24"/>
        </w:rPr>
      </w:pPr>
    </w:p>
    <w:p w:rsidR="001F2A16" w:rsidRPr="001F2A16" w:rsidRDefault="001F2A16" w:rsidP="0099555F">
      <w:pPr>
        <w:pStyle w:val="Header"/>
        <w:tabs>
          <w:tab w:val="clear" w:pos="4153"/>
          <w:tab w:val="clear" w:pos="8306"/>
        </w:tabs>
        <w:jc w:val="center"/>
        <w:rPr>
          <w:rFonts w:ascii="Arial" w:hAnsi="Arial" w:cs="Arial"/>
          <w:szCs w:val="24"/>
        </w:rPr>
      </w:pPr>
    </w:p>
    <w:p w:rsidR="00486653" w:rsidRDefault="00486653" w:rsidP="00486653">
      <w:pPr>
        <w:pStyle w:val="Heading2"/>
        <w:rPr>
          <w:sz w:val="24"/>
          <w:szCs w:val="24"/>
        </w:rPr>
      </w:pPr>
      <w:bookmarkStart w:id="1" w:name="EDisclaimer"/>
      <w:bookmarkStart w:id="2" w:name="HBody"/>
      <w:bookmarkStart w:id="3" w:name="LReferences"/>
      <w:bookmarkStart w:id="4" w:name="NRulingRef"/>
      <w:bookmarkStart w:id="5" w:name="OSubjectRef"/>
      <w:bookmarkStart w:id="6" w:name="PLegrefText"/>
      <w:bookmarkStart w:id="7" w:name="QLegref"/>
      <w:bookmarkStart w:id="8" w:name="RCaseRefText"/>
      <w:bookmarkStart w:id="9" w:name="SCaseRef"/>
      <w:bookmarkStart w:id="10" w:name="VISSN"/>
      <w:bookmarkEnd w:id="0"/>
      <w:bookmarkEnd w:id="1"/>
      <w:bookmarkEnd w:id="2"/>
      <w:bookmarkEnd w:id="3"/>
      <w:bookmarkEnd w:id="4"/>
      <w:bookmarkEnd w:id="5"/>
      <w:bookmarkEnd w:id="6"/>
      <w:bookmarkEnd w:id="7"/>
      <w:bookmarkEnd w:id="8"/>
      <w:bookmarkEnd w:id="9"/>
      <w:bookmarkEnd w:id="10"/>
      <w:r w:rsidRPr="005E6CCE">
        <w:rPr>
          <w:sz w:val="24"/>
          <w:szCs w:val="24"/>
        </w:rPr>
        <w:t>General Outline of Instrument</w:t>
      </w:r>
    </w:p>
    <w:p w:rsidR="00486653" w:rsidRPr="00E72FC7" w:rsidRDefault="00486653" w:rsidP="00486653"/>
    <w:p w:rsidR="00486653" w:rsidRDefault="00486653" w:rsidP="00486653">
      <w:pPr>
        <w:numPr>
          <w:ilvl w:val="0"/>
          <w:numId w:val="16"/>
        </w:numPr>
        <w:spacing w:after="120"/>
        <w:rPr>
          <w:rFonts w:ascii="Arial" w:hAnsi="Arial" w:cs="Arial"/>
          <w:sz w:val="22"/>
          <w:szCs w:val="22"/>
        </w:rPr>
      </w:pPr>
      <w:bookmarkStart w:id="11" w:name="IComments"/>
      <w:r>
        <w:rPr>
          <w:rFonts w:ascii="Arial" w:hAnsi="Arial" w:cs="Arial"/>
          <w:sz w:val="22"/>
          <w:szCs w:val="22"/>
        </w:rPr>
        <w:t xml:space="preserve">This </w:t>
      </w:r>
      <w:r w:rsidR="00B94253">
        <w:rPr>
          <w:rFonts w:ascii="Arial" w:hAnsi="Arial" w:cs="Arial"/>
          <w:sz w:val="22"/>
          <w:szCs w:val="22"/>
        </w:rPr>
        <w:t>Standard</w:t>
      </w:r>
      <w:r>
        <w:rPr>
          <w:rFonts w:ascii="Arial" w:hAnsi="Arial" w:cs="Arial"/>
          <w:sz w:val="22"/>
          <w:szCs w:val="22"/>
        </w:rPr>
        <w:t xml:space="preserve"> is made </w:t>
      </w:r>
      <w:r w:rsidRPr="00A37352">
        <w:rPr>
          <w:rFonts w:ascii="Arial" w:hAnsi="Arial" w:cs="Arial"/>
          <w:sz w:val="22"/>
          <w:szCs w:val="22"/>
        </w:rPr>
        <w:t>under</w:t>
      </w:r>
      <w:r w:rsidR="00B94253">
        <w:rPr>
          <w:rFonts w:ascii="Arial" w:hAnsi="Arial" w:cs="Arial"/>
          <w:sz w:val="22"/>
          <w:szCs w:val="22"/>
        </w:rPr>
        <w:t xml:space="preserve"> subsection </w:t>
      </w:r>
      <w:proofErr w:type="gramStart"/>
      <w:r w:rsidR="00B94253">
        <w:rPr>
          <w:rFonts w:ascii="Arial" w:hAnsi="Arial" w:cs="Arial"/>
          <w:sz w:val="22"/>
          <w:szCs w:val="22"/>
        </w:rPr>
        <w:t>34K(</w:t>
      </w:r>
      <w:proofErr w:type="gramEnd"/>
      <w:r w:rsidR="00B94253">
        <w:rPr>
          <w:rFonts w:ascii="Arial" w:hAnsi="Arial" w:cs="Arial"/>
          <w:sz w:val="22"/>
          <w:szCs w:val="22"/>
        </w:rPr>
        <w:t xml:space="preserve">3) of the </w:t>
      </w:r>
      <w:r w:rsidR="00B94253" w:rsidRPr="000B5CEB">
        <w:rPr>
          <w:rFonts w:ascii="Arial" w:hAnsi="Arial" w:cs="Arial"/>
          <w:i/>
          <w:sz w:val="22"/>
          <w:szCs w:val="22"/>
        </w:rPr>
        <w:t>Superannuation Industry (Supervision) Act 1993</w:t>
      </w:r>
      <w:r w:rsidR="00BE066D">
        <w:rPr>
          <w:rFonts w:ascii="Arial" w:hAnsi="Arial" w:cs="Arial"/>
          <w:sz w:val="22"/>
          <w:szCs w:val="22"/>
        </w:rPr>
        <w:t xml:space="preserve"> (SISA)</w:t>
      </w:r>
      <w:r w:rsidR="00B94253">
        <w:rPr>
          <w:rFonts w:ascii="Arial" w:hAnsi="Arial" w:cs="Arial"/>
          <w:sz w:val="22"/>
          <w:szCs w:val="22"/>
        </w:rPr>
        <w:t>.</w:t>
      </w:r>
    </w:p>
    <w:p w:rsidR="00CF1DFA" w:rsidRDefault="00CF1DFA" w:rsidP="00CF1DFA">
      <w:pPr>
        <w:spacing w:after="120"/>
        <w:ind w:left="720"/>
        <w:rPr>
          <w:rFonts w:ascii="Arial" w:hAnsi="Arial" w:cs="Arial"/>
          <w:sz w:val="22"/>
          <w:szCs w:val="22"/>
        </w:rPr>
      </w:pPr>
    </w:p>
    <w:p w:rsidR="00CF1DFA" w:rsidRPr="00CF1DFA" w:rsidRDefault="00CF1DFA" w:rsidP="00CF1DFA">
      <w:pPr>
        <w:numPr>
          <w:ilvl w:val="0"/>
          <w:numId w:val="16"/>
        </w:numPr>
        <w:spacing w:after="120"/>
        <w:rPr>
          <w:rFonts w:ascii="Arial" w:hAnsi="Arial" w:cs="Arial"/>
          <w:sz w:val="22"/>
          <w:szCs w:val="22"/>
        </w:rPr>
      </w:pPr>
      <w:r w:rsidRPr="00CF1DFA">
        <w:rPr>
          <w:rFonts w:ascii="Arial" w:hAnsi="Arial" w:cs="Arial"/>
          <w:sz w:val="22"/>
          <w:szCs w:val="22"/>
        </w:rPr>
        <w:t>This Standard amends clause</w:t>
      </w:r>
      <w:r w:rsidR="008B412B">
        <w:rPr>
          <w:rFonts w:ascii="Arial" w:hAnsi="Arial" w:cs="Arial"/>
          <w:sz w:val="22"/>
          <w:szCs w:val="22"/>
        </w:rPr>
        <w:t xml:space="preserve"> </w:t>
      </w:r>
      <w:r w:rsidRPr="00CF1DFA">
        <w:rPr>
          <w:rFonts w:ascii="Arial" w:hAnsi="Arial" w:cs="Arial"/>
          <w:sz w:val="22"/>
          <w:szCs w:val="22"/>
        </w:rPr>
        <w:t xml:space="preserve">5 of the </w:t>
      </w:r>
      <w:r w:rsidRPr="00CF1DFA">
        <w:rPr>
          <w:rFonts w:ascii="Arial" w:hAnsi="Arial" w:cs="Arial"/>
          <w:i/>
          <w:iCs/>
          <w:sz w:val="22"/>
          <w:szCs w:val="22"/>
        </w:rPr>
        <w:t>Superannuation Data and Payment Standards</w:t>
      </w:r>
      <w:r w:rsidRPr="00CF1DFA">
        <w:rPr>
          <w:rFonts w:ascii="Arial" w:hAnsi="Arial" w:cs="Arial"/>
          <w:sz w:val="22"/>
          <w:szCs w:val="22"/>
        </w:rPr>
        <w:t xml:space="preserve"> </w:t>
      </w:r>
      <w:r w:rsidR="00181475" w:rsidRPr="008813EB">
        <w:rPr>
          <w:rFonts w:ascii="Arial" w:hAnsi="Arial" w:cs="Arial"/>
          <w:iCs/>
          <w:sz w:val="22"/>
          <w:szCs w:val="22"/>
        </w:rPr>
        <w:t>(F2014C00783).</w:t>
      </w:r>
    </w:p>
    <w:p w:rsidR="008C66CC" w:rsidRPr="00CF1DFA" w:rsidRDefault="008C66CC" w:rsidP="00CF1DFA">
      <w:pPr>
        <w:spacing w:after="120"/>
        <w:ind w:left="720"/>
        <w:rPr>
          <w:rFonts w:ascii="Arial" w:hAnsi="Arial" w:cs="Arial"/>
          <w:sz w:val="22"/>
          <w:szCs w:val="22"/>
        </w:rPr>
      </w:pPr>
    </w:p>
    <w:p w:rsidR="00486653" w:rsidRPr="00E524D9" w:rsidRDefault="00E66FCE" w:rsidP="00486653">
      <w:pPr>
        <w:numPr>
          <w:ilvl w:val="0"/>
          <w:numId w:val="16"/>
        </w:numPr>
        <w:spacing w:after="120"/>
        <w:rPr>
          <w:rFonts w:ascii="Arial" w:hAnsi="Arial" w:cs="Arial"/>
          <w:sz w:val="22"/>
          <w:szCs w:val="22"/>
        </w:rPr>
      </w:pPr>
      <w:r>
        <w:rPr>
          <w:rFonts w:ascii="Arial" w:hAnsi="Arial" w:cs="Arial"/>
          <w:sz w:val="22"/>
          <w:szCs w:val="22"/>
        </w:rPr>
        <w:t>This Standard</w:t>
      </w:r>
      <w:r w:rsidR="00486653">
        <w:rPr>
          <w:rFonts w:ascii="Arial" w:hAnsi="Arial" w:cs="Arial"/>
          <w:sz w:val="22"/>
          <w:szCs w:val="22"/>
        </w:rPr>
        <w:t xml:space="preserve"> is a legislative instrument for the purposes of the </w:t>
      </w:r>
      <w:r w:rsidR="00B80099">
        <w:rPr>
          <w:rFonts w:ascii="Arial" w:hAnsi="Arial" w:cs="Arial"/>
          <w:i/>
          <w:sz w:val="22"/>
          <w:szCs w:val="22"/>
        </w:rPr>
        <w:t>Legislation</w:t>
      </w:r>
      <w:r w:rsidR="00486653">
        <w:rPr>
          <w:rFonts w:ascii="Arial" w:hAnsi="Arial" w:cs="Arial"/>
          <w:i/>
          <w:sz w:val="22"/>
          <w:szCs w:val="22"/>
        </w:rPr>
        <w:t xml:space="preserve"> Act 2003</w:t>
      </w:r>
      <w:r w:rsidR="00531879">
        <w:rPr>
          <w:rFonts w:ascii="Arial" w:hAnsi="Arial" w:cs="Arial"/>
          <w:sz w:val="22"/>
          <w:szCs w:val="22"/>
        </w:rPr>
        <w:t xml:space="preserve"> (LA)</w:t>
      </w:r>
      <w:r w:rsidR="00486653">
        <w:rPr>
          <w:rFonts w:ascii="Arial" w:hAnsi="Arial" w:cs="Arial"/>
          <w:sz w:val="22"/>
          <w:szCs w:val="22"/>
        </w:rPr>
        <w:t>.</w:t>
      </w:r>
    </w:p>
    <w:p w:rsidR="00486653" w:rsidRPr="00081FDE" w:rsidRDefault="00486653" w:rsidP="00486653">
      <w:pPr>
        <w:spacing w:after="120"/>
        <w:rPr>
          <w:rFonts w:ascii="Arial" w:hAnsi="Arial" w:cs="Arial"/>
          <w:sz w:val="22"/>
          <w:szCs w:val="22"/>
        </w:rPr>
      </w:pPr>
    </w:p>
    <w:bookmarkEnd w:id="11"/>
    <w:p w:rsidR="00486653" w:rsidRPr="00942A85" w:rsidRDefault="00486653" w:rsidP="00942A85">
      <w:pPr>
        <w:pStyle w:val="Heading2"/>
        <w:rPr>
          <w:sz w:val="24"/>
          <w:szCs w:val="24"/>
        </w:rPr>
      </w:pPr>
      <w:r w:rsidRPr="005E6CCE">
        <w:rPr>
          <w:sz w:val="24"/>
          <w:szCs w:val="24"/>
        </w:rPr>
        <w:t xml:space="preserve">Date </w:t>
      </w:r>
      <w:r w:rsidRPr="00DC656D">
        <w:rPr>
          <w:sz w:val="24"/>
          <w:szCs w:val="24"/>
        </w:rPr>
        <w:t>of effect</w:t>
      </w:r>
    </w:p>
    <w:p w:rsidR="00942A85" w:rsidRPr="00942A85" w:rsidRDefault="0038611C" w:rsidP="0038611C">
      <w:pPr>
        <w:numPr>
          <w:ilvl w:val="0"/>
          <w:numId w:val="16"/>
        </w:numPr>
        <w:spacing w:before="100" w:beforeAutospacing="1" w:after="120"/>
        <w:rPr>
          <w:rFonts w:ascii="Helvetica Neue" w:hAnsi="Helvetica Neue"/>
          <w:color w:val="000000"/>
          <w:sz w:val="19"/>
          <w:szCs w:val="19"/>
        </w:rPr>
      </w:pPr>
      <w:r w:rsidRPr="0038611C">
        <w:rPr>
          <w:rFonts w:ascii="Arial" w:hAnsi="Arial" w:cs="Arial"/>
          <w:sz w:val="22"/>
          <w:szCs w:val="22"/>
        </w:rPr>
        <w:t>This Standard commences on the day after its registration on the Federal Register of Legislative Instruments.</w:t>
      </w:r>
    </w:p>
    <w:p w:rsidR="00942A85" w:rsidRDefault="00942A85" w:rsidP="00942A85">
      <w:pPr>
        <w:pStyle w:val="Heading2"/>
        <w:rPr>
          <w:rFonts w:ascii="Helvetica Neue" w:hAnsi="Helvetica Neue"/>
          <w:sz w:val="24"/>
          <w:szCs w:val="24"/>
        </w:rPr>
      </w:pPr>
    </w:p>
    <w:p w:rsidR="00942A85" w:rsidRPr="00942A85" w:rsidRDefault="00942A85" w:rsidP="00942A85">
      <w:pPr>
        <w:pStyle w:val="Heading2"/>
        <w:rPr>
          <w:rFonts w:ascii="Helvetica Neue" w:hAnsi="Helvetica Neue"/>
          <w:sz w:val="36"/>
          <w:szCs w:val="36"/>
        </w:rPr>
      </w:pPr>
      <w:r>
        <w:rPr>
          <w:rFonts w:ascii="Helvetica Neue" w:hAnsi="Helvetica Neue"/>
          <w:sz w:val="24"/>
          <w:szCs w:val="24"/>
        </w:rPr>
        <w:t>Application</w:t>
      </w:r>
    </w:p>
    <w:p w:rsidR="00430FF5" w:rsidRPr="00430FF5" w:rsidRDefault="00942A85" w:rsidP="00430FF5">
      <w:pPr>
        <w:numPr>
          <w:ilvl w:val="0"/>
          <w:numId w:val="16"/>
        </w:numPr>
        <w:spacing w:before="100" w:beforeAutospacing="1" w:after="120"/>
        <w:rPr>
          <w:rFonts w:ascii="Helvetica Neue" w:hAnsi="Helvetica Neue"/>
          <w:color w:val="000000"/>
          <w:sz w:val="19"/>
          <w:szCs w:val="19"/>
        </w:rPr>
      </w:pPr>
      <w:r w:rsidRPr="00942A85">
        <w:rPr>
          <w:rFonts w:ascii="Arial" w:hAnsi="Arial" w:cs="Arial"/>
          <w:sz w:val="22"/>
          <w:szCs w:val="22"/>
        </w:rPr>
        <w:t xml:space="preserve">This Standard applies to employers and trustees of superannuation entities who are required to comply with the requirements of the </w:t>
      </w:r>
      <w:r w:rsidRPr="00942A85">
        <w:rPr>
          <w:rFonts w:ascii="Arial" w:hAnsi="Arial" w:cs="Arial"/>
          <w:i/>
          <w:iCs/>
          <w:sz w:val="22"/>
          <w:szCs w:val="22"/>
        </w:rPr>
        <w:t xml:space="preserve">Superannuation Data and Payment Standards </w:t>
      </w:r>
      <w:r w:rsidRPr="00335E4E">
        <w:rPr>
          <w:rFonts w:ascii="Arial" w:hAnsi="Arial" w:cs="Arial"/>
          <w:i/>
          <w:sz w:val="22"/>
          <w:szCs w:val="22"/>
        </w:rPr>
        <w:t>2012</w:t>
      </w:r>
      <w:r w:rsidR="00191B6C">
        <w:rPr>
          <w:rFonts w:ascii="Arial" w:hAnsi="Arial" w:cs="Arial"/>
          <w:sz w:val="22"/>
          <w:szCs w:val="22"/>
        </w:rPr>
        <w:t xml:space="preserve"> (the Standard)</w:t>
      </w:r>
      <w:r w:rsidRPr="00430FF5">
        <w:rPr>
          <w:rFonts w:ascii="Arial" w:hAnsi="Arial" w:cs="Arial"/>
          <w:sz w:val="22"/>
          <w:szCs w:val="22"/>
        </w:rPr>
        <w:t>.</w:t>
      </w:r>
    </w:p>
    <w:p w:rsidR="00430FF5" w:rsidRDefault="00430FF5" w:rsidP="00430FF5">
      <w:pPr>
        <w:pStyle w:val="Heading2"/>
        <w:rPr>
          <w:rFonts w:ascii="Helvetica Neue" w:hAnsi="Helvetica Neue"/>
          <w:b w:val="0"/>
          <w:color w:val="000000"/>
          <w:sz w:val="19"/>
          <w:szCs w:val="19"/>
        </w:rPr>
      </w:pPr>
    </w:p>
    <w:p w:rsidR="00430FF5" w:rsidRPr="00430FF5" w:rsidRDefault="00430FF5" w:rsidP="00430FF5">
      <w:pPr>
        <w:pStyle w:val="Heading2"/>
        <w:rPr>
          <w:rFonts w:ascii="Helvetica Neue" w:hAnsi="Helvetica Neue"/>
          <w:sz w:val="36"/>
          <w:szCs w:val="36"/>
        </w:rPr>
      </w:pPr>
      <w:r>
        <w:rPr>
          <w:rFonts w:ascii="Helvetica Neue" w:hAnsi="Helvetica Neue"/>
          <w:sz w:val="24"/>
          <w:szCs w:val="24"/>
        </w:rPr>
        <w:t>What does this Standard do?</w:t>
      </w:r>
    </w:p>
    <w:p w:rsidR="00942A85" w:rsidRPr="00430FF5" w:rsidRDefault="00430FF5" w:rsidP="00430FF5">
      <w:pPr>
        <w:numPr>
          <w:ilvl w:val="0"/>
          <w:numId w:val="16"/>
        </w:numPr>
        <w:spacing w:before="100" w:beforeAutospacing="1" w:after="120"/>
        <w:rPr>
          <w:rFonts w:ascii="Arial" w:hAnsi="Arial" w:cs="Arial"/>
          <w:color w:val="000000"/>
          <w:sz w:val="22"/>
          <w:szCs w:val="22"/>
        </w:rPr>
      </w:pPr>
      <w:r>
        <w:rPr>
          <w:rFonts w:ascii="Arial" w:hAnsi="Arial" w:cs="Arial"/>
          <w:color w:val="000000"/>
          <w:sz w:val="22"/>
          <w:szCs w:val="22"/>
        </w:rPr>
        <w:t xml:space="preserve">This Standard extends the application of the </w:t>
      </w:r>
      <w:r w:rsidRPr="00942A85">
        <w:rPr>
          <w:rFonts w:ascii="Arial" w:hAnsi="Arial" w:cs="Arial"/>
          <w:i/>
          <w:iCs/>
          <w:sz w:val="22"/>
          <w:szCs w:val="22"/>
        </w:rPr>
        <w:t xml:space="preserve">Superannuation Data and Payment Standards </w:t>
      </w:r>
      <w:r w:rsidRPr="00335E4E">
        <w:rPr>
          <w:rFonts w:ascii="Arial" w:hAnsi="Arial" w:cs="Arial"/>
          <w:i/>
          <w:sz w:val="22"/>
          <w:szCs w:val="22"/>
        </w:rPr>
        <w:t>2012</w:t>
      </w:r>
      <w:r>
        <w:rPr>
          <w:rFonts w:ascii="Arial" w:hAnsi="Arial" w:cs="Arial"/>
          <w:sz w:val="22"/>
          <w:szCs w:val="22"/>
        </w:rPr>
        <w:t xml:space="preserve"> to rollover </w:t>
      </w:r>
      <w:r w:rsidR="00171526">
        <w:rPr>
          <w:rFonts w:ascii="Arial" w:hAnsi="Arial" w:cs="Arial"/>
          <w:sz w:val="22"/>
          <w:szCs w:val="22"/>
        </w:rPr>
        <w:t xml:space="preserve">superannuation benefits </w:t>
      </w:r>
      <w:r>
        <w:rPr>
          <w:rFonts w:ascii="Arial" w:hAnsi="Arial" w:cs="Arial"/>
          <w:sz w:val="22"/>
          <w:szCs w:val="22"/>
        </w:rPr>
        <w:t xml:space="preserve">and contribution payments made </w:t>
      </w:r>
      <w:r w:rsidR="00710A6F">
        <w:rPr>
          <w:rFonts w:ascii="Arial" w:hAnsi="Arial" w:cs="Arial"/>
          <w:sz w:val="22"/>
          <w:szCs w:val="22"/>
        </w:rPr>
        <w:t xml:space="preserve">between </w:t>
      </w:r>
      <w:r>
        <w:rPr>
          <w:rFonts w:ascii="Arial" w:hAnsi="Arial" w:cs="Arial"/>
          <w:sz w:val="22"/>
          <w:szCs w:val="22"/>
        </w:rPr>
        <w:t xml:space="preserve">the Commissioner of Taxation </w:t>
      </w:r>
      <w:r w:rsidR="00710A6F">
        <w:rPr>
          <w:rFonts w:ascii="Arial" w:hAnsi="Arial" w:cs="Arial"/>
          <w:sz w:val="22"/>
          <w:szCs w:val="22"/>
        </w:rPr>
        <w:t>and</w:t>
      </w:r>
      <w:r>
        <w:rPr>
          <w:rFonts w:ascii="Arial" w:hAnsi="Arial" w:cs="Arial"/>
          <w:sz w:val="22"/>
          <w:szCs w:val="22"/>
        </w:rPr>
        <w:t xml:space="preserve"> APRA-regulated superannuation entities. </w:t>
      </w:r>
    </w:p>
    <w:p w:rsidR="00430FF5" w:rsidRDefault="00430FF5" w:rsidP="00430FF5">
      <w:pPr>
        <w:spacing w:before="100" w:beforeAutospacing="1" w:after="120"/>
        <w:ind w:left="720"/>
        <w:rPr>
          <w:rFonts w:ascii="Arial" w:hAnsi="Arial" w:cs="Arial"/>
          <w:sz w:val="22"/>
          <w:szCs w:val="22"/>
        </w:rPr>
      </w:pPr>
    </w:p>
    <w:p w:rsidR="00430FF5" w:rsidRPr="00430FF5" w:rsidRDefault="00430FF5" w:rsidP="00430FF5">
      <w:pPr>
        <w:pStyle w:val="Heading2"/>
        <w:rPr>
          <w:sz w:val="24"/>
          <w:szCs w:val="24"/>
        </w:rPr>
      </w:pPr>
      <w:r w:rsidRPr="005E6CCE">
        <w:rPr>
          <w:sz w:val="24"/>
          <w:szCs w:val="24"/>
        </w:rPr>
        <w:t>Background</w:t>
      </w:r>
    </w:p>
    <w:p w:rsidR="00D0111C" w:rsidRPr="00D0111C" w:rsidRDefault="00D0111C" w:rsidP="00D0111C">
      <w:pPr>
        <w:numPr>
          <w:ilvl w:val="0"/>
          <w:numId w:val="16"/>
        </w:numPr>
        <w:spacing w:before="100" w:beforeAutospacing="1" w:after="120"/>
        <w:rPr>
          <w:rFonts w:ascii="Arial" w:hAnsi="Arial" w:cs="Arial"/>
          <w:color w:val="000000"/>
          <w:sz w:val="22"/>
          <w:szCs w:val="22"/>
        </w:rPr>
      </w:pPr>
      <w:r>
        <w:rPr>
          <w:rFonts w:ascii="Arial" w:hAnsi="Arial" w:cs="Arial"/>
          <w:sz w:val="22"/>
          <w:szCs w:val="22"/>
        </w:rPr>
        <w:t xml:space="preserve">The Commissioner of Taxation administers a range of taxation laws that require the Commissioner to make rollover </w:t>
      </w:r>
      <w:r w:rsidR="00191B6C">
        <w:rPr>
          <w:rFonts w:ascii="Arial" w:hAnsi="Arial" w:cs="Arial"/>
          <w:sz w:val="22"/>
          <w:szCs w:val="22"/>
        </w:rPr>
        <w:t xml:space="preserve">superannuation benefits </w:t>
      </w:r>
      <w:r>
        <w:rPr>
          <w:rFonts w:ascii="Arial" w:hAnsi="Arial" w:cs="Arial"/>
          <w:sz w:val="22"/>
          <w:szCs w:val="22"/>
        </w:rPr>
        <w:t>and contribution payments to superannuation entities in certain circumstances.</w:t>
      </w:r>
    </w:p>
    <w:p w:rsidR="00430FF5" w:rsidRPr="00430FF5" w:rsidRDefault="00D0111C" w:rsidP="00430FF5">
      <w:pPr>
        <w:numPr>
          <w:ilvl w:val="0"/>
          <w:numId w:val="16"/>
        </w:numPr>
        <w:spacing w:before="100" w:beforeAutospacing="1" w:after="120"/>
        <w:rPr>
          <w:rFonts w:ascii="Arial" w:hAnsi="Arial" w:cs="Arial"/>
          <w:color w:val="000000"/>
          <w:sz w:val="22"/>
          <w:szCs w:val="22"/>
        </w:rPr>
      </w:pPr>
      <w:r>
        <w:rPr>
          <w:rFonts w:ascii="Arial" w:hAnsi="Arial" w:cs="Arial"/>
          <w:color w:val="000000"/>
          <w:sz w:val="22"/>
          <w:szCs w:val="22"/>
        </w:rPr>
        <w:lastRenderedPageBreak/>
        <w:t>Payments of unclaimed superannuation money by the Commissioner to a superannuation entity are rollover superannuation benefits</w:t>
      </w:r>
      <w:r w:rsidR="0088688F">
        <w:rPr>
          <w:rFonts w:ascii="Arial" w:hAnsi="Arial" w:cs="Arial"/>
          <w:color w:val="000000"/>
          <w:sz w:val="22"/>
          <w:szCs w:val="22"/>
        </w:rPr>
        <w:t xml:space="preserve"> for the purposes of the </w:t>
      </w:r>
      <w:r w:rsidR="0088688F" w:rsidRPr="00335E4E">
        <w:rPr>
          <w:rFonts w:ascii="Arial" w:hAnsi="Arial" w:cs="Arial"/>
          <w:i/>
          <w:color w:val="000000"/>
          <w:sz w:val="22"/>
          <w:szCs w:val="22"/>
        </w:rPr>
        <w:t>Income Tax Assessment Act 1997</w:t>
      </w:r>
      <w:r w:rsidR="00321E22">
        <w:rPr>
          <w:rFonts w:ascii="Arial" w:hAnsi="Arial" w:cs="Arial"/>
          <w:color w:val="000000"/>
          <w:sz w:val="22"/>
          <w:szCs w:val="22"/>
        </w:rPr>
        <w:t xml:space="preserve"> (ITAA 1997)</w:t>
      </w:r>
      <w:r>
        <w:rPr>
          <w:rStyle w:val="FootnoteReference"/>
          <w:rFonts w:ascii="Arial" w:hAnsi="Arial" w:cs="Arial"/>
          <w:color w:val="000000"/>
          <w:sz w:val="22"/>
          <w:szCs w:val="22"/>
        </w:rPr>
        <w:footnoteReference w:id="1"/>
      </w:r>
      <w:r>
        <w:rPr>
          <w:rFonts w:ascii="Arial" w:hAnsi="Arial" w:cs="Arial"/>
          <w:color w:val="000000"/>
          <w:sz w:val="22"/>
          <w:szCs w:val="22"/>
        </w:rPr>
        <w:t>.</w:t>
      </w:r>
    </w:p>
    <w:p w:rsidR="00D0111C" w:rsidRPr="00D0111C" w:rsidRDefault="00D0111C" w:rsidP="00D0111C">
      <w:pPr>
        <w:numPr>
          <w:ilvl w:val="0"/>
          <w:numId w:val="16"/>
        </w:numPr>
        <w:spacing w:before="100" w:beforeAutospacing="1" w:after="120"/>
        <w:rPr>
          <w:rFonts w:ascii="Arial" w:hAnsi="Arial" w:cs="Arial"/>
          <w:color w:val="000000"/>
          <w:sz w:val="22"/>
          <w:szCs w:val="22"/>
        </w:rPr>
      </w:pPr>
      <w:r>
        <w:rPr>
          <w:rFonts w:ascii="Arial" w:hAnsi="Arial" w:cs="Arial"/>
          <w:color w:val="000000"/>
          <w:sz w:val="22"/>
          <w:szCs w:val="22"/>
        </w:rPr>
        <w:t>Contribution payments made by the Commissioner to superannuation entities may include payments made under the following Acts:</w:t>
      </w:r>
    </w:p>
    <w:p w:rsidR="00430FF5" w:rsidRDefault="00D0111C" w:rsidP="00D0111C">
      <w:pPr>
        <w:pStyle w:val="ListParagraph"/>
        <w:numPr>
          <w:ilvl w:val="0"/>
          <w:numId w:val="46"/>
        </w:numPr>
        <w:spacing w:before="100" w:beforeAutospacing="1" w:after="120"/>
        <w:rPr>
          <w:rFonts w:ascii="Arial" w:hAnsi="Arial" w:cs="Arial"/>
          <w:i/>
          <w:color w:val="000000"/>
        </w:rPr>
      </w:pPr>
      <w:r w:rsidRPr="00D0111C">
        <w:rPr>
          <w:rFonts w:ascii="Arial" w:hAnsi="Arial" w:cs="Arial"/>
          <w:i/>
          <w:color w:val="000000"/>
        </w:rPr>
        <w:t>Superannuation Guarantee (Administration) Act 1992</w:t>
      </w:r>
    </w:p>
    <w:p w:rsidR="0073063C" w:rsidRDefault="0073063C" w:rsidP="00D0111C">
      <w:pPr>
        <w:pStyle w:val="ListParagraph"/>
        <w:numPr>
          <w:ilvl w:val="0"/>
          <w:numId w:val="46"/>
        </w:numPr>
        <w:spacing w:before="100" w:beforeAutospacing="1" w:after="120"/>
        <w:rPr>
          <w:rFonts w:ascii="Arial" w:hAnsi="Arial" w:cs="Arial"/>
          <w:i/>
          <w:color w:val="000000"/>
        </w:rPr>
      </w:pPr>
      <w:r>
        <w:rPr>
          <w:rFonts w:ascii="Arial" w:hAnsi="Arial" w:cs="Arial"/>
          <w:i/>
          <w:color w:val="000000"/>
        </w:rPr>
        <w:t>Small Superannuation Accounts Act 1995</w:t>
      </w:r>
    </w:p>
    <w:p w:rsidR="008C26A1" w:rsidRDefault="008C26A1" w:rsidP="008C26A1">
      <w:pPr>
        <w:pStyle w:val="ListParagraph"/>
        <w:numPr>
          <w:ilvl w:val="0"/>
          <w:numId w:val="46"/>
        </w:numPr>
        <w:spacing w:before="100" w:beforeAutospacing="1" w:after="120"/>
        <w:rPr>
          <w:rFonts w:ascii="Arial" w:hAnsi="Arial" w:cs="Arial"/>
          <w:i/>
          <w:color w:val="000000"/>
        </w:rPr>
      </w:pPr>
      <w:r>
        <w:rPr>
          <w:rFonts w:ascii="Arial" w:hAnsi="Arial" w:cs="Arial"/>
          <w:i/>
          <w:color w:val="000000"/>
        </w:rPr>
        <w:t>Superannuation (Unclaimed Money and Lost Members) Act 1999</w:t>
      </w:r>
      <w:r w:rsidRPr="008C26A1">
        <w:rPr>
          <w:rFonts w:ascii="Arial" w:hAnsi="Arial" w:cs="Arial"/>
          <w:i/>
          <w:color w:val="000000"/>
        </w:rPr>
        <w:t xml:space="preserve"> </w:t>
      </w:r>
    </w:p>
    <w:p w:rsidR="008C26A1" w:rsidRPr="008C26A1" w:rsidRDefault="008C26A1" w:rsidP="008C26A1">
      <w:pPr>
        <w:pStyle w:val="ListParagraph"/>
        <w:numPr>
          <w:ilvl w:val="0"/>
          <w:numId w:val="46"/>
        </w:numPr>
        <w:spacing w:before="100" w:beforeAutospacing="1" w:after="120"/>
        <w:rPr>
          <w:rFonts w:ascii="Arial" w:hAnsi="Arial" w:cs="Arial"/>
          <w:i/>
          <w:color w:val="000000"/>
        </w:rPr>
      </w:pPr>
      <w:r>
        <w:rPr>
          <w:rFonts w:ascii="Arial" w:hAnsi="Arial" w:cs="Arial"/>
          <w:i/>
          <w:color w:val="000000"/>
        </w:rPr>
        <w:t>Superannuation (Government Co-Contribution for Low Income Earners) Act 2003</w:t>
      </w:r>
    </w:p>
    <w:p w:rsidR="0073063C" w:rsidRDefault="0073063C" w:rsidP="00430FF5">
      <w:pPr>
        <w:numPr>
          <w:ilvl w:val="0"/>
          <w:numId w:val="16"/>
        </w:numPr>
        <w:spacing w:before="100" w:beforeAutospacing="1" w:after="120"/>
        <w:rPr>
          <w:rFonts w:ascii="Arial" w:hAnsi="Arial" w:cs="Arial"/>
          <w:color w:val="000000"/>
          <w:sz w:val="22"/>
          <w:szCs w:val="22"/>
        </w:rPr>
      </w:pPr>
      <w:r>
        <w:rPr>
          <w:rFonts w:ascii="Arial" w:hAnsi="Arial" w:cs="Arial"/>
          <w:color w:val="000000"/>
          <w:sz w:val="22"/>
          <w:szCs w:val="22"/>
        </w:rPr>
        <w:t xml:space="preserve">The Commissioner </w:t>
      </w:r>
      <w:r w:rsidR="0088688F">
        <w:rPr>
          <w:rFonts w:ascii="Arial" w:hAnsi="Arial" w:cs="Arial"/>
          <w:color w:val="000000"/>
          <w:sz w:val="22"/>
          <w:szCs w:val="22"/>
        </w:rPr>
        <w:t>will</w:t>
      </w:r>
      <w:r>
        <w:rPr>
          <w:rFonts w:ascii="Arial" w:hAnsi="Arial" w:cs="Arial"/>
          <w:color w:val="000000"/>
          <w:sz w:val="22"/>
          <w:szCs w:val="22"/>
        </w:rPr>
        <w:t xml:space="preserve"> adopt the Standard as the channel by which these rollover </w:t>
      </w:r>
      <w:r w:rsidR="00191B6C">
        <w:rPr>
          <w:rFonts w:ascii="Arial" w:hAnsi="Arial" w:cs="Arial"/>
          <w:color w:val="000000"/>
          <w:sz w:val="22"/>
          <w:szCs w:val="22"/>
        </w:rPr>
        <w:t xml:space="preserve">superannuation benefits </w:t>
      </w:r>
      <w:r>
        <w:rPr>
          <w:rFonts w:ascii="Arial" w:hAnsi="Arial" w:cs="Arial"/>
          <w:color w:val="000000"/>
          <w:sz w:val="22"/>
          <w:szCs w:val="22"/>
        </w:rPr>
        <w:t xml:space="preserve">and contribution payments will be made to </w:t>
      </w:r>
      <w:r w:rsidR="00710A6F">
        <w:rPr>
          <w:rFonts w:ascii="Arial" w:hAnsi="Arial" w:cs="Arial"/>
          <w:color w:val="000000"/>
          <w:sz w:val="22"/>
          <w:szCs w:val="22"/>
        </w:rPr>
        <w:t xml:space="preserve">and received from </w:t>
      </w:r>
      <w:r>
        <w:rPr>
          <w:rFonts w:ascii="Arial" w:hAnsi="Arial" w:cs="Arial"/>
          <w:color w:val="000000"/>
          <w:sz w:val="22"/>
          <w:szCs w:val="22"/>
        </w:rPr>
        <w:t>superannuation entities.</w:t>
      </w:r>
    </w:p>
    <w:p w:rsidR="0073063C" w:rsidRDefault="0073063C" w:rsidP="00430FF5">
      <w:pPr>
        <w:numPr>
          <w:ilvl w:val="0"/>
          <w:numId w:val="16"/>
        </w:numPr>
        <w:spacing w:before="100" w:beforeAutospacing="1" w:after="120"/>
        <w:rPr>
          <w:rFonts w:ascii="Arial" w:hAnsi="Arial" w:cs="Arial"/>
          <w:color w:val="000000"/>
          <w:sz w:val="22"/>
          <w:szCs w:val="22"/>
        </w:rPr>
      </w:pPr>
      <w:r>
        <w:rPr>
          <w:rFonts w:ascii="Arial" w:hAnsi="Arial" w:cs="Arial"/>
          <w:color w:val="000000"/>
          <w:sz w:val="22"/>
          <w:szCs w:val="22"/>
        </w:rPr>
        <w:t xml:space="preserve">This will contribute towards the </w:t>
      </w:r>
      <w:r>
        <w:rPr>
          <w:rFonts w:ascii="Arial" w:hAnsi="Arial" w:cs="Arial"/>
          <w:sz w:val="22"/>
          <w:szCs w:val="22"/>
        </w:rPr>
        <w:t xml:space="preserve">underlying object of establishing the Standard which is to enhance beneficiaries’ superannuation interests by increasing efficiency in relation to core transactions such as </w:t>
      </w:r>
      <w:r w:rsidR="008C26A1">
        <w:rPr>
          <w:rFonts w:ascii="Arial" w:hAnsi="Arial" w:cs="Arial"/>
          <w:sz w:val="22"/>
          <w:szCs w:val="22"/>
        </w:rPr>
        <w:t>rollovers and contributions</w:t>
      </w:r>
      <w:r>
        <w:rPr>
          <w:rFonts w:ascii="Arial" w:hAnsi="Arial" w:cs="Arial"/>
          <w:sz w:val="22"/>
          <w:szCs w:val="22"/>
        </w:rPr>
        <w:t xml:space="preserve"> across the superannuation industry</w:t>
      </w:r>
      <w:r w:rsidR="008C26A1">
        <w:rPr>
          <w:rFonts w:ascii="Arial" w:hAnsi="Arial" w:cs="Arial"/>
          <w:color w:val="000000"/>
          <w:sz w:val="22"/>
          <w:szCs w:val="22"/>
        </w:rPr>
        <w:t>.</w:t>
      </w:r>
    </w:p>
    <w:p w:rsidR="00CB4427" w:rsidRDefault="0073063C" w:rsidP="0073063C">
      <w:pPr>
        <w:numPr>
          <w:ilvl w:val="0"/>
          <w:numId w:val="16"/>
        </w:numPr>
        <w:spacing w:before="100" w:beforeAutospacing="1" w:after="120"/>
        <w:rPr>
          <w:rFonts w:ascii="Arial" w:hAnsi="Arial" w:cs="Arial"/>
          <w:color w:val="000000"/>
          <w:sz w:val="22"/>
          <w:szCs w:val="22"/>
        </w:rPr>
      </w:pPr>
      <w:r>
        <w:rPr>
          <w:rFonts w:ascii="Arial" w:hAnsi="Arial" w:cs="Arial"/>
          <w:color w:val="000000"/>
          <w:sz w:val="22"/>
          <w:szCs w:val="22"/>
        </w:rPr>
        <w:t xml:space="preserve">Rollover </w:t>
      </w:r>
      <w:r w:rsidR="00191B6C">
        <w:rPr>
          <w:rFonts w:ascii="Arial" w:hAnsi="Arial" w:cs="Arial"/>
          <w:color w:val="000000"/>
          <w:sz w:val="22"/>
          <w:szCs w:val="22"/>
        </w:rPr>
        <w:t xml:space="preserve">superannuation benefits </w:t>
      </w:r>
      <w:r>
        <w:rPr>
          <w:rFonts w:ascii="Arial" w:hAnsi="Arial" w:cs="Arial"/>
          <w:color w:val="000000"/>
          <w:sz w:val="22"/>
          <w:szCs w:val="22"/>
        </w:rPr>
        <w:t xml:space="preserve">and contribution payments that cannot be allocated for the benefit of a particular member must be </w:t>
      </w:r>
      <w:r w:rsidR="0088688F">
        <w:rPr>
          <w:rFonts w:ascii="Arial" w:hAnsi="Arial" w:cs="Arial"/>
          <w:color w:val="000000"/>
          <w:sz w:val="22"/>
          <w:szCs w:val="22"/>
        </w:rPr>
        <w:t xml:space="preserve">returned </w:t>
      </w:r>
      <w:r>
        <w:rPr>
          <w:rFonts w:ascii="Arial" w:hAnsi="Arial" w:cs="Arial"/>
          <w:color w:val="000000"/>
          <w:sz w:val="22"/>
          <w:szCs w:val="22"/>
        </w:rPr>
        <w:t>to the Commissioner</w:t>
      </w:r>
      <w:r w:rsidR="0088688F">
        <w:rPr>
          <w:rFonts w:ascii="Arial" w:hAnsi="Arial" w:cs="Arial"/>
          <w:color w:val="000000"/>
          <w:sz w:val="22"/>
          <w:szCs w:val="22"/>
        </w:rPr>
        <w:t xml:space="preserve"> using</w:t>
      </w:r>
      <w:r>
        <w:rPr>
          <w:rFonts w:ascii="Arial" w:hAnsi="Arial" w:cs="Arial"/>
          <w:color w:val="000000"/>
          <w:sz w:val="22"/>
          <w:szCs w:val="22"/>
        </w:rPr>
        <w:t xml:space="preserve"> the Payment Variation Advice (PVA)</w:t>
      </w:r>
      <w:r w:rsidR="00CB4427">
        <w:rPr>
          <w:rFonts w:ascii="Arial" w:hAnsi="Arial" w:cs="Arial"/>
          <w:color w:val="000000"/>
          <w:sz w:val="22"/>
          <w:szCs w:val="22"/>
        </w:rPr>
        <w:t>.</w:t>
      </w:r>
    </w:p>
    <w:p w:rsidR="0073063C" w:rsidRPr="0073063C" w:rsidRDefault="0088688F" w:rsidP="0073063C">
      <w:pPr>
        <w:numPr>
          <w:ilvl w:val="0"/>
          <w:numId w:val="16"/>
        </w:numPr>
        <w:spacing w:before="100" w:beforeAutospacing="1" w:after="120"/>
        <w:rPr>
          <w:rFonts w:ascii="Arial" w:hAnsi="Arial" w:cs="Arial"/>
          <w:color w:val="000000"/>
          <w:sz w:val="22"/>
          <w:szCs w:val="22"/>
        </w:rPr>
      </w:pPr>
      <w:r>
        <w:rPr>
          <w:rFonts w:ascii="Arial" w:hAnsi="Arial" w:cs="Arial"/>
          <w:color w:val="000000"/>
          <w:sz w:val="22"/>
          <w:szCs w:val="22"/>
        </w:rPr>
        <w:t xml:space="preserve">The existing </w:t>
      </w:r>
      <w:r w:rsidR="0073063C">
        <w:rPr>
          <w:rFonts w:ascii="Arial" w:hAnsi="Arial" w:cs="Arial"/>
          <w:color w:val="000000"/>
          <w:sz w:val="22"/>
          <w:szCs w:val="22"/>
        </w:rPr>
        <w:t xml:space="preserve">approved form requirements </w:t>
      </w:r>
      <w:r w:rsidR="00CB4427">
        <w:rPr>
          <w:rFonts w:ascii="Arial" w:hAnsi="Arial" w:cs="Arial"/>
          <w:color w:val="000000"/>
          <w:sz w:val="22"/>
          <w:szCs w:val="22"/>
        </w:rPr>
        <w:t xml:space="preserve">for the PVA will integrate the Standard to ensure that any </w:t>
      </w:r>
      <w:r w:rsidR="004557A3">
        <w:rPr>
          <w:rFonts w:ascii="Arial" w:hAnsi="Arial" w:cs="Arial"/>
          <w:color w:val="000000"/>
          <w:sz w:val="22"/>
          <w:szCs w:val="22"/>
        </w:rPr>
        <w:t xml:space="preserve">payments, and associated information </w:t>
      </w:r>
      <w:r w:rsidR="00CB4427">
        <w:rPr>
          <w:rFonts w:ascii="Arial" w:hAnsi="Arial" w:cs="Arial"/>
          <w:color w:val="000000"/>
          <w:sz w:val="22"/>
          <w:szCs w:val="22"/>
        </w:rPr>
        <w:t xml:space="preserve">that must be </w:t>
      </w:r>
      <w:r w:rsidR="004557A3">
        <w:rPr>
          <w:rFonts w:ascii="Arial" w:hAnsi="Arial" w:cs="Arial"/>
          <w:color w:val="000000"/>
          <w:sz w:val="22"/>
          <w:szCs w:val="22"/>
        </w:rPr>
        <w:t>given to the Commissioner, can be provided</w:t>
      </w:r>
      <w:r w:rsidR="00CB4427">
        <w:rPr>
          <w:rFonts w:ascii="Arial" w:hAnsi="Arial" w:cs="Arial"/>
          <w:color w:val="000000"/>
          <w:sz w:val="22"/>
          <w:szCs w:val="22"/>
        </w:rPr>
        <w:t xml:space="preserve"> </w:t>
      </w:r>
      <w:r w:rsidR="004557A3">
        <w:rPr>
          <w:rFonts w:ascii="Arial" w:hAnsi="Arial" w:cs="Arial"/>
          <w:color w:val="000000"/>
          <w:sz w:val="22"/>
          <w:szCs w:val="22"/>
        </w:rPr>
        <w:t>in a manner that is consistent with the Standard.</w:t>
      </w:r>
    </w:p>
    <w:p w:rsidR="00486653" w:rsidRPr="009F31A4" w:rsidRDefault="00486653" w:rsidP="00486653">
      <w:pPr>
        <w:rPr>
          <w:rFonts w:ascii="Arial" w:hAnsi="Arial" w:cs="Arial"/>
        </w:rPr>
      </w:pPr>
    </w:p>
    <w:p w:rsidR="00486653" w:rsidRPr="005E6CCE" w:rsidRDefault="00486653" w:rsidP="00486653">
      <w:pPr>
        <w:pStyle w:val="Heading2"/>
        <w:rPr>
          <w:sz w:val="24"/>
          <w:szCs w:val="24"/>
        </w:rPr>
      </w:pPr>
      <w:r w:rsidRPr="005E6CCE">
        <w:rPr>
          <w:sz w:val="24"/>
          <w:szCs w:val="24"/>
        </w:rPr>
        <w:t>Consultation:</w:t>
      </w:r>
    </w:p>
    <w:p w:rsidR="00486653" w:rsidRPr="000C390A" w:rsidRDefault="00486653" w:rsidP="00486653">
      <w:pPr>
        <w:keepNext/>
        <w:keepLines/>
        <w:rPr>
          <w:rFonts w:ascii="Arial" w:hAnsi="Arial" w:cs="Arial"/>
          <w:color w:val="000000"/>
        </w:rPr>
      </w:pPr>
    </w:p>
    <w:p w:rsidR="00D4679A" w:rsidRDefault="002A1D1B" w:rsidP="00430FF5">
      <w:pPr>
        <w:numPr>
          <w:ilvl w:val="0"/>
          <w:numId w:val="16"/>
        </w:numPr>
        <w:rPr>
          <w:rFonts w:ascii="Arial" w:hAnsi="Arial" w:cs="Arial"/>
          <w:color w:val="000000"/>
        </w:rPr>
      </w:pPr>
      <w:r>
        <w:rPr>
          <w:rFonts w:ascii="Arial" w:hAnsi="Arial" w:cs="Arial"/>
          <w:color w:val="000000"/>
          <w:sz w:val="22"/>
          <w:szCs w:val="22"/>
        </w:rPr>
        <w:t>Section 17 of the LA requires consultation to be undertaken before the making of a legislative instrument if it is appropriate and reasonably practical to do so.</w:t>
      </w:r>
    </w:p>
    <w:p w:rsidR="00D4679A" w:rsidRDefault="00D4679A" w:rsidP="00D4679A">
      <w:pPr>
        <w:ind w:left="720"/>
        <w:rPr>
          <w:rFonts w:ascii="Arial" w:hAnsi="Arial" w:cs="Arial"/>
          <w:color w:val="000000"/>
        </w:rPr>
      </w:pPr>
    </w:p>
    <w:p w:rsidR="00D4679A" w:rsidRPr="00BE1062" w:rsidRDefault="00D4679A" w:rsidP="00430FF5">
      <w:pPr>
        <w:numPr>
          <w:ilvl w:val="0"/>
          <w:numId w:val="16"/>
        </w:numPr>
        <w:rPr>
          <w:rFonts w:ascii="Arial" w:hAnsi="Arial" w:cs="Arial"/>
          <w:color w:val="000000"/>
        </w:rPr>
      </w:pPr>
      <w:r w:rsidRPr="00D4679A">
        <w:rPr>
          <w:rFonts w:ascii="Arial" w:hAnsi="Arial" w:cs="Arial"/>
          <w:color w:val="000000"/>
          <w:sz w:val="22"/>
          <w:szCs w:val="22"/>
        </w:rPr>
        <w:t xml:space="preserve">This Standard was developed in consultation with </w:t>
      </w:r>
      <w:r w:rsidR="00CB4427">
        <w:rPr>
          <w:rFonts w:ascii="Arial" w:hAnsi="Arial" w:cs="Arial"/>
          <w:color w:val="000000"/>
          <w:sz w:val="22"/>
          <w:szCs w:val="22"/>
        </w:rPr>
        <w:t>APRA</w:t>
      </w:r>
      <w:r w:rsidR="00CB4427">
        <w:rPr>
          <w:rStyle w:val="FootnoteReference"/>
          <w:rFonts w:ascii="Arial" w:hAnsi="Arial" w:cs="Arial"/>
          <w:color w:val="000000"/>
          <w:sz w:val="22"/>
          <w:szCs w:val="22"/>
        </w:rPr>
        <w:footnoteReference w:id="2"/>
      </w:r>
      <w:r w:rsidR="00CB4427">
        <w:rPr>
          <w:rFonts w:ascii="Arial" w:hAnsi="Arial" w:cs="Arial"/>
          <w:color w:val="000000"/>
          <w:sz w:val="22"/>
          <w:szCs w:val="22"/>
        </w:rPr>
        <w:t xml:space="preserve"> </w:t>
      </w:r>
      <w:r w:rsidRPr="00D4679A">
        <w:rPr>
          <w:rFonts w:ascii="Arial" w:hAnsi="Arial" w:cs="Arial"/>
          <w:color w:val="000000"/>
          <w:sz w:val="22"/>
          <w:szCs w:val="22"/>
        </w:rPr>
        <w:t xml:space="preserve"> and key industry stakeholders via consultative forums including</w:t>
      </w:r>
      <w:r w:rsidR="00D0111C">
        <w:rPr>
          <w:rFonts w:ascii="Arial" w:hAnsi="Arial" w:cs="Arial"/>
          <w:color w:val="000000"/>
          <w:sz w:val="22"/>
          <w:szCs w:val="22"/>
        </w:rPr>
        <w:t xml:space="preserve"> </w:t>
      </w:r>
      <w:r w:rsidR="00CB4427">
        <w:rPr>
          <w:rFonts w:ascii="Arial" w:hAnsi="Arial" w:cs="Arial"/>
          <w:color w:val="000000"/>
          <w:sz w:val="22"/>
          <w:szCs w:val="22"/>
        </w:rPr>
        <w:t xml:space="preserve">the </w:t>
      </w:r>
      <w:r w:rsidR="000657D5">
        <w:rPr>
          <w:rFonts w:ascii="Arial" w:hAnsi="Arial" w:cs="Arial"/>
          <w:color w:val="000000"/>
          <w:sz w:val="22"/>
          <w:szCs w:val="22"/>
        </w:rPr>
        <w:t>SuperStream Reference Group, Super Industry Relationship Network, Super Administrative Stakeholder Group, SuperStream Standard Technical Committee, Gateway Operators Group, Rollover Implementation Working Group, Software Developer Technical Working Group, and SuperStream Business Engagement Forum.</w:t>
      </w:r>
      <w:r w:rsidR="00BE1062">
        <w:rPr>
          <w:rFonts w:ascii="Arial" w:hAnsi="Arial" w:cs="Arial"/>
          <w:color w:val="000000"/>
          <w:sz w:val="22"/>
          <w:szCs w:val="22"/>
        </w:rPr>
        <w:t xml:space="preserve"> Extending the SuperStream data and payment Standard to </w:t>
      </w:r>
      <w:r w:rsidR="00BE1062">
        <w:rPr>
          <w:rFonts w:ascii="Arial" w:hAnsi="Arial" w:cs="Arial"/>
          <w:sz w:val="22"/>
          <w:szCs w:val="22"/>
        </w:rPr>
        <w:t xml:space="preserve">rollover and contribution payments made </w:t>
      </w:r>
      <w:r w:rsidR="002C3788">
        <w:rPr>
          <w:rFonts w:ascii="Arial" w:hAnsi="Arial" w:cs="Arial"/>
          <w:sz w:val="22"/>
          <w:szCs w:val="22"/>
        </w:rPr>
        <w:t xml:space="preserve">and received </w:t>
      </w:r>
      <w:r w:rsidR="00BE1062">
        <w:rPr>
          <w:rFonts w:ascii="Arial" w:hAnsi="Arial" w:cs="Arial"/>
          <w:sz w:val="22"/>
          <w:szCs w:val="22"/>
        </w:rPr>
        <w:t>by the Commissioner of Taxation is generally supported by key industry stakeholders.</w:t>
      </w:r>
    </w:p>
    <w:p w:rsidR="00BE1062" w:rsidRDefault="00BE1062" w:rsidP="00BE1062">
      <w:pPr>
        <w:rPr>
          <w:rFonts w:ascii="Arial" w:eastAsia="Calibri" w:hAnsi="Arial" w:cs="Arial"/>
          <w:color w:val="000000"/>
          <w:sz w:val="22"/>
          <w:szCs w:val="22"/>
          <w:lang w:eastAsia="en-US"/>
        </w:rPr>
      </w:pPr>
      <w:bookmarkStart w:id="12" w:name="_GoBack"/>
      <w:bookmarkEnd w:id="12"/>
    </w:p>
    <w:p w:rsidR="00BE1062" w:rsidRPr="00D4679A" w:rsidRDefault="00BE1062" w:rsidP="00BE1062">
      <w:pPr>
        <w:rPr>
          <w:rFonts w:ascii="Arial" w:hAnsi="Arial" w:cs="Arial"/>
          <w:color w:val="000000"/>
        </w:rPr>
      </w:pPr>
    </w:p>
    <w:p w:rsidR="00D4679A" w:rsidRPr="00BE066D" w:rsidRDefault="00D4679A" w:rsidP="00D4679A">
      <w:pPr>
        <w:spacing w:before="100" w:beforeAutospacing="1" w:after="120"/>
        <w:rPr>
          <w:szCs w:val="24"/>
        </w:rPr>
      </w:pPr>
      <w:r w:rsidRPr="00BE066D">
        <w:rPr>
          <w:rFonts w:ascii="Arial" w:hAnsi="Arial" w:cs="Arial"/>
          <w:b/>
          <w:bCs/>
          <w:sz w:val="26"/>
          <w:szCs w:val="26"/>
        </w:rPr>
        <w:t>Exemption from disallowance and sunsetting regime</w:t>
      </w:r>
    </w:p>
    <w:p w:rsidR="00D4679A" w:rsidRPr="00D4679A" w:rsidRDefault="00D4679A" w:rsidP="00D4679A">
      <w:pPr>
        <w:ind w:left="720"/>
        <w:rPr>
          <w:rFonts w:ascii="Arial" w:hAnsi="Arial" w:cs="Arial"/>
          <w:color w:val="000000"/>
        </w:rPr>
      </w:pPr>
    </w:p>
    <w:p w:rsidR="00D4679A" w:rsidRPr="00D4679A" w:rsidRDefault="00BE066D" w:rsidP="00430FF5">
      <w:pPr>
        <w:numPr>
          <w:ilvl w:val="0"/>
          <w:numId w:val="16"/>
        </w:numPr>
        <w:rPr>
          <w:rFonts w:ascii="Arial" w:hAnsi="Arial" w:cs="Arial"/>
          <w:color w:val="000000"/>
        </w:rPr>
      </w:pPr>
      <w:r w:rsidRPr="00BE066D">
        <w:rPr>
          <w:rFonts w:ascii="Arial" w:hAnsi="Arial" w:cs="Arial"/>
          <w:sz w:val="22"/>
          <w:szCs w:val="22"/>
        </w:rPr>
        <w:lastRenderedPageBreak/>
        <w:t xml:space="preserve">Section 42 of the LA provides for the disallowance of legislative instruments. However, </w:t>
      </w:r>
      <w:r w:rsidR="008B412B">
        <w:rPr>
          <w:rFonts w:ascii="Arial" w:hAnsi="Arial" w:cs="Arial"/>
          <w:sz w:val="22"/>
          <w:szCs w:val="22"/>
        </w:rPr>
        <w:t>paragraph</w:t>
      </w:r>
      <w:r w:rsidR="008B412B" w:rsidRPr="00BE066D">
        <w:rPr>
          <w:rFonts w:ascii="Arial" w:hAnsi="Arial" w:cs="Arial"/>
          <w:sz w:val="22"/>
          <w:szCs w:val="22"/>
        </w:rPr>
        <w:t xml:space="preserve"> </w:t>
      </w:r>
      <w:r w:rsidRPr="00BE066D">
        <w:rPr>
          <w:rFonts w:ascii="Arial" w:hAnsi="Arial" w:cs="Arial"/>
          <w:sz w:val="22"/>
          <w:szCs w:val="22"/>
        </w:rPr>
        <w:t>44(2</w:t>
      </w:r>
      <w:proofErr w:type="gramStart"/>
      <w:r w:rsidRPr="00BE066D">
        <w:rPr>
          <w:rFonts w:ascii="Arial" w:hAnsi="Arial" w:cs="Arial"/>
          <w:sz w:val="22"/>
          <w:szCs w:val="22"/>
        </w:rPr>
        <w:t>)</w:t>
      </w:r>
      <w:r w:rsidR="008B412B">
        <w:rPr>
          <w:rFonts w:ascii="Arial" w:hAnsi="Arial" w:cs="Arial"/>
          <w:sz w:val="22"/>
          <w:szCs w:val="22"/>
        </w:rPr>
        <w:t>(</w:t>
      </w:r>
      <w:proofErr w:type="gramEnd"/>
      <w:r w:rsidR="008B412B">
        <w:rPr>
          <w:rFonts w:ascii="Arial" w:hAnsi="Arial" w:cs="Arial"/>
          <w:sz w:val="22"/>
          <w:szCs w:val="22"/>
        </w:rPr>
        <w:t>b)</w:t>
      </w:r>
      <w:r w:rsidRPr="00BE066D">
        <w:rPr>
          <w:rFonts w:ascii="Arial" w:hAnsi="Arial" w:cs="Arial"/>
          <w:sz w:val="22"/>
          <w:szCs w:val="22"/>
        </w:rPr>
        <w:t xml:space="preserve"> of the LA provides that section 42 does not apply to</w:t>
      </w:r>
      <w:r w:rsidR="008B412B">
        <w:rPr>
          <w:rFonts w:ascii="Arial" w:hAnsi="Arial" w:cs="Arial"/>
          <w:sz w:val="22"/>
          <w:szCs w:val="22"/>
        </w:rPr>
        <w:t xml:space="preserve"> legislative</w:t>
      </w:r>
      <w:r w:rsidRPr="00BE066D">
        <w:rPr>
          <w:rFonts w:ascii="Arial" w:hAnsi="Arial" w:cs="Arial"/>
          <w:sz w:val="22"/>
          <w:szCs w:val="22"/>
        </w:rPr>
        <w:t xml:space="preserve"> instruments </w:t>
      </w:r>
      <w:r w:rsidR="008B412B">
        <w:rPr>
          <w:rFonts w:ascii="Arial" w:hAnsi="Arial" w:cs="Arial"/>
          <w:sz w:val="22"/>
          <w:szCs w:val="22"/>
        </w:rPr>
        <w:t xml:space="preserve">prescribed by regulation. Section 9 of the </w:t>
      </w:r>
      <w:r w:rsidR="008B412B" w:rsidRPr="00335E4E">
        <w:rPr>
          <w:rFonts w:ascii="Arial" w:hAnsi="Arial" w:cs="Arial"/>
          <w:i/>
          <w:sz w:val="22"/>
          <w:szCs w:val="22"/>
        </w:rPr>
        <w:t>Legislati</w:t>
      </w:r>
      <w:r w:rsidR="0015048C">
        <w:rPr>
          <w:rFonts w:ascii="Arial" w:hAnsi="Arial" w:cs="Arial"/>
          <w:i/>
          <w:sz w:val="22"/>
          <w:szCs w:val="22"/>
        </w:rPr>
        <w:t>on</w:t>
      </w:r>
      <w:r w:rsidR="008B412B" w:rsidRPr="00335E4E">
        <w:rPr>
          <w:rFonts w:ascii="Arial" w:hAnsi="Arial" w:cs="Arial"/>
          <w:i/>
          <w:sz w:val="22"/>
          <w:szCs w:val="22"/>
        </w:rPr>
        <w:t xml:space="preserve"> (Exemptions and Other Matters) Regulation 2015</w:t>
      </w:r>
      <w:r w:rsidR="008B412B">
        <w:rPr>
          <w:rFonts w:ascii="Arial" w:hAnsi="Arial" w:cs="Arial"/>
          <w:sz w:val="22"/>
          <w:szCs w:val="22"/>
        </w:rPr>
        <w:t xml:space="preserve"> (EOMR) provides a list of instruments that are not subject to disallowance. Item 4 of the table in section 9 of </w:t>
      </w:r>
      <w:r w:rsidR="0015048C">
        <w:rPr>
          <w:rFonts w:ascii="Arial" w:hAnsi="Arial" w:cs="Arial"/>
          <w:sz w:val="22"/>
          <w:szCs w:val="22"/>
        </w:rPr>
        <w:t xml:space="preserve">the </w:t>
      </w:r>
      <w:r w:rsidR="008B412B">
        <w:rPr>
          <w:rFonts w:ascii="Arial" w:hAnsi="Arial" w:cs="Arial"/>
          <w:sz w:val="22"/>
          <w:szCs w:val="22"/>
        </w:rPr>
        <w:t xml:space="preserve">EOMR lists instruments (other than regulations) </w:t>
      </w:r>
      <w:r w:rsidRPr="00BE066D">
        <w:rPr>
          <w:rFonts w:ascii="Arial" w:hAnsi="Arial" w:cs="Arial"/>
          <w:sz w:val="22"/>
          <w:szCs w:val="22"/>
        </w:rPr>
        <w:t>relating to superannuation. As a result, this instrument is not a disallowable legislative instrument under section 42 of the LA.</w:t>
      </w:r>
    </w:p>
    <w:p w:rsidR="00D4679A" w:rsidRPr="00D4679A" w:rsidRDefault="00D4679A" w:rsidP="00D4679A">
      <w:pPr>
        <w:ind w:left="720"/>
        <w:rPr>
          <w:rFonts w:ascii="Arial" w:hAnsi="Arial" w:cs="Arial"/>
          <w:color w:val="000000"/>
        </w:rPr>
      </w:pPr>
    </w:p>
    <w:p w:rsidR="00D4679A" w:rsidRPr="00942A85" w:rsidRDefault="00D4679A" w:rsidP="00430FF5">
      <w:pPr>
        <w:numPr>
          <w:ilvl w:val="0"/>
          <w:numId w:val="16"/>
        </w:numPr>
        <w:rPr>
          <w:rFonts w:ascii="Arial" w:hAnsi="Arial" w:cs="Arial"/>
          <w:color w:val="000000"/>
        </w:rPr>
      </w:pPr>
      <w:r w:rsidRPr="00BE066D">
        <w:rPr>
          <w:rFonts w:ascii="Arial" w:hAnsi="Arial" w:cs="Arial"/>
          <w:sz w:val="22"/>
          <w:szCs w:val="22"/>
        </w:rPr>
        <w:t xml:space="preserve">Part </w:t>
      </w:r>
      <w:r w:rsidR="008B412B">
        <w:rPr>
          <w:rFonts w:ascii="Arial" w:hAnsi="Arial" w:cs="Arial"/>
          <w:sz w:val="22"/>
          <w:szCs w:val="22"/>
        </w:rPr>
        <w:t>4</w:t>
      </w:r>
      <w:r w:rsidR="008B412B" w:rsidRPr="00BE066D">
        <w:rPr>
          <w:rFonts w:ascii="Arial" w:hAnsi="Arial" w:cs="Arial"/>
          <w:sz w:val="22"/>
          <w:szCs w:val="22"/>
        </w:rPr>
        <w:t xml:space="preserve"> </w:t>
      </w:r>
      <w:r w:rsidRPr="00BE066D">
        <w:rPr>
          <w:rFonts w:ascii="Arial" w:hAnsi="Arial" w:cs="Arial"/>
          <w:sz w:val="22"/>
          <w:szCs w:val="22"/>
        </w:rPr>
        <w:t xml:space="preserve">of the LA provides for the sunsetting of legislative instruments. However, </w:t>
      </w:r>
      <w:r w:rsidR="008B412B">
        <w:rPr>
          <w:rFonts w:ascii="Arial" w:hAnsi="Arial" w:cs="Arial"/>
          <w:sz w:val="22"/>
          <w:szCs w:val="22"/>
        </w:rPr>
        <w:t>paragraph</w:t>
      </w:r>
      <w:r w:rsidR="008B412B" w:rsidRPr="00BE066D">
        <w:rPr>
          <w:rFonts w:ascii="Arial" w:hAnsi="Arial" w:cs="Arial"/>
          <w:sz w:val="22"/>
          <w:szCs w:val="22"/>
        </w:rPr>
        <w:t xml:space="preserve"> </w:t>
      </w:r>
      <w:r w:rsidRPr="00BE066D">
        <w:rPr>
          <w:rFonts w:ascii="Arial" w:hAnsi="Arial" w:cs="Arial"/>
          <w:sz w:val="22"/>
          <w:szCs w:val="22"/>
        </w:rPr>
        <w:t>54(2</w:t>
      </w:r>
      <w:proofErr w:type="gramStart"/>
      <w:r w:rsidRPr="00BE066D">
        <w:rPr>
          <w:rFonts w:ascii="Arial" w:hAnsi="Arial" w:cs="Arial"/>
          <w:sz w:val="22"/>
          <w:szCs w:val="22"/>
        </w:rPr>
        <w:t>)</w:t>
      </w:r>
      <w:r w:rsidR="008B412B">
        <w:rPr>
          <w:rFonts w:ascii="Arial" w:hAnsi="Arial" w:cs="Arial"/>
          <w:sz w:val="22"/>
          <w:szCs w:val="22"/>
        </w:rPr>
        <w:t>(</w:t>
      </w:r>
      <w:proofErr w:type="gramEnd"/>
      <w:r w:rsidR="008B412B">
        <w:rPr>
          <w:rFonts w:ascii="Arial" w:hAnsi="Arial" w:cs="Arial"/>
          <w:sz w:val="22"/>
          <w:szCs w:val="22"/>
        </w:rPr>
        <w:t>b)</w:t>
      </w:r>
      <w:r w:rsidRPr="00BE066D">
        <w:rPr>
          <w:rFonts w:ascii="Arial" w:hAnsi="Arial" w:cs="Arial"/>
          <w:sz w:val="22"/>
          <w:szCs w:val="22"/>
        </w:rPr>
        <w:t xml:space="preserve"> of the LA provides that Part </w:t>
      </w:r>
      <w:r w:rsidR="008B412B">
        <w:rPr>
          <w:rFonts w:ascii="Arial" w:hAnsi="Arial" w:cs="Arial"/>
          <w:sz w:val="22"/>
          <w:szCs w:val="22"/>
        </w:rPr>
        <w:t>4</w:t>
      </w:r>
      <w:r w:rsidR="008B412B" w:rsidRPr="00BE066D">
        <w:rPr>
          <w:rFonts w:ascii="Arial" w:hAnsi="Arial" w:cs="Arial"/>
          <w:sz w:val="22"/>
          <w:szCs w:val="22"/>
        </w:rPr>
        <w:t xml:space="preserve"> </w:t>
      </w:r>
      <w:r w:rsidRPr="00BE066D">
        <w:rPr>
          <w:rFonts w:ascii="Arial" w:hAnsi="Arial" w:cs="Arial"/>
          <w:sz w:val="22"/>
          <w:szCs w:val="22"/>
        </w:rPr>
        <w:t xml:space="preserve">of the LA does not apply </w:t>
      </w:r>
      <w:r w:rsidR="008B412B">
        <w:rPr>
          <w:rFonts w:ascii="Arial" w:hAnsi="Arial" w:cs="Arial"/>
          <w:sz w:val="22"/>
          <w:szCs w:val="22"/>
        </w:rPr>
        <w:t xml:space="preserve">if the legislative instrument is prescribed by regulation. Section 11 of the EOMR provides a list of instruments that are not subject to sunsetting. Item 6 of the table in section 11 of the EOMR lists </w:t>
      </w:r>
      <w:r w:rsidRPr="00BE066D">
        <w:rPr>
          <w:rFonts w:ascii="Arial" w:hAnsi="Arial" w:cs="Arial"/>
          <w:sz w:val="22"/>
          <w:szCs w:val="22"/>
        </w:rPr>
        <w:t xml:space="preserve">instruments (other than regulations) relating to superannuation. As a result, Part </w:t>
      </w:r>
      <w:r w:rsidR="0015048C">
        <w:rPr>
          <w:rFonts w:ascii="Arial" w:hAnsi="Arial" w:cs="Arial"/>
          <w:sz w:val="22"/>
          <w:szCs w:val="22"/>
        </w:rPr>
        <w:t>4</w:t>
      </w:r>
      <w:r w:rsidRPr="00BE066D">
        <w:rPr>
          <w:rFonts w:ascii="Arial" w:hAnsi="Arial" w:cs="Arial"/>
          <w:sz w:val="22"/>
          <w:szCs w:val="22"/>
        </w:rPr>
        <w:t xml:space="preserve"> of the LA does not apply to this instrument.</w:t>
      </w:r>
    </w:p>
    <w:p w:rsidR="00942A85" w:rsidRDefault="00942A85" w:rsidP="00942A85">
      <w:pPr>
        <w:ind w:left="360"/>
        <w:rPr>
          <w:rFonts w:ascii="Arial" w:hAnsi="Arial" w:cs="Arial"/>
          <w:color w:val="000000"/>
        </w:rPr>
      </w:pPr>
    </w:p>
    <w:p w:rsidR="00942A85" w:rsidRPr="005E6CCE" w:rsidRDefault="00942A85" w:rsidP="00942A85">
      <w:pPr>
        <w:pStyle w:val="Heading2"/>
        <w:rPr>
          <w:sz w:val="24"/>
          <w:szCs w:val="24"/>
        </w:rPr>
      </w:pPr>
      <w:r>
        <w:rPr>
          <w:sz w:val="24"/>
          <w:szCs w:val="24"/>
        </w:rPr>
        <w:t>What is the e</w:t>
      </w:r>
      <w:r w:rsidRPr="005E6CCE">
        <w:rPr>
          <w:sz w:val="24"/>
          <w:szCs w:val="24"/>
        </w:rPr>
        <w:t xml:space="preserve">ffect of this </w:t>
      </w:r>
      <w:r>
        <w:rPr>
          <w:sz w:val="24"/>
          <w:szCs w:val="24"/>
        </w:rPr>
        <w:t>Standard</w:t>
      </w:r>
    </w:p>
    <w:p w:rsidR="00942A85" w:rsidRPr="00942A85" w:rsidRDefault="00942A85" w:rsidP="00942A85">
      <w:pPr>
        <w:ind w:left="360"/>
        <w:rPr>
          <w:rFonts w:ascii="Arial" w:hAnsi="Arial" w:cs="Arial"/>
          <w:color w:val="000000"/>
        </w:rPr>
      </w:pPr>
    </w:p>
    <w:p w:rsidR="00942A85" w:rsidRPr="00942A85" w:rsidRDefault="00942A85" w:rsidP="00430FF5">
      <w:pPr>
        <w:numPr>
          <w:ilvl w:val="0"/>
          <w:numId w:val="16"/>
        </w:numPr>
        <w:rPr>
          <w:rFonts w:ascii="Arial" w:hAnsi="Arial" w:cs="Arial"/>
          <w:color w:val="000000"/>
        </w:rPr>
      </w:pPr>
      <w:r w:rsidRPr="00942A85">
        <w:rPr>
          <w:rFonts w:ascii="Arial" w:hAnsi="Arial" w:cs="Arial"/>
          <w:sz w:val="22"/>
          <w:szCs w:val="22"/>
        </w:rPr>
        <w:t xml:space="preserve">An assessment of the compliance cost impact indicates that the impact will be minor for both implementation and on-going compliance costs. The new </w:t>
      </w:r>
      <w:r>
        <w:rPr>
          <w:rFonts w:ascii="Arial" w:hAnsi="Arial" w:cs="Arial"/>
          <w:sz w:val="22"/>
          <w:szCs w:val="22"/>
        </w:rPr>
        <w:t>Standard</w:t>
      </w:r>
      <w:r w:rsidRPr="00942A85">
        <w:rPr>
          <w:rFonts w:ascii="Arial" w:hAnsi="Arial" w:cs="Arial"/>
          <w:sz w:val="22"/>
          <w:szCs w:val="22"/>
        </w:rPr>
        <w:t xml:space="preserve"> is of a minor </w:t>
      </w:r>
      <w:r>
        <w:rPr>
          <w:rFonts w:ascii="Arial" w:hAnsi="Arial" w:cs="Arial"/>
          <w:sz w:val="22"/>
          <w:szCs w:val="22"/>
        </w:rPr>
        <w:t>or machinery nature</w:t>
      </w:r>
      <w:r w:rsidRPr="00942A85">
        <w:rPr>
          <w:rFonts w:ascii="Arial" w:hAnsi="Arial" w:cs="Arial"/>
          <w:sz w:val="22"/>
          <w:szCs w:val="22"/>
        </w:rPr>
        <w:t>.</w:t>
      </w:r>
      <w:r w:rsidRPr="00942A85">
        <w:rPr>
          <w:rFonts w:ascii="Helvetica Neue" w:hAnsi="Helvetica Neue"/>
          <w:sz w:val="19"/>
          <w:szCs w:val="19"/>
        </w:rPr>
        <w:t xml:space="preserve"> </w:t>
      </w:r>
    </w:p>
    <w:p w:rsidR="00942A85" w:rsidRDefault="00942A85" w:rsidP="00942A85">
      <w:pPr>
        <w:rPr>
          <w:rFonts w:ascii="Helvetica Neue" w:hAnsi="Helvetica Neue"/>
          <w:sz w:val="19"/>
          <w:szCs w:val="19"/>
        </w:rPr>
      </w:pPr>
    </w:p>
    <w:p w:rsidR="00942A85" w:rsidRPr="00D4679A" w:rsidRDefault="00942A85" w:rsidP="00942A85">
      <w:pPr>
        <w:pStyle w:val="Heading3"/>
        <w:rPr>
          <w:b w:val="0"/>
        </w:rPr>
      </w:pPr>
      <w:r>
        <w:t xml:space="preserve">Statement of compatibility with Human Rights                                 </w:t>
      </w:r>
    </w:p>
    <w:p w:rsidR="00942A85" w:rsidRPr="00942A85" w:rsidRDefault="00942A85" w:rsidP="00942A85">
      <w:pPr>
        <w:rPr>
          <w:rFonts w:ascii="Arial" w:hAnsi="Arial" w:cs="Arial"/>
          <w:color w:val="000000"/>
        </w:rPr>
      </w:pPr>
    </w:p>
    <w:p w:rsidR="00D4679A" w:rsidRPr="00942A85" w:rsidRDefault="00D4679A" w:rsidP="00430FF5">
      <w:pPr>
        <w:numPr>
          <w:ilvl w:val="0"/>
          <w:numId w:val="16"/>
        </w:numPr>
        <w:rPr>
          <w:rFonts w:ascii="Arial" w:hAnsi="Arial" w:cs="Arial"/>
          <w:color w:val="000000"/>
        </w:rPr>
      </w:pPr>
      <w:r w:rsidRPr="00D4679A">
        <w:rPr>
          <w:rFonts w:ascii="Arial" w:hAnsi="Arial" w:cs="Arial"/>
          <w:color w:val="000000"/>
          <w:sz w:val="22"/>
          <w:szCs w:val="22"/>
        </w:rPr>
        <w:t xml:space="preserve">As section 42 of the LA does not apply to this instrument, a Statement of compatibility with Human Rights in respect of this instrument is not required under section 9 of the </w:t>
      </w:r>
      <w:r w:rsidRPr="00D4679A">
        <w:rPr>
          <w:rFonts w:ascii="Arial" w:hAnsi="Arial" w:cs="Arial"/>
          <w:i/>
          <w:iCs/>
          <w:color w:val="000000"/>
          <w:sz w:val="22"/>
          <w:szCs w:val="22"/>
        </w:rPr>
        <w:t>Human Rights (Parliamentary Scrutiny) Act 2011</w:t>
      </w:r>
      <w:r w:rsidRPr="00D4679A">
        <w:rPr>
          <w:rFonts w:ascii="Arial" w:hAnsi="Arial" w:cs="Arial"/>
          <w:color w:val="000000"/>
          <w:sz w:val="22"/>
          <w:szCs w:val="22"/>
        </w:rPr>
        <w:t>.</w:t>
      </w:r>
      <w:r w:rsidRPr="00D4679A">
        <w:rPr>
          <w:rFonts w:ascii="Helvetica Neue" w:hAnsi="Helvetica Neue"/>
          <w:color w:val="000000"/>
          <w:sz w:val="19"/>
          <w:szCs w:val="19"/>
        </w:rPr>
        <w:t xml:space="preserve"> </w:t>
      </w:r>
    </w:p>
    <w:p w:rsidR="00181475" w:rsidRDefault="00181475" w:rsidP="00486653">
      <w:pPr>
        <w:spacing w:after="60"/>
        <w:rPr>
          <w:rFonts w:ascii="Arial" w:hAnsi="Arial" w:cs="Arial"/>
          <w:i/>
          <w:sz w:val="20"/>
        </w:rPr>
      </w:pPr>
    </w:p>
    <w:p w:rsidR="00181475" w:rsidRDefault="00181475" w:rsidP="00486653">
      <w:pPr>
        <w:spacing w:after="60"/>
        <w:rPr>
          <w:rFonts w:ascii="Arial" w:hAnsi="Arial" w:cs="Arial"/>
          <w:i/>
          <w:sz w:val="20"/>
        </w:rPr>
      </w:pPr>
    </w:p>
    <w:p w:rsidR="00486653" w:rsidRPr="005F124F" w:rsidRDefault="00486653" w:rsidP="00486653">
      <w:pPr>
        <w:spacing w:after="60"/>
        <w:rPr>
          <w:rFonts w:ascii="Arial" w:hAnsi="Arial" w:cs="Arial"/>
          <w:i/>
          <w:sz w:val="20"/>
        </w:rPr>
      </w:pPr>
      <w:r w:rsidRPr="005F124F">
        <w:rPr>
          <w:rFonts w:ascii="Arial" w:hAnsi="Arial" w:cs="Arial"/>
          <w:i/>
          <w:sz w:val="20"/>
        </w:rPr>
        <w:t>Legislative references:</w:t>
      </w:r>
    </w:p>
    <w:p w:rsidR="00D77015" w:rsidRDefault="00D77015" w:rsidP="00486653">
      <w:pPr>
        <w:spacing w:after="60"/>
        <w:rPr>
          <w:rFonts w:ascii="Arial" w:hAnsi="Arial" w:cs="Arial"/>
          <w:i/>
          <w:color w:val="0000FF"/>
          <w:sz w:val="20"/>
        </w:rPr>
      </w:pPr>
    </w:p>
    <w:p w:rsidR="00486653" w:rsidRPr="00795D0C" w:rsidRDefault="008B048F" w:rsidP="00486653">
      <w:pPr>
        <w:spacing w:after="60"/>
        <w:rPr>
          <w:rFonts w:ascii="Arial" w:hAnsi="Arial" w:cs="Arial"/>
          <w:i/>
          <w:color w:val="000000"/>
          <w:sz w:val="20"/>
        </w:rPr>
      </w:pPr>
      <w:r>
        <w:rPr>
          <w:rFonts w:ascii="Arial" w:hAnsi="Arial" w:cs="Arial"/>
          <w:i/>
          <w:color w:val="000000"/>
          <w:sz w:val="20"/>
        </w:rPr>
        <w:t>Superannuation Industry (Supervision) Act 1993</w:t>
      </w:r>
    </w:p>
    <w:p w:rsidR="00486653" w:rsidRDefault="003E54C8" w:rsidP="00486653">
      <w:pPr>
        <w:spacing w:after="60"/>
        <w:rPr>
          <w:rFonts w:ascii="Arial" w:hAnsi="Arial" w:cs="Arial"/>
          <w:i/>
          <w:color w:val="000000"/>
          <w:sz w:val="20"/>
        </w:rPr>
      </w:pPr>
      <w:r>
        <w:rPr>
          <w:rFonts w:ascii="Arial" w:hAnsi="Arial" w:cs="Arial"/>
          <w:i/>
          <w:color w:val="000000"/>
          <w:sz w:val="20"/>
        </w:rPr>
        <w:t>Legislation</w:t>
      </w:r>
      <w:r w:rsidR="00486653" w:rsidRPr="00795D0C">
        <w:rPr>
          <w:rFonts w:ascii="Arial" w:hAnsi="Arial" w:cs="Arial"/>
          <w:i/>
          <w:color w:val="000000"/>
          <w:sz w:val="20"/>
        </w:rPr>
        <w:t xml:space="preserve"> Act 2003</w:t>
      </w:r>
    </w:p>
    <w:p w:rsidR="002352DA" w:rsidRDefault="00D0111C" w:rsidP="002352DA">
      <w:pPr>
        <w:spacing w:after="60"/>
        <w:rPr>
          <w:rFonts w:ascii="Arial" w:hAnsi="Arial" w:cs="Arial"/>
          <w:i/>
          <w:sz w:val="20"/>
        </w:rPr>
      </w:pPr>
      <w:r w:rsidRPr="00D0111C">
        <w:rPr>
          <w:rFonts w:ascii="Arial" w:hAnsi="Arial" w:cs="Arial"/>
          <w:i/>
          <w:sz w:val="20"/>
        </w:rPr>
        <w:t>Income Tax Assessment Act 1997</w:t>
      </w:r>
    </w:p>
    <w:p w:rsidR="008C26A1" w:rsidRDefault="002352DA" w:rsidP="008C26A1">
      <w:pPr>
        <w:spacing w:after="60"/>
        <w:rPr>
          <w:rFonts w:ascii="Arial" w:hAnsi="Arial" w:cs="Arial"/>
          <w:i/>
          <w:color w:val="000000"/>
          <w:sz w:val="20"/>
        </w:rPr>
      </w:pPr>
      <w:r w:rsidRPr="002352DA">
        <w:rPr>
          <w:rFonts w:ascii="Arial" w:hAnsi="Arial" w:cs="Arial"/>
          <w:i/>
          <w:color w:val="000000"/>
          <w:sz w:val="20"/>
        </w:rPr>
        <w:t>Superannuation Guarantee (Administration) Act 1992</w:t>
      </w:r>
    </w:p>
    <w:p w:rsidR="008C26A1" w:rsidRDefault="008C26A1" w:rsidP="008C26A1">
      <w:pPr>
        <w:spacing w:after="60"/>
        <w:rPr>
          <w:rFonts w:ascii="Arial" w:hAnsi="Arial" w:cs="Arial"/>
          <w:i/>
          <w:color w:val="000000"/>
          <w:sz w:val="20"/>
        </w:rPr>
      </w:pPr>
      <w:r w:rsidRPr="008C26A1">
        <w:rPr>
          <w:rFonts w:ascii="Arial" w:hAnsi="Arial" w:cs="Arial"/>
          <w:i/>
          <w:color w:val="000000"/>
          <w:sz w:val="20"/>
        </w:rPr>
        <w:t>Small Superannuation Accounts Act 1995</w:t>
      </w:r>
    </w:p>
    <w:p w:rsidR="008C26A1" w:rsidRDefault="008C26A1" w:rsidP="008C26A1">
      <w:pPr>
        <w:spacing w:after="60"/>
        <w:rPr>
          <w:rFonts w:ascii="Arial" w:hAnsi="Arial" w:cs="Arial"/>
          <w:i/>
          <w:color w:val="000000"/>
          <w:sz w:val="20"/>
        </w:rPr>
      </w:pPr>
      <w:r w:rsidRPr="008C26A1">
        <w:rPr>
          <w:rFonts w:ascii="Arial" w:hAnsi="Arial" w:cs="Arial"/>
          <w:i/>
          <w:color w:val="000000"/>
          <w:sz w:val="20"/>
        </w:rPr>
        <w:t xml:space="preserve">Superannuation (Unclaimed Money and Lost Members) Act 1999 </w:t>
      </w:r>
    </w:p>
    <w:p w:rsidR="008C26A1" w:rsidRDefault="008C26A1" w:rsidP="00486653">
      <w:pPr>
        <w:spacing w:after="60"/>
        <w:rPr>
          <w:rFonts w:ascii="Arial" w:hAnsi="Arial" w:cs="Arial"/>
          <w:i/>
          <w:color w:val="000000"/>
          <w:sz w:val="20"/>
        </w:rPr>
      </w:pPr>
      <w:r w:rsidRPr="008C26A1">
        <w:rPr>
          <w:rFonts w:ascii="Arial" w:hAnsi="Arial" w:cs="Arial"/>
          <w:i/>
          <w:color w:val="000000"/>
          <w:sz w:val="20"/>
        </w:rPr>
        <w:t>Superannuation (Government Co-Contribution for Low Income Earners) Act 2003</w:t>
      </w:r>
    </w:p>
    <w:p w:rsidR="008B048F" w:rsidRPr="008C26A1" w:rsidRDefault="008B048F" w:rsidP="00486653">
      <w:pPr>
        <w:spacing w:after="60"/>
        <w:rPr>
          <w:rFonts w:ascii="Arial" w:hAnsi="Arial" w:cs="Arial"/>
          <w:i/>
          <w:color w:val="000000"/>
          <w:sz w:val="20"/>
        </w:rPr>
      </w:pPr>
      <w:r w:rsidRPr="00D4679A">
        <w:rPr>
          <w:rFonts w:ascii="Arial" w:hAnsi="Arial" w:cs="Arial"/>
          <w:i/>
          <w:iCs/>
          <w:color w:val="000000"/>
          <w:sz w:val="20"/>
        </w:rPr>
        <w:t>Human Rights (Parliamentary Scrutiny) Act 2011</w:t>
      </w:r>
    </w:p>
    <w:p w:rsidR="008540EA" w:rsidRPr="001F28A6" w:rsidRDefault="008540EA" w:rsidP="00FE17ED">
      <w:pPr>
        <w:pStyle w:val="Heading2"/>
        <w:rPr>
          <w:rFonts w:cs="Arial"/>
        </w:rPr>
      </w:pPr>
    </w:p>
    <w:sectPr w:rsidR="008540EA" w:rsidRPr="001F28A6" w:rsidSect="00FE17ED">
      <w:headerReference w:type="even" r:id="rId9"/>
      <w:headerReference w:type="default" r:id="rId10"/>
      <w:headerReference w:type="first" r:id="rId11"/>
      <w:pgSz w:w="11906" w:h="16838" w:code="9"/>
      <w:pgMar w:top="1440" w:right="907" w:bottom="1358" w:left="2155" w:header="720"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A36" w:rsidRDefault="00964A36">
      <w:r>
        <w:separator/>
      </w:r>
    </w:p>
  </w:endnote>
  <w:endnote w:type="continuationSeparator" w:id="0">
    <w:p w:rsidR="00964A36" w:rsidRDefault="00964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Neue">
    <w:altName w:val="Helvetica Neue"/>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A36" w:rsidRDefault="00964A36">
      <w:r>
        <w:separator/>
      </w:r>
    </w:p>
  </w:footnote>
  <w:footnote w:type="continuationSeparator" w:id="0">
    <w:p w:rsidR="00964A36" w:rsidRDefault="00964A36">
      <w:r>
        <w:continuationSeparator/>
      </w:r>
    </w:p>
  </w:footnote>
  <w:footnote w:id="1">
    <w:p w:rsidR="00D0111C" w:rsidRDefault="002C3788">
      <w:pPr>
        <w:pStyle w:val="FootnoteText"/>
      </w:pPr>
      <w:r>
        <w:rPr>
          <w:rStyle w:val="FootnoteReference"/>
        </w:rPr>
        <w:t>1</w:t>
      </w:r>
      <w:r>
        <w:t xml:space="preserve"> </w:t>
      </w:r>
      <w:r w:rsidR="00D0111C">
        <w:t xml:space="preserve">Section 306-10 </w:t>
      </w:r>
    </w:p>
  </w:footnote>
  <w:footnote w:id="2">
    <w:p w:rsidR="00CB4427" w:rsidRDefault="002C3788" w:rsidP="00CB4427">
      <w:pPr>
        <w:pStyle w:val="FootnoteText"/>
      </w:pPr>
      <w:r>
        <w:rPr>
          <w:rStyle w:val="FootnoteReference"/>
        </w:rPr>
        <w:t>2</w:t>
      </w:r>
      <w:r>
        <w:t xml:space="preserve"> </w:t>
      </w:r>
      <w:r w:rsidR="00CB4427">
        <w:t xml:space="preserve">As required by subsection </w:t>
      </w:r>
      <w:proofErr w:type="gramStart"/>
      <w:r w:rsidR="00CB4427">
        <w:t>34K(</w:t>
      </w:r>
      <w:proofErr w:type="gramEnd"/>
      <w:r w:rsidR="00CB4427">
        <w:t>9) of the SISA.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C50" w:rsidRPr="0067541C" w:rsidRDefault="00587C50">
    <w:pPr>
      <w:pStyle w:val="Header"/>
      <w:rPr>
        <w:rFonts w:ascii="Arial" w:hAnsi="Arial" w:cs="Arial"/>
        <w:sz w:val="52"/>
      </w:rPr>
    </w:pPr>
    <w:r w:rsidRPr="0067541C">
      <w:rPr>
        <w:rFonts w:ascii="Arial" w:hAnsi="Arial" w:cs="Arial"/>
        <w:sz w:val="20"/>
      </w:rPr>
      <w:t>Taxation Determination</w:t>
    </w:r>
  </w:p>
  <w:p w:rsidR="00587C50" w:rsidRPr="0067541C" w:rsidRDefault="00587C50">
    <w:pPr>
      <w:pStyle w:val="Header"/>
      <w:rPr>
        <w:rFonts w:ascii="Arial" w:hAnsi="Arial" w:cs="Arial"/>
        <w:sz w:val="52"/>
      </w:rPr>
    </w:pPr>
    <w:r w:rsidRPr="0067541C">
      <w:rPr>
        <w:rFonts w:ascii="Arial" w:hAnsi="Arial" w:cs="Arial"/>
        <w:b/>
        <w:sz w:val="52"/>
      </w:rPr>
      <w:t xml:space="preserve">TD </w:t>
    </w:r>
  </w:p>
  <w:p w:rsidR="00587C50" w:rsidRPr="0067541C" w:rsidRDefault="00587C50">
    <w:pPr>
      <w:pStyle w:val="Header"/>
      <w:pBdr>
        <w:top w:val="single" w:sz="4" w:space="1" w:color="auto"/>
        <w:bottom w:val="single" w:sz="4" w:space="1" w:color="auto"/>
      </w:pBdr>
      <w:tabs>
        <w:tab w:val="clear" w:pos="4153"/>
        <w:tab w:val="clear" w:pos="8306"/>
        <w:tab w:val="right" w:pos="8789"/>
      </w:tabs>
      <w:spacing w:after="240"/>
      <w:rPr>
        <w:rFonts w:ascii="Arial" w:hAnsi="Arial" w:cs="Arial"/>
        <w:sz w:val="20"/>
      </w:rPr>
    </w:pPr>
    <w:r w:rsidRPr="0067541C">
      <w:rPr>
        <w:rFonts w:ascii="Arial" w:hAnsi="Arial" w:cs="Arial"/>
        <w:snapToGrid w:val="0"/>
        <w:sz w:val="20"/>
        <w:lang w:eastAsia="en-US"/>
      </w:rPr>
      <w:t xml:space="preserve">Page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PAGE </w:instrText>
    </w:r>
    <w:r w:rsidRPr="0067541C">
      <w:rPr>
        <w:rFonts w:ascii="Arial" w:hAnsi="Arial" w:cs="Arial"/>
        <w:snapToGrid w:val="0"/>
        <w:sz w:val="20"/>
        <w:lang w:eastAsia="en-US"/>
      </w:rPr>
      <w:fldChar w:fldCharType="separate"/>
    </w:r>
    <w:r>
      <w:rPr>
        <w:rFonts w:ascii="Arial" w:hAnsi="Arial" w:cs="Arial"/>
        <w:noProof/>
        <w:snapToGrid w:val="0"/>
        <w:sz w:val="20"/>
        <w:lang w:eastAsia="en-US"/>
      </w:rPr>
      <w:t>2</w:t>
    </w:r>
    <w:r w:rsidRPr="0067541C">
      <w:rPr>
        <w:rFonts w:ascii="Arial" w:hAnsi="Arial" w:cs="Arial"/>
        <w:snapToGrid w:val="0"/>
        <w:sz w:val="20"/>
        <w:lang w:eastAsia="en-US"/>
      </w:rPr>
      <w:fldChar w:fldCharType="end"/>
    </w:r>
    <w:r w:rsidRPr="0067541C">
      <w:rPr>
        <w:rFonts w:ascii="Arial" w:hAnsi="Arial" w:cs="Arial"/>
        <w:snapToGrid w:val="0"/>
        <w:sz w:val="20"/>
        <w:lang w:eastAsia="en-US"/>
      </w:rPr>
      <w:t xml:space="preserve"> of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NUMPAGES </w:instrText>
    </w:r>
    <w:r w:rsidRPr="0067541C">
      <w:rPr>
        <w:rFonts w:ascii="Arial" w:hAnsi="Arial" w:cs="Arial"/>
        <w:snapToGrid w:val="0"/>
        <w:sz w:val="20"/>
        <w:lang w:eastAsia="en-US"/>
      </w:rPr>
      <w:fldChar w:fldCharType="separate"/>
    </w:r>
    <w:r w:rsidR="0015048C">
      <w:rPr>
        <w:rFonts w:ascii="Arial" w:hAnsi="Arial" w:cs="Arial"/>
        <w:noProof/>
        <w:snapToGrid w:val="0"/>
        <w:sz w:val="20"/>
        <w:lang w:eastAsia="en-US"/>
      </w:rPr>
      <w:t>3</w:t>
    </w:r>
    <w:r w:rsidRPr="0067541C">
      <w:rPr>
        <w:rFonts w:ascii="Arial" w:hAnsi="Arial" w:cs="Arial"/>
        <w:snapToGrid w:val="0"/>
        <w:sz w:val="20"/>
        <w:lang w:eastAsia="en-US"/>
      </w:rPr>
      <w:fldChar w:fldCharType="end"/>
    </w:r>
    <w:r w:rsidRPr="0067541C">
      <w:rPr>
        <w:rFonts w:ascii="Arial" w:hAnsi="Arial" w:cs="Arial"/>
      </w:rPr>
      <w:tab/>
    </w:r>
    <w:r w:rsidRPr="0067541C">
      <w:rPr>
        <w:rFonts w:ascii="Arial" w:hAnsi="Arial" w:cs="Arial"/>
        <w:sz w:val="20"/>
      </w:rPr>
      <w:t xml:space="preserve">FOI status:  </w:t>
    </w:r>
    <w:r w:rsidRPr="0067541C">
      <w:rPr>
        <w:rFonts w:ascii="Arial" w:hAnsi="Arial" w:cs="Arial"/>
        <w:b/>
        <w:sz w:val="20"/>
      </w:rPr>
      <w:t>may be released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C50" w:rsidRDefault="00587C50" w:rsidP="001828A4">
    <w:pPr>
      <w:pStyle w:val="Header"/>
      <w:tabs>
        <w:tab w:val="clear" w:pos="4153"/>
        <w:tab w:val="clear" w:pos="8306"/>
        <w:tab w:val="center" w:pos="1418"/>
        <w:tab w:val="right" w:pos="878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833" w:rsidRPr="00333FE9" w:rsidRDefault="00CC1833" w:rsidP="00CC1833">
    <w:pPr>
      <w:framePr w:w="4897" w:h="732" w:hSpace="180" w:wrap="around" w:vAnchor="page" w:hAnchor="page" w:x="6083" w:y="1023"/>
      <w:pBdr>
        <w:top w:val="single" w:sz="12" w:space="1" w:color="auto"/>
        <w:left w:val="single" w:sz="12" w:space="1" w:color="auto"/>
        <w:bottom w:val="single" w:sz="12" w:space="1" w:color="auto"/>
        <w:right w:val="single" w:sz="12" w:space="1" w:color="auto"/>
      </w:pBdr>
      <w:jc w:val="center"/>
      <w:rPr>
        <w:rFonts w:ascii="Arial" w:hAnsi="Arial" w:cs="Arial"/>
        <w:sz w:val="20"/>
      </w:rPr>
    </w:pPr>
    <w:bookmarkStart w:id="13" w:name="AType"/>
    <w:r>
      <w:rPr>
        <w:rFonts w:ascii="Arial" w:hAnsi="Arial" w:cs="Arial"/>
        <w:sz w:val="20"/>
      </w:rPr>
      <w:t xml:space="preserve">Australian </w:t>
    </w:r>
    <w:r w:rsidRPr="00333FE9">
      <w:rPr>
        <w:rFonts w:ascii="Arial" w:hAnsi="Arial" w:cs="Arial"/>
        <w:sz w:val="20"/>
      </w:rPr>
      <w:t xml:space="preserve">Taxation </w:t>
    </w:r>
    <w:r>
      <w:rPr>
        <w:rFonts w:ascii="Arial" w:hAnsi="Arial" w:cs="Arial"/>
        <w:sz w:val="20"/>
      </w:rPr>
      <w:t>Office Legislative Instrument</w:t>
    </w:r>
  </w:p>
  <w:p w:rsidR="00CC1833" w:rsidRPr="00DC7E73" w:rsidRDefault="00CC1833" w:rsidP="00CC1833">
    <w:pPr>
      <w:framePr w:w="4897" w:h="732" w:hSpace="180" w:wrap="around" w:vAnchor="page" w:hAnchor="page" w:x="6083" w:y="1023"/>
      <w:pBdr>
        <w:top w:val="single" w:sz="12" w:space="1" w:color="auto"/>
        <w:left w:val="single" w:sz="12" w:space="1" w:color="auto"/>
        <w:bottom w:val="single" w:sz="12" w:space="1" w:color="auto"/>
        <w:right w:val="single" w:sz="12" w:space="1" w:color="auto"/>
      </w:pBdr>
      <w:rPr>
        <w:rFonts w:ascii="Arial" w:hAnsi="Arial" w:cs="Arial"/>
        <w:sz w:val="20"/>
      </w:rPr>
    </w:pPr>
    <w:bookmarkStart w:id="14" w:name="BPrefix"/>
    <w:bookmarkEnd w:id="13"/>
    <w:r>
      <w:rPr>
        <w:rFonts w:ascii="Arial" w:hAnsi="Arial" w:cs="Arial"/>
        <w:b/>
        <w:sz w:val="32"/>
        <w:szCs w:val="32"/>
      </w:rPr>
      <w:t xml:space="preserve">  </w:t>
    </w:r>
    <w:r w:rsidRPr="00323820">
      <w:rPr>
        <w:rFonts w:ascii="Arial" w:hAnsi="Arial" w:cs="Arial"/>
        <w:b/>
        <w:sz w:val="32"/>
        <w:szCs w:val="32"/>
      </w:rPr>
      <w:t>Inst</w:t>
    </w:r>
    <w:bookmarkStart w:id="15" w:name="CDocnum"/>
    <w:bookmarkEnd w:id="14"/>
    <w:bookmarkEnd w:id="15"/>
    <w:r w:rsidRPr="00323820">
      <w:rPr>
        <w:rFonts w:ascii="Arial" w:hAnsi="Arial" w:cs="Arial"/>
        <w:b/>
        <w:sz w:val="32"/>
        <w:szCs w:val="32"/>
      </w:rPr>
      <w:t>rument ID</w:t>
    </w:r>
    <w:r>
      <w:rPr>
        <w:rFonts w:ascii="Arial" w:hAnsi="Arial" w:cs="Arial"/>
        <w:b/>
        <w:sz w:val="32"/>
        <w:szCs w:val="32"/>
      </w:rPr>
      <w:t>:</w:t>
    </w:r>
    <w:r w:rsidRPr="00323820">
      <w:rPr>
        <w:rFonts w:ascii="Arial" w:hAnsi="Arial" w:cs="Arial"/>
        <w:b/>
        <w:sz w:val="32"/>
        <w:szCs w:val="32"/>
      </w:rPr>
      <w:t xml:space="preserve"> </w:t>
    </w:r>
    <w:r w:rsidR="0060535A" w:rsidRPr="0060535A">
      <w:rPr>
        <w:rFonts w:ascii="Arial" w:hAnsi="Arial" w:cs="Arial"/>
        <w:b/>
        <w:bCs/>
        <w:sz w:val="32"/>
        <w:szCs w:val="32"/>
      </w:rPr>
      <w:t>201</w:t>
    </w:r>
    <w:r w:rsidR="00AA7C87">
      <w:rPr>
        <w:rFonts w:ascii="Arial" w:hAnsi="Arial" w:cs="Arial"/>
        <w:b/>
        <w:bCs/>
        <w:sz w:val="32"/>
        <w:szCs w:val="32"/>
      </w:rPr>
      <w:t>6</w:t>
    </w:r>
    <w:r w:rsidR="0060535A" w:rsidRPr="0060535A">
      <w:rPr>
        <w:rFonts w:ascii="Arial" w:hAnsi="Arial" w:cs="Arial"/>
        <w:b/>
        <w:bCs/>
        <w:sz w:val="32"/>
        <w:szCs w:val="32"/>
      </w:rPr>
      <w:t>/SPR/00</w:t>
    </w:r>
    <w:r w:rsidR="0065314A">
      <w:rPr>
        <w:rFonts w:ascii="Arial" w:hAnsi="Arial" w:cs="Arial"/>
        <w:b/>
        <w:bCs/>
        <w:sz w:val="32"/>
        <w:szCs w:val="32"/>
      </w:rPr>
      <w:t>73</w:t>
    </w:r>
  </w:p>
  <w:p w:rsidR="00587C50" w:rsidRDefault="00CC1833" w:rsidP="001828A4">
    <w:pPr>
      <w:pStyle w:val="Header"/>
      <w:tabs>
        <w:tab w:val="clear" w:pos="4153"/>
        <w:tab w:val="clear" w:pos="8306"/>
      </w:tabs>
      <w:rPr>
        <w:rFonts w:ascii="Arial" w:hAnsi="Arial" w:cs="Arial"/>
        <w:sz w:val="20"/>
      </w:rPr>
    </w:pPr>
    <w:r>
      <w:rPr>
        <w:noProof/>
      </w:rPr>
      <w:drawing>
        <wp:inline distT="0" distB="0" distL="0" distR="0" wp14:anchorId="37543B37" wp14:editId="35708120">
          <wp:extent cx="2413635" cy="701675"/>
          <wp:effectExtent l="0" t="0" r="5715" b="3175"/>
          <wp:docPr id="3" name="Picture 1"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rsidR="00CC1833" w:rsidRPr="001A6644" w:rsidRDefault="00CC1833" w:rsidP="001828A4">
    <w:pPr>
      <w:pStyle w:val="Header"/>
      <w:tabs>
        <w:tab w:val="clear" w:pos="4153"/>
        <w:tab w:val="clear" w:pos="8306"/>
      </w:tabs>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4EEF"/>
    <w:multiLevelType w:val="hybridMultilevel"/>
    <w:tmpl w:val="04F6ADC2"/>
    <w:lvl w:ilvl="0" w:tplc="0C090001">
      <w:start w:val="1"/>
      <w:numFmt w:val="bullet"/>
      <w:lvlText w:val=""/>
      <w:lvlJc w:val="left"/>
      <w:pPr>
        <w:tabs>
          <w:tab w:val="num" w:pos="787"/>
        </w:tabs>
        <w:ind w:left="787" w:hanging="360"/>
      </w:pPr>
      <w:rPr>
        <w:rFonts w:ascii="Symbol" w:hAnsi="Symbol" w:hint="default"/>
      </w:rPr>
    </w:lvl>
    <w:lvl w:ilvl="1" w:tplc="B9F8D416">
      <w:start w:val="1"/>
      <w:numFmt w:val="bullet"/>
      <w:lvlText w:val="o"/>
      <w:lvlJc w:val="left"/>
      <w:pPr>
        <w:tabs>
          <w:tab w:val="num" w:pos="1507"/>
        </w:tabs>
        <w:ind w:left="1507" w:hanging="360"/>
      </w:pPr>
      <w:rPr>
        <w:rFonts w:ascii="Courier New" w:hAnsi="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1">
    <w:nsid w:val="02F470ED"/>
    <w:multiLevelType w:val="hybridMultilevel"/>
    <w:tmpl w:val="E8B4F924"/>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
    <w:nsid w:val="0E4E7B46"/>
    <w:multiLevelType w:val="hybridMultilevel"/>
    <w:tmpl w:val="EF6A53B0"/>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
    <w:nsid w:val="0F08690C"/>
    <w:multiLevelType w:val="hybridMultilevel"/>
    <w:tmpl w:val="E05E0C04"/>
    <w:lvl w:ilvl="0" w:tplc="FFFFFFFF">
      <w:start w:val="1"/>
      <w:numFmt w:val="bullet"/>
      <w:lvlText w:val=""/>
      <w:lvlJc w:val="left"/>
      <w:pPr>
        <w:tabs>
          <w:tab w:val="num" w:pos="720"/>
        </w:tabs>
        <w:ind w:left="720" w:hanging="360"/>
      </w:pPr>
      <w:rPr>
        <w:rFonts w:ascii="Symbol" w:hAnsi="Symbol" w:hint="default"/>
        <w:sz w:val="16"/>
        <w:szCs w:val="16"/>
      </w:rPr>
    </w:lvl>
    <w:lvl w:ilvl="1" w:tplc="B42A47D4">
      <w:start w:val="1"/>
      <w:numFmt w:val="bullet"/>
      <w:lvlText w:val=""/>
      <w:lvlJc w:val="left"/>
      <w:pPr>
        <w:tabs>
          <w:tab w:val="num" w:pos="1440"/>
        </w:tabs>
        <w:ind w:left="1440" w:hanging="360"/>
      </w:pPr>
      <w:rPr>
        <w:rFonts w:ascii="Symbol" w:hAnsi="Symbol" w:hint="default"/>
        <w:sz w:val="16"/>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053035A"/>
    <w:multiLevelType w:val="hybridMultilevel"/>
    <w:tmpl w:val="FC388680"/>
    <w:lvl w:ilvl="0" w:tplc="04104052">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11150589"/>
    <w:multiLevelType w:val="hybridMultilevel"/>
    <w:tmpl w:val="19B0F380"/>
    <w:lvl w:ilvl="0" w:tplc="D68C5180">
      <w:start w:val="1"/>
      <w:numFmt w:val="decimal"/>
      <w:lvlText w:val="%1."/>
      <w:lvlJc w:val="left"/>
      <w:pPr>
        <w:tabs>
          <w:tab w:val="num" w:pos="1134"/>
        </w:tabs>
        <w:ind w:left="1134" w:hanging="774"/>
      </w:pPr>
      <w:rPr>
        <w:rFonts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115F2E7F"/>
    <w:multiLevelType w:val="multilevel"/>
    <w:tmpl w:val="B91A9E40"/>
    <w:lvl w:ilvl="0">
      <w:start w:val="1"/>
      <w:numFmt w:val="decimal"/>
      <w:lvlText w:val="%1."/>
      <w:lvlJc w:val="left"/>
      <w:pPr>
        <w:tabs>
          <w:tab w:val="num" w:pos="787"/>
        </w:tabs>
        <w:ind w:left="787" w:hanging="360"/>
      </w:pPr>
    </w:lvl>
    <w:lvl w:ilvl="1">
      <w:start w:val="1"/>
      <w:numFmt w:val="lowerLetter"/>
      <w:lvlText w:val="%2."/>
      <w:lvlJc w:val="left"/>
      <w:pPr>
        <w:tabs>
          <w:tab w:val="num" w:pos="1507"/>
        </w:tabs>
        <w:ind w:left="1507" w:hanging="360"/>
      </w:pPr>
    </w:lvl>
    <w:lvl w:ilvl="2">
      <w:start w:val="1"/>
      <w:numFmt w:val="lowerRoman"/>
      <w:lvlText w:val="%3."/>
      <w:lvlJc w:val="right"/>
      <w:pPr>
        <w:tabs>
          <w:tab w:val="num" w:pos="2227"/>
        </w:tabs>
        <w:ind w:left="2227" w:hanging="180"/>
      </w:pPr>
    </w:lvl>
    <w:lvl w:ilvl="3">
      <w:start w:val="1"/>
      <w:numFmt w:val="decimal"/>
      <w:lvlText w:val="%4."/>
      <w:lvlJc w:val="left"/>
      <w:pPr>
        <w:tabs>
          <w:tab w:val="num" w:pos="2947"/>
        </w:tabs>
        <w:ind w:left="2947" w:hanging="360"/>
      </w:pPr>
    </w:lvl>
    <w:lvl w:ilvl="4">
      <w:start w:val="1"/>
      <w:numFmt w:val="lowerLetter"/>
      <w:lvlText w:val="%5."/>
      <w:lvlJc w:val="left"/>
      <w:pPr>
        <w:tabs>
          <w:tab w:val="num" w:pos="3667"/>
        </w:tabs>
        <w:ind w:left="3667" w:hanging="360"/>
      </w:pPr>
    </w:lvl>
    <w:lvl w:ilvl="5">
      <w:start w:val="1"/>
      <w:numFmt w:val="lowerRoman"/>
      <w:lvlText w:val="%6."/>
      <w:lvlJc w:val="right"/>
      <w:pPr>
        <w:tabs>
          <w:tab w:val="num" w:pos="4387"/>
        </w:tabs>
        <w:ind w:left="4387" w:hanging="180"/>
      </w:pPr>
    </w:lvl>
    <w:lvl w:ilvl="6">
      <w:start w:val="1"/>
      <w:numFmt w:val="decimal"/>
      <w:lvlText w:val="%7."/>
      <w:lvlJc w:val="left"/>
      <w:pPr>
        <w:tabs>
          <w:tab w:val="num" w:pos="5107"/>
        </w:tabs>
        <w:ind w:left="5107" w:hanging="360"/>
      </w:pPr>
    </w:lvl>
    <w:lvl w:ilvl="7">
      <w:start w:val="1"/>
      <w:numFmt w:val="lowerLetter"/>
      <w:lvlText w:val="%8."/>
      <w:lvlJc w:val="left"/>
      <w:pPr>
        <w:tabs>
          <w:tab w:val="num" w:pos="5827"/>
        </w:tabs>
        <w:ind w:left="5827" w:hanging="360"/>
      </w:pPr>
    </w:lvl>
    <w:lvl w:ilvl="8">
      <w:start w:val="1"/>
      <w:numFmt w:val="lowerRoman"/>
      <w:lvlText w:val="%9."/>
      <w:lvlJc w:val="right"/>
      <w:pPr>
        <w:tabs>
          <w:tab w:val="num" w:pos="6547"/>
        </w:tabs>
        <w:ind w:left="6547" w:hanging="180"/>
      </w:pPr>
    </w:lvl>
  </w:abstractNum>
  <w:abstractNum w:abstractNumId="7">
    <w:nsid w:val="11D95A5E"/>
    <w:multiLevelType w:val="hybridMultilevel"/>
    <w:tmpl w:val="11BE0E88"/>
    <w:lvl w:ilvl="0" w:tplc="0C090001">
      <w:start w:val="1"/>
      <w:numFmt w:val="bullet"/>
      <w:lvlText w:val=""/>
      <w:lvlJc w:val="left"/>
      <w:pPr>
        <w:ind w:left="741" w:hanging="360"/>
      </w:pPr>
      <w:rPr>
        <w:rFonts w:ascii="Symbol" w:hAnsi="Symbol" w:hint="default"/>
      </w:rPr>
    </w:lvl>
    <w:lvl w:ilvl="1" w:tplc="0C090003">
      <w:start w:val="1"/>
      <w:numFmt w:val="bullet"/>
      <w:lvlText w:val="o"/>
      <w:lvlJc w:val="left"/>
      <w:pPr>
        <w:ind w:left="1461" w:hanging="360"/>
      </w:pPr>
      <w:rPr>
        <w:rFonts w:ascii="Courier New" w:hAnsi="Courier New" w:cs="Courier New" w:hint="default"/>
      </w:rPr>
    </w:lvl>
    <w:lvl w:ilvl="2" w:tplc="0C090005" w:tentative="1">
      <w:start w:val="1"/>
      <w:numFmt w:val="bullet"/>
      <w:lvlText w:val=""/>
      <w:lvlJc w:val="left"/>
      <w:pPr>
        <w:ind w:left="2181" w:hanging="360"/>
      </w:pPr>
      <w:rPr>
        <w:rFonts w:ascii="Wingdings" w:hAnsi="Wingdings" w:hint="default"/>
      </w:rPr>
    </w:lvl>
    <w:lvl w:ilvl="3" w:tplc="0C090001" w:tentative="1">
      <w:start w:val="1"/>
      <w:numFmt w:val="bullet"/>
      <w:lvlText w:val=""/>
      <w:lvlJc w:val="left"/>
      <w:pPr>
        <w:ind w:left="2901" w:hanging="360"/>
      </w:pPr>
      <w:rPr>
        <w:rFonts w:ascii="Symbol" w:hAnsi="Symbol" w:hint="default"/>
      </w:rPr>
    </w:lvl>
    <w:lvl w:ilvl="4" w:tplc="0C090003" w:tentative="1">
      <w:start w:val="1"/>
      <w:numFmt w:val="bullet"/>
      <w:lvlText w:val="o"/>
      <w:lvlJc w:val="left"/>
      <w:pPr>
        <w:ind w:left="3621" w:hanging="360"/>
      </w:pPr>
      <w:rPr>
        <w:rFonts w:ascii="Courier New" w:hAnsi="Courier New" w:cs="Courier New" w:hint="default"/>
      </w:rPr>
    </w:lvl>
    <w:lvl w:ilvl="5" w:tplc="0C090005" w:tentative="1">
      <w:start w:val="1"/>
      <w:numFmt w:val="bullet"/>
      <w:lvlText w:val=""/>
      <w:lvlJc w:val="left"/>
      <w:pPr>
        <w:ind w:left="4341" w:hanging="360"/>
      </w:pPr>
      <w:rPr>
        <w:rFonts w:ascii="Wingdings" w:hAnsi="Wingdings" w:hint="default"/>
      </w:rPr>
    </w:lvl>
    <w:lvl w:ilvl="6" w:tplc="0C090001" w:tentative="1">
      <w:start w:val="1"/>
      <w:numFmt w:val="bullet"/>
      <w:lvlText w:val=""/>
      <w:lvlJc w:val="left"/>
      <w:pPr>
        <w:ind w:left="5061" w:hanging="360"/>
      </w:pPr>
      <w:rPr>
        <w:rFonts w:ascii="Symbol" w:hAnsi="Symbol" w:hint="default"/>
      </w:rPr>
    </w:lvl>
    <w:lvl w:ilvl="7" w:tplc="0C090003" w:tentative="1">
      <w:start w:val="1"/>
      <w:numFmt w:val="bullet"/>
      <w:lvlText w:val="o"/>
      <w:lvlJc w:val="left"/>
      <w:pPr>
        <w:ind w:left="5781" w:hanging="360"/>
      </w:pPr>
      <w:rPr>
        <w:rFonts w:ascii="Courier New" w:hAnsi="Courier New" w:cs="Courier New" w:hint="default"/>
      </w:rPr>
    </w:lvl>
    <w:lvl w:ilvl="8" w:tplc="0C090005" w:tentative="1">
      <w:start w:val="1"/>
      <w:numFmt w:val="bullet"/>
      <w:lvlText w:val=""/>
      <w:lvlJc w:val="left"/>
      <w:pPr>
        <w:ind w:left="6501" w:hanging="360"/>
      </w:pPr>
      <w:rPr>
        <w:rFonts w:ascii="Wingdings" w:hAnsi="Wingdings" w:hint="default"/>
      </w:rPr>
    </w:lvl>
  </w:abstractNum>
  <w:abstractNum w:abstractNumId="8">
    <w:nsid w:val="188560D7"/>
    <w:multiLevelType w:val="hybridMultilevel"/>
    <w:tmpl w:val="41803C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FF24E1"/>
    <w:multiLevelType w:val="hybridMultilevel"/>
    <w:tmpl w:val="E81ADF44"/>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0">
    <w:nsid w:val="1A945785"/>
    <w:multiLevelType w:val="multilevel"/>
    <w:tmpl w:val="817603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792F02"/>
    <w:multiLevelType w:val="hybridMultilevel"/>
    <w:tmpl w:val="3972367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2">
    <w:nsid w:val="1EE85786"/>
    <w:multiLevelType w:val="multilevel"/>
    <w:tmpl w:val="F682634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08E213F"/>
    <w:multiLevelType w:val="hybridMultilevel"/>
    <w:tmpl w:val="4D867378"/>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4">
    <w:nsid w:val="21AF626B"/>
    <w:multiLevelType w:val="hybridMultilevel"/>
    <w:tmpl w:val="E55A5B82"/>
    <w:lvl w:ilvl="0" w:tplc="0C090001">
      <w:start w:val="1"/>
      <w:numFmt w:val="bullet"/>
      <w:lvlText w:val=""/>
      <w:lvlJc w:val="left"/>
      <w:pPr>
        <w:tabs>
          <w:tab w:val="num" w:pos="1800"/>
        </w:tabs>
        <w:ind w:left="1800" w:hanging="360"/>
      </w:pPr>
      <w:rPr>
        <w:rFonts w:ascii="Symbol" w:hAnsi="Symbol" w:hint="default"/>
      </w:rPr>
    </w:lvl>
    <w:lvl w:ilvl="1" w:tplc="B150F4FC">
      <w:numFmt w:val="bullet"/>
      <w:lvlText w:val="-"/>
      <w:lvlJc w:val="left"/>
      <w:pPr>
        <w:tabs>
          <w:tab w:val="num" w:pos="3240"/>
        </w:tabs>
        <w:ind w:left="3240" w:hanging="360"/>
      </w:pPr>
      <w:rPr>
        <w:rFonts w:ascii="Comic Sans MS" w:eastAsia="Times New Roman" w:hAnsi="Comic Sans MS" w:cs="Times New Roman"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Courier New"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Courier New"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15">
    <w:nsid w:val="25167DB5"/>
    <w:multiLevelType w:val="hybridMultilevel"/>
    <w:tmpl w:val="F1946B50"/>
    <w:lvl w:ilvl="0" w:tplc="A95E060A">
      <w:start w:val="10"/>
      <w:numFmt w:val="decimal"/>
      <w:lvlText w:val="%1."/>
      <w:lvlJc w:val="left"/>
      <w:pPr>
        <w:tabs>
          <w:tab w:val="num" w:pos="787"/>
        </w:tabs>
        <w:ind w:left="787" w:hanging="360"/>
      </w:pPr>
      <w:rPr>
        <w:rFonts w:hint="default"/>
      </w:rPr>
    </w:lvl>
    <w:lvl w:ilvl="1" w:tplc="0C090019" w:tentative="1">
      <w:start w:val="1"/>
      <w:numFmt w:val="lowerLetter"/>
      <w:lvlText w:val="%2."/>
      <w:lvlJc w:val="left"/>
      <w:pPr>
        <w:tabs>
          <w:tab w:val="num" w:pos="1507"/>
        </w:tabs>
        <w:ind w:left="1507" w:hanging="360"/>
      </w:pPr>
    </w:lvl>
    <w:lvl w:ilvl="2" w:tplc="0C09001B" w:tentative="1">
      <w:start w:val="1"/>
      <w:numFmt w:val="lowerRoman"/>
      <w:lvlText w:val="%3."/>
      <w:lvlJc w:val="right"/>
      <w:pPr>
        <w:tabs>
          <w:tab w:val="num" w:pos="2227"/>
        </w:tabs>
        <w:ind w:left="2227" w:hanging="180"/>
      </w:pPr>
    </w:lvl>
    <w:lvl w:ilvl="3" w:tplc="0C09000F" w:tentative="1">
      <w:start w:val="1"/>
      <w:numFmt w:val="decimal"/>
      <w:lvlText w:val="%4."/>
      <w:lvlJc w:val="left"/>
      <w:pPr>
        <w:tabs>
          <w:tab w:val="num" w:pos="2947"/>
        </w:tabs>
        <w:ind w:left="2947" w:hanging="360"/>
      </w:pPr>
    </w:lvl>
    <w:lvl w:ilvl="4" w:tplc="0C090019" w:tentative="1">
      <w:start w:val="1"/>
      <w:numFmt w:val="lowerLetter"/>
      <w:lvlText w:val="%5."/>
      <w:lvlJc w:val="left"/>
      <w:pPr>
        <w:tabs>
          <w:tab w:val="num" w:pos="3667"/>
        </w:tabs>
        <w:ind w:left="3667" w:hanging="360"/>
      </w:pPr>
    </w:lvl>
    <w:lvl w:ilvl="5" w:tplc="0C09001B" w:tentative="1">
      <w:start w:val="1"/>
      <w:numFmt w:val="lowerRoman"/>
      <w:lvlText w:val="%6."/>
      <w:lvlJc w:val="right"/>
      <w:pPr>
        <w:tabs>
          <w:tab w:val="num" w:pos="4387"/>
        </w:tabs>
        <w:ind w:left="4387" w:hanging="180"/>
      </w:pPr>
    </w:lvl>
    <w:lvl w:ilvl="6" w:tplc="0C09000F" w:tentative="1">
      <w:start w:val="1"/>
      <w:numFmt w:val="decimal"/>
      <w:lvlText w:val="%7."/>
      <w:lvlJc w:val="left"/>
      <w:pPr>
        <w:tabs>
          <w:tab w:val="num" w:pos="5107"/>
        </w:tabs>
        <w:ind w:left="5107" w:hanging="360"/>
      </w:pPr>
    </w:lvl>
    <w:lvl w:ilvl="7" w:tplc="0C090019" w:tentative="1">
      <w:start w:val="1"/>
      <w:numFmt w:val="lowerLetter"/>
      <w:lvlText w:val="%8."/>
      <w:lvlJc w:val="left"/>
      <w:pPr>
        <w:tabs>
          <w:tab w:val="num" w:pos="5827"/>
        </w:tabs>
        <w:ind w:left="5827" w:hanging="360"/>
      </w:pPr>
    </w:lvl>
    <w:lvl w:ilvl="8" w:tplc="0C09001B" w:tentative="1">
      <w:start w:val="1"/>
      <w:numFmt w:val="lowerRoman"/>
      <w:lvlText w:val="%9."/>
      <w:lvlJc w:val="right"/>
      <w:pPr>
        <w:tabs>
          <w:tab w:val="num" w:pos="6547"/>
        </w:tabs>
        <w:ind w:left="6547" w:hanging="180"/>
      </w:pPr>
    </w:lvl>
  </w:abstractNum>
  <w:abstractNum w:abstractNumId="16">
    <w:nsid w:val="264E3A44"/>
    <w:multiLevelType w:val="hybridMultilevel"/>
    <w:tmpl w:val="79D42EEE"/>
    <w:lvl w:ilvl="0" w:tplc="B42A47D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27AB72B9"/>
    <w:multiLevelType w:val="hybridMultilevel"/>
    <w:tmpl w:val="DCCC069A"/>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8">
    <w:nsid w:val="2C742781"/>
    <w:multiLevelType w:val="hybridMultilevel"/>
    <w:tmpl w:val="1FE6108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2CA43D67"/>
    <w:multiLevelType w:val="hybridMultilevel"/>
    <w:tmpl w:val="37668F3A"/>
    <w:lvl w:ilvl="0" w:tplc="0C090001">
      <w:start w:val="1"/>
      <w:numFmt w:val="bullet"/>
      <w:lvlText w:val=""/>
      <w:lvlJc w:val="left"/>
      <w:pPr>
        <w:tabs>
          <w:tab w:val="num" w:pos="787"/>
        </w:tabs>
        <w:ind w:left="787" w:hanging="360"/>
      </w:pPr>
      <w:rPr>
        <w:rFonts w:ascii="Symbol" w:hAnsi="Symbol" w:hint="default"/>
      </w:rPr>
    </w:lvl>
    <w:lvl w:ilvl="1" w:tplc="0C090003" w:tentative="1">
      <w:start w:val="1"/>
      <w:numFmt w:val="bullet"/>
      <w:lvlText w:val="o"/>
      <w:lvlJc w:val="left"/>
      <w:pPr>
        <w:tabs>
          <w:tab w:val="num" w:pos="1507"/>
        </w:tabs>
        <w:ind w:left="1507" w:hanging="360"/>
      </w:pPr>
      <w:rPr>
        <w:rFonts w:ascii="Courier New" w:hAnsi="Courier New" w:cs="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20">
    <w:nsid w:val="2DEB45E5"/>
    <w:multiLevelType w:val="hybridMultilevel"/>
    <w:tmpl w:val="E626F830"/>
    <w:lvl w:ilvl="0" w:tplc="0C090005">
      <w:start w:val="1"/>
      <w:numFmt w:val="bullet"/>
      <w:lvlText w:val=""/>
      <w:lvlJc w:val="left"/>
      <w:pPr>
        <w:tabs>
          <w:tab w:val="num" w:pos="1188"/>
        </w:tabs>
        <w:ind w:left="1188" w:hanging="360"/>
      </w:pPr>
      <w:rPr>
        <w:rFonts w:ascii="Wingdings" w:hAnsi="Wingdings" w:hint="default"/>
      </w:rPr>
    </w:lvl>
    <w:lvl w:ilvl="1" w:tplc="0C09000F">
      <w:start w:val="1"/>
      <w:numFmt w:val="decimal"/>
      <w:lvlText w:val="%2."/>
      <w:lvlJc w:val="left"/>
      <w:pPr>
        <w:tabs>
          <w:tab w:val="num" w:pos="1908"/>
        </w:tabs>
        <w:ind w:left="1908" w:hanging="360"/>
      </w:pPr>
      <w:rPr>
        <w:rFonts w:hint="default"/>
      </w:rPr>
    </w:lvl>
    <w:lvl w:ilvl="2" w:tplc="0C090005" w:tentative="1">
      <w:start w:val="1"/>
      <w:numFmt w:val="bullet"/>
      <w:lvlText w:val=""/>
      <w:lvlJc w:val="left"/>
      <w:pPr>
        <w:tabs>
          <w:tab w:val="num" w:pos="2628"/>
        </w:tabs>
        <w:ind w:left="2628" w:hanging="360"/>
      </w:pPr>
      <w:rPr>
        <w:rFonts w:ascii="Wingdings" w:hAnsi="Wingdings" w:hint="default"/>
      </w:rPr>
    </w:lvl>
    <w:lvl w:ilvl="3" w:tplc="0C090001" w:tentative="1">
      <w:start w:val="1"/>
      <w:numFmt w:val="bullet"/>
      <w:lvlText w:val=""/>
      <w:lvlJc w:val="left"/>
      <w:pPr>
        <w:tabs>
          <w:tab w:val="num" w:pos="3348"/>
        </w:tabs>
        <w:ind w:left="3348" w:hanging="360"/>
      </w:pPr>
      <w:rPr>
        <w:rFonts w:ascii="Symbol" w:hAnsi="Symbol" w:hint="default"/>
      </w:rPr>
    </w:lvl>
    <w:lvl w:ilvl="4" w:tplc="0C090003" w:tentative="1">
      <w:start w:val="1"/>
      <w:numFmt w:val="bullet"/>
      <w:lvlText w:val="o"/>
      <w:lvlJc w:val="left"/>
      <w:pPr>
        <w:tabs>
          <w:tab w:val="num" w:pos="4068"/>
        </w:tabs>
        <w:ind w:left="4068" w:hanging="360"/>
      </w:pPr>
      <w:rPr>
        <w:rFonts w:ascii="Courier New" w:hAnsi="Courier New" w:cs="Courier New" w:hint="default"/>
      </w:rPr>
    </w:lvl>
    <w:lvl w:ilvl="5" w:tplc="0C090005" w:tentative="1">
      <w:start w:val="1"/>
      <w:numFmt w:val="bullet"/>
      <w:lvlText w:val=""/>
      <w:lvlJc w:val="left"/>
      <w:pPr>
        <w:tabs>
          <w:tab w:val="num" w:pos="4788"/>
        </w:tabs>
        <w:ind w:left="4788" w:hanging="360"/>
      </w:pPr>
      <w:rPr>
        <w:rFonts w:ascii="Wingdings" w:hAnsi="Wingdings" w:hint="default"/>
      </w:rPr>
    </w:lvl>
    <w:lvl w:ilvl="6" w:tplc="0C090001" w:tentative="1">
      <w:start w:val="1"/>
      <w:numFmt w:val="bullet"/>
      <w:lvlText w:val=""/>
      <w:lvlJc w:val="left"/>
      <w:pPr>
        <w:tabs>
          <w:tab w:val="num" w:pos="5508"/>
        </w:tabs>
        <w:ind w:left="5508" w:hanging="360"/>
      </w:pPr>
      <w:rPr>
        <w:rFonts w:ascii="Symbol" w:hAnsi="Symbol" w:hint="default"/>
      </w:rPr>
    </w:lvl>
    <w:lvl w:ilvl="7" w:tplc="0C090003" w:tentative="1">
      <w:start w:val="1"/>
      <w:numFmt w:val="bullet"/>
      <w:lvlText w:val="o"/>
      <w:lvlJc w:val="left"/>
      <w:pPr>
        <w:tabs>
          <w:tab w:val="num" w:pos="6228"/>
        </w:tabs>
        <w:ind w:left="6228" w:hanging="360"/>
      </w:pPr>
      <w:rPr>
        <w:rFonts w:ascii="Courier New" w:hAnsi="Courier New" w:cs="Courier New" w:hint="default"/>
      </w:rPr>
    </w:lvl>
    <w:lvl w:ilvl="8" w:tplc="0C090005" w:tentative="1">
      <w:start w:val="1"/>
      <w:numFmt w:val="bullet"/>
      <w:lvlText w:val=""/>
      <w:lvlJc w:val="left"/>
      <w:pPr>
        <w:tabs>
          <w:tab w:val="num" w:pos="6948"/>
        </w:tabs>
        <w:ind w:left="6948" w:hanging="360"/>
      </w:pPr>
      <w:rPr>
        <w:rFonts w:ascii="Wingdings" w:hAnsi="Wingdings" w:hint="default"/>
      </w:rPr>
    </w:lvl>
  </w:abstractNum>
  <w:abstractNum w:abstractNumId="21">
    <w:nsid w:val="2DFD0531"/>
    <w:multiLevelType w:val="multilevel"/>
    <w:tmpl w:val="A07EABA6"/>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E6D52FE"/>
    <w:multiLevelType w:val="hybridMultilevel"/>
    <w:tmpl w:val="2140E7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30F73340"/>
    <w:multiLevelType w:val="hybridMultilevel"/>
    <w:tmpl w:val="5572781A"/>
    <w:lvl w:ilvl="0" w:tplc="0C090001">
      <w:start w:val="1"/>
      <w:numFmt w:val="bullet"/>
      <w:lvlText w:val=""/>
      <w:lvlJc w:val="left"/>
      <w:pPr>
        <w:tabs>
          <w:tab w:val="num" w:pos="720"/>
        </w:tabs>
        <w:ind w:left="720" w:hanging="360"/>
      </w:pPr>
      <w:rPr>
        <w:rFonts w:ascii="Symbol" w:hAnsi="Symbol"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3FCC3903"/>
    <w:multiLevelType w:val="hybridMultilevel"/>
    <w:tmpl w:val="E33ABBE6"/>
    <w:lvl w:ilvl="0" w:tplc="04104052">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4133062F"/>
    <w:multiLevelType w:val="hybridMultilevel"/>
    <w:tmpl w:val="D688BEA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41B45D0D"/>
    <w:multiLevelType w:val="hybridMultilevel"/>
    <w:tmpl w:val="D74E4B50"/>
    <w:lvl w:ilvl="0" w:tplc="51D82C2A">
      <w:numFmt w:val="bullet"/>
      <w:lvlText w:val="-"/>
      <w:lvlJc w:val="left"/>
      <w:pPr>
        <w:ind w:left="1449" w:hanging="360"/>
      </w:pPr>
      <w:rPr>
        <w:rFonts w:ascii="Cambria" w:eastAsia="Calibri" w:hAnsi="Cambria" w:cs="Times New Roman" w:hint="default"/>
      </w:rPr>
    </w:lvl>
    <w:lvl w:ilvl="1" w:tplc="0C090003">
      <w:start w:val="1"/>
      <w:numFmt w:val="bullet"/>
      <w:lvlText w:val="o"/>
      <w:lvlJc w:val="left"/>
      <w:pPr>
        <w:ind w:left="2169" w:hanging="360"/>
      </w:pPr>
      <w:rPr>
        <w:rFonts w:ascii="Courier New" w:hAnsi="Courier New" w:cs="Courier New" w:hint="default"/>
      </w:rPr>
    </w:lvl>
    <w:lvl w:ilvl="2" w:tplc="0C090005" w:tentative="1">
      <w:start w:val="1"/>
      <w:numFmt w:val="bullet"/>
      <w:lvlText w:val=""/>
      <w:lvlJc w:val="left"/>
      <w:pPr>
        <w:ind w:left="2889" w:hanging="360"/>
      </w:pPr>
      <w:rPr>
        <w:rFonts w:ascii="Wingdings" w:hAnsi="Wingdings" w:hint="default"/>
      </w:rPr>
    </w:lvl>
    <w:lvl w:ilvl="3" w:tplc="0C090001" w:tentative="1">
      <w:start w:val="1"/>
      <w:numFmt w:val="bullet"/>
      <w:lvlText w:val=""/>
      <w:lvlJc w:val="left"/>
      <w:pPr>
        <w:ind w:left="3609" w:hanging="360"/>
      </w:pPr>
      <w:rPr>
        <w:rFonts w:ascii="Symbol" w:hAnsi="Symbol" w:hint="default"/>
      </w:rPr>
    </w:lvl>
    <w:lvl w:ilvl="4" w:tplc="0C090003" w:tentative="1">
      <w:start w:val="1"/>
      <w:numFmt w:val="bullet"/>
      <w:lvlText w:val="o"/>
      <w:lvlJc w:val="left"/>
      <w:pPr>
        <w:ind w:left="4329" w:hanging="360"/>
      </w:pPr>
      <w:rPr>
        <w:rFonts w:ascii="Courier New" w:hAnsi="Courier New" w:cs="Courier New" w:hint="default"/>
      </w:rPr>
    </w:lvl>
    <w:lvl w:ilvl="5" w:tplc="0C090005" w:tentative="1">
      <w:start w:val="1"/>
      <w:numFmt w:val="bullet"/>
      <w:lvlText w:val=""/>
      <w:lvlJc w:val="left"/>
      <w:pPr>
        <w:ind w:left="5049" w:hanging="360"/>
      </w:pPr>
      <w:rPr>
        <w:rFonts w:ascii="Wingdings" w:hAnsi="Wingdings" w:hint="default"/>
      </w:rPr>
    </w:lvl>
    <w:lvl w:ilvl="6" w:tplc="0C090001" w:tentative="1">
      <w:start w:val="1"/>
      <w:numFmt w:val="bullet"/>
      <w:lvlText w:val=""/>
      <w:lvlJc w:val="left"/>
      <w:pPr>
        <w:ind w:left="5769" w:hanging="360"/>
      </w:pPr>
      <w:rPr>
        <w:rFonts w:ascii="Symbol" w:hAnsi="Symbol" w:hint="default"/>
      </w:rPr>
    </w:lvl>
    <w:lvl w:ilvl="7" w:tplc="0C090003" w:tentative="1">
      <w:start w:val="1"/>
      <w:numFmt w:val="bullet"/>
      <w:lvlText w:val="o"/>
      <w:lvlJc w:val="left"/>
      <w:pPr>
        <w:ind w:left="6489" w:hanging="360"/>
      </w:pPr>
      <w:rPr>
        <w:rFonts w:ascii="Courier New" w:hAnsi="Courier New" w:cs="Courier New" w:hint="default"/>
      </w:rPr>
    </w:lvl>
    <w:lvl w:ilvl="8" w:tplc="0C090005" w:tentative="1">
      <w:start w:val="1"/>
      <w:numFmt w:val="bullet"/>
      <w:lvlText w:val=""/>
      <w:lvlJc w:val="left"/>
      <w:pPr>
        <w:ind w:left="7209" w:hanging="360"/>
      </w:pPr>
      <w:rPr>
        <w:rFonts w:ascii="Wingdings" w:hAnsi="Wingdings" w:hint="default"/>
      </w:rPr>
    </w:lvl>
  </w:abstractNum>
  <w:abstractNum w:abstractNumId="27">
    <w:nsid w:val="45E52BDD"/>
    <w:multiLevelType w:val="hybridMultilevel"/>
    <w:tmpl w:val="02D4D2B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4E7F1492"/>
    <w:multiLevelType w:val="multilevel"/>
    <w:tmpl w:val="AF724D8C"/>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F3D0DC4"/>
    <w:multiLevelType w:val="hybridMultilevel"/>
    <w:tmpl w:val="72A0CD90"/>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0">
    <w:nsid w:val="51125AA0"/>
    <w:multiLevelType w:val="hybridMultilevel"/>
    <w:tmpl w:val="E8326BD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1">
    <w:nsid w:val="5F2A0622"/>
    <w:multiLevelType w:val="hybridMultilevel"/>
    <w:tmpl w:val="E5D822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nsid w:val="5FF45522"/>
    <w:multiLevelType w:val="hybridMultilevel"/>
    <w:tmpl w:val="7234A00E"/>
    <w:lvl w:ilvl="0" w:tplc="0C090005">
      <w:start w:val="1"/>
      <w:numFmt w:val="bullet"/>
      <w:lvlText w:val=""/>
      <w:lvlJc w:val="left"/>
      <w:pPr>
        <w:tabs>
          <w:tab w:val="num" w:pos="1131"/>
        </w:tabs>
        <w:ind w:left="1131" w:hanging="360"/>
      </w:pPr>
      <w:rPr>
        <w:rFonts w:ascii="Wingdings" w:hAnsi="Wingdings" w:hint="default"/>
      </w:rPr>
    </w:lvl>
    <w:lvl w:ilvl="1" w:tplc="0C090003" w:tentative="1">
      <w:start w:val="1"/>
      <w:numFmt w:val="bullet"/>
      <w:lvlText w:val="o"/>
      <w:lvlJc w:val="left"/>
      <w:pPr>
        <w:tabs>
          <w:tab w:val="num" w:pos="1851"/>
        </w:tabs>
        <w:ind w:left="1851" w:hanging="360"/>
      </w:pPr>
      <w:rPr>
        <w:rFonts w:ascii="Courier New" w:hAnsi="Courier New" w:cs="Courier New" w:hint="default"/>
      </w:rPr>
    </w:lvl>
    <w:lvl w:ilvl="2" w:tplc="0C090005" w:tentative="1">
      <w:start w:val="1"/>
      <w:numFmt w:val="bullet"/>
      <w:lvlText w:val=""/>
      <w:lvlJc w:val="left"/>
      <w:pPr>
        <w:tabs>
          <w:tab w:val="num" w:pos="2571"/>
        </w:tabs>
        <w:ind w:left="2571" w:hanging="360"/>
      </w:pPr>
      <w:rPr>
        <w:rFonts w:ascii="Wingdings" w:hAnsi="Wingdings" w:hint="default"/>
      </w:rPr>
    </w:lvl>
    <w:lvl w:ilvl="3" w:tplc="0C090001" w:tentative="1">
      <w:start w:val="1"/>
      <w:numFmt w:val="bullet"/>
      <w:lvlText w:val=""/>
      <w:lvlJc w:val="left"/>
      <w:pPr>
        <w:tabs>
          <w:tab w:val="num" w:pos="3291"/>
        </w:tabs>
        <w:ind w:left="3291" w:hanging="360"/>
      </w:pPr>
      <w:rPr>
        <w:rFonts w:ascii="Symbol" w:hAnsi="Symbol" w:hint="default"/>
      </w:rPr>
    </w:lvl>
    <w:lvl w:ilvl="4" w:tplc="0C090003" w:tentative="1">
      <w:start w:val="1"/>
      <w:numFmt w:val="bullet"/>
      <w:lvlText w:val="o"/>
      <w:lvlJc w:val="left"/>
      <w:pPr>
        <w:tabs>
          <w:tab w:val="num" w:pos="4011"/>
        </w:tabs>
        <w:ind w:left="4011" w:hanging="360"/>
      </w:pPr>
      <w:rPr>
        <w:rFonts w:ascii="Courier New" w:hAnsi="Courier New" w:cs="Courier New" w:hint="default"/>
      </w:rPr>
    </w:lvl>
    <w:lvl w:ilvl="5" w:tplc="0C090005" w:tentative="1">
      <w:start w:val="1"/>
      <w:numFmt w:val="bullet"/>
      <w:lvlText w:val=""/>
      <w:lvlJc w:val="left"/>
      <w:pPr>
        <w:tabs>
          <w:tab w:val="num" w:pos="4731"/>
        </w:tabs>
        <w:ind w:left="4731" w:hanging="360"/>
      </w:pPr>
      <w:rPr>
        <w:rFonts w:ascii="Wingdings" w:hAnsi="Wingdings" w:hint="default"/>
      </w:rPr>
    </w:lvl>
    <w:lvl w:ilvl="6" w:tplc="0C090001" w:tentative="1">
      <w:start w:val="1"/>
      <w:numFmt w:val="bullet"/>
      <w:lvlText w:val=""/>
      <w:lvlJc w:val="left"/>
      <w:pPr>
        <w:tabs>
          <w:tab w:val="num" w:pos="5451"/>
        </w:tabs>
        <w:ind w:left="5451" w:hanging="360"/>
      </w:pPr>
      <w:rPr>
        <w:rFonts w:ascii="Symbol" w:hAnsi="Symbol" w:hint="default"/>
      </w:rPr>
    </w:lvl>
    <w:lvl w:ilvl="7" w:tplc="0C090003" w:tentative="1">
      <w:start w:val="1"/>
      <w:numFmt w:val="bullet"/>
      <w:lvlText w:val="o"/>
      <w:lvlJc w:val="left"/>
      <w:pPr>
        <w:tabs>
          <w:tab w:val="num" w:pos="6171"/>
        </w:tabs>
        <w:ind w:left="6171" w:hanging="360"/>
      </w:pPr>
      <w:rPr>
        <w:rFonts w:ascii="Courier New" w:hAnsi="Courier New" w:cs="Courier New" w:hint="default"/>
      </w:rPr>
    </w:lvl>
    <w:lvl w:ilvl="8" w:tplc="0C090005" w:tentative="1">
      <w:start w:val="1"/>
      <w:numFmt w:val="bullet"/>
      <w:lvlText w:val=""/>
      <w:lvlJc w:val="left"/>
      <w:pPr>
        <w:tabs>
          <w:tab w:val="num" w:pos="6891"/>
        </w:tabs>
        <w:ind w:left="6891" w:hanging="360"/>
      </w:pPr>
      <w:rPr>
        <w:rFonts w:ascii="Wingdings" w:hAnsi="Wingdings" w:hint="default"/>
      </w:rPr>
    </w:lvl>
  </w:abstractNum>
  <w:abstractNum w:abstractNumId="33">
    <w:nsid w:val="60655884"/>
    <w:multiLevelType w:val="hybridMultilevel"/>
    <w:tmpl w:val="A5AC3E24"/>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nsid w:val="622E3B4F"/>
    <w:multiLevelType w:val="hybridMultilevel"/>
    <w:tmpl w:val="E5AA503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626F15F6"/>
    <w:multiLevelType w:val="hybridMultilevel"/>
    <w:tmpl w:val="47D8BEF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631C00B9"/>
    <w:multiLevelType w:val="multilevel"/>
    <w:tmpl w:val="E7AEABD2"/>
    <w:lvl w:ilvl="0">
      <w:numFmt w:val="bullet"/>
      <w:lvlText w:val="-"/>
      <w:lvlJc w:val="left"/>
      <w:pPr>
        <w:tabs>
          <w:tab w:val="num" w:pos="720"/>
        </w:tabs>
        <w:ind w:left="720" w:hanging="360"/>
      </w:pPr>
      <w:rPr>
        <w:rFonts w:ascii="Comic Sans MS" w:eastAsia="Times New Roman" w:hAnsi="Comic Sans M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8">
    <w:nsid w:val="65373A36"/>
    <w:multiLevelType w:val="multilevel"/>
    <w:tmpl w:val="C0DC65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8E27E22"/>
    <w:multiLevelType w:val="hybridMultilevel"/>
    <w:tmpl w:val="FC388680"/>
    <w:lvl w:ilvl="0" w:tplc="04104052">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nsid w:val="69C329BC"/>
    <w:multiLevelType w:val="hybridMultilevel"/>
    <w:tmpl w:val="9B5CA6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nsid w:val="6A1D3477"/>
    <w:multiLevelType w:val="hybridMultilevel"/>
    <w:tmpl w:val="FC388680"/>
    <w:lvl w:ilvl="0" w:tplc="04104052">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nsid w:val="6A551961"/>
    <w:multiLevelType w:val="hybridMultilevel"/>
    <w:tmpl w:val="C1DE0D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nsid w:val="6DA9465B"/>
    <w:multiLevelType w:val="hybridMultilevel"/>
    <w:tmpl w:val="CA7234D0"/>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nsid w:val="6E4D51A4"/>
    <w:multiLevelType w:val="multilevel"/>
    <w:tmpl w:val="7BE46C30"/>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EF13E44"/>
    <w:multiLevelType w:val="hybridMultilevel"/>
    <w:tmpl w:val="E7AEABD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6"/>
  </w:num>
  <w:num w:numId="3">
    <w:abstractNumId w:val="25"/>
  </w:num>
  <w:num w:numId="4">
    <w:abstractNumId w:val="43"/>
  </w:num>
  <w:num w:numId="5">
    <w:abstractNumId w:val="5"/>
  </w:num>
  <w:num w:numId="6">
    <w:abstractNumId w:val="14"/>
  </w:num>
  <w:num w:numId="7">
    <w:abstractNumId w:val="35"/>
  </w:num>
  <w:num w:numId="8">
    <w:abstractNumId w:val="34"/>
  </w:num>
  <w:num w:numId="9">
    <w:abstractNumId w:val="27"/>
  </w:num>
  <w:num w:numId="10">
    <w:abstractNumId w:val="23"/>
  </w:num>
  <w:num w:numId="11">
    <w:abstractNumId w:val="45"/>
  </w:num>
  <w:num w:numId="12">
    <w:abstractNumId w:val="36"/>
  </w:num>
  <w:num w:numId="13">
    <w:abstractNumId w:val="42"/>
  </w:num>
  <w:num w:numId="14">
    <w:abstractNumId w:val="40"/>
  </w:num>
  <w:num w:numId="15">
    <w:abstractNumId w:val="22"/>
  </w:num>
  <w:num w:numId="16">
    <w:abstractNumId w:val="24"/>
  </w:num>
  <w:num w:numId="17">
    <w:abstractNumId w:val="11"/>
  </w:num>
  <w:num w:numId="18">
    <w:abstractNumId w:val="17"/>
  </w:num>
  <w:num w:numId="19">
    <w:abstractNumId w:val="2"/>
  </w:num>
  <w:num w:numId="20">
    <w:abstractNumId w:val="1"/>
  </w:num>
  <w:num w:numId="21">
    <w:abstractNumId w:val="13"/>
  </w:num>
  <w:num w:numId="22">
    <w:abstractNumId w:val="32"/>
  </w:num>
  <w:num w:numId="23">
    <w:abstractNumId w:val="9"/>
  </w:num>
  <w:num w:numId="24">
    <w:abstractNumId w:val="20"/>
  </w:num>
  <w:num w:numId="25">
    <w:abstractNumId w:val="30"/>
  </w:num>
  <w:num w:numId="26">
    <w:abstractNumId w:val="29"/>
  </w:num>
  <w:num w:numId="27">
    <w:abstractNumId w:val="8"/>
  </w:num>
  <w:num w:numId="28">
    <w:abstractNumId w:val="33"/>
  </w:num>
  <w:num w:numId="29">
    <w:abstractNumId w:val="19"/>
  </w:num>
  <w:num w:numId="30">
    <w:abstractNumId w:val="15"/>
  </w:num>
  <w:num w:numId="31">
    <w:abstractNumId w:val="6"/>
  </w:num>
  <w:num w:numId="32">
    <w:abstractNumId w:val="0"/>
  </w:num>
  <w:num w:numId="33">
    <w:abstractNumId w:val="7"/>
  </w:num>
  <w:num w:numId="34">
    <w:abstractNumId w:val="26"/>
  </w:num>
  <w:num w:numId="35">
    <w:abstractNumId w:val="37"/>
  </w:num>
  <w:num w:numId="36">
    <w:abstractNumId w:val="18"/>
  </w:num>
  <w:num w:numId="37">
    <w:abstractNumId w:val="10"/>
  </w:num>
  <w:num w:numId="38">
    <w:abstractNumId w:val="12"/>
  </w:num>
  <w:num w:numId="39">
    <w:abstractNumId w:val="28"/>
  </w:num>
  <w:num w:numId="40">
    <w:abstractNumId w:val="4"/>
  </w:num>
  <w:num w:numId="41">
    <w:abstractNumId w:val="21"/>
  </w:num>
  <w:num w:numId="42">
    <w:abstractNumId w:val="39"/>
  </w:num>
  <w:num w:numId="43">
    <w:abstractNumId w:val="44"/>
  </w:num>
  <w:num w:numId="44">
    <w:abstractNumId w:val="38"/>
  </w:num>
  <w:num w:numId="45">
    <w:abstractNumId w:val="41"/>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718"/>
    <w:rsid w:val="000117B2"/>
    <w:rsid w:val="0001796D"/>
    <w:rsid w:val="00017BF0"/>
    <w:rsid w:val="0002568B"/>
    <w:rsid w:val="00043FA7"/>
    <w:rsid w:val="000552E8"/>
    <w:rsid w:val="00056585"/>
    <w:rsid w:val="0005674F"/>
    <w:rsid w:val="000657D5"/>
    <w:rsid w:val="00065C6E"/>
    <w:rsid w:val="00073F1B"/>
    <w:rsid w:val="00075B58"/>
    <w:rsid w:val="000B11DD"/>
    <w:rsid w:val="000B56A0"/>
    <w:rsid w:val="000B5CEB"/>
    <w:rsid w:val="000C390A"/>
    <w:rsid w:val="000C77DD"/>
    <w:rsid w:val="000E295B"/>
    <w:rsid w:val="000E45A0"/>
    <w:rsid w:val="00107460"/>
    <w:rsid w:val="00112415"/>
    <w:rsid w:val="0013678D"/>
    <w:rsid w:val="00140A34"/>
    <w:rsid w:val="0015048C"/>
    <w:rsid w:val="00167202"/>
    <w:rsid w:val="00171526"/>
    <w:rsid w:val="00181475"/>
    <w:rsid w:val="001828A4"/>
    <w:rsid w:val="00191B6C"/>
    <w:rsid w:val="001A3BE2"/>
    <w:rsid w:val="001C35E7"/>
    <w:rsid w:val="001C4578"/>
    <w:rsid w:val="001F28A6"/>
    <w:rsid w:val="001F2A16"/>
    <w:rsid w:val="001F6921"/>
    <w:rsid w:val="001F7C3E"/>
    <w:rsid w:val="00201969"/>
    <w:rsid w:val="00213FA5"/>
    <w:rsid w:val="002352DA"/>
    <w:rsid w:val="0023733A"/>
    <w:rsid w:val="0024044F"/>
    <w:rsid w:val="00245D00"/>
    <w:rsid w:val="00257F2D"/>
    <w:rsid w:val="00262F9F"/>
    <w:rsid w:val="00266D2D"/>
    <w:rsid w:val="0027331F"/>
    <w:rsid w:val="00285E76"/>
    <w:rsid w:val="002949C3"/>
    <w:rsid w:val="002A10A4"/>
    <w:rsid w:val="002A1D1B"/>
    <w:rsid w:val="002A26FE"/>
    <w:rsid w:val="002B1423"/>
    <w:rsid w:val="002C3788"/>
    <w:rsid w:val="002F1257"/>
    <w:rsid w:val="00310C61"/>
    <w:rsid w:val="003171B3"/>
    <w:rsid w:val="00321E22"/>
    <w:rsid w:val="0032559D"/>
    <w:rsid w:val="00335E4E"/>
    <w:rsid w:val="00344575"/>
    <w:rsid w:val="0035113C"/>
    <w:rsid w:val="00354525"/>
    <w:rsid w:val="00380CC4"/>
    <w:rsid w:val="0038611C"/>
    <w:rsid w:val="003C0686"/>
    <w:rsid w:val="003D08CF"/>
    <w:rsid w:val="003D0F6A"/>
    <w:rsid w:val="003D4BA8"/>
    <w:rsid w:val="003E5269"/>
    <w:rsid w:val="003E54C8"/>
    <w:rsid w:val="003E6A55"/>
    <w:rsid w:val="00405394"/>
    <w:rsid w:val="004066E4"/>
    <w:rsid w:val="0040680B"/>
    <w:rsid w:val="00407361"/>
    <w:rsid w:val="00417C55"/>
    <w:rsid w:val="00424A7B"/>
    <w:rsid w:val="00430FF5"/>
    <w:rsid w:val="004447C1"/>
    <w:rsid w:val="004557A3"/>
    <w:rsid w:val="0046211F"/>
    <w:rsid w:val="0046787B"/>
    <w:rsid w:val="00486653"/>
    <w:rsid w:val="004A5FDA"/>
    <w:rsid w:val="004D098C"/>
    <w:rsid w:val="004D24A9"/>
    <w:rsid w:val="004E5357"/>
    <w:rsid w:val="004F4A07"/>
    <w:rsid w:val="004F5EB1"/>
    <w:rsid w:val="004F6887"/>
    <w:rsid w:val="005030AD"/>
    <w:rsid w:val="0051249C"/>
    <w:rsid w:val="005176E7"/>
    <w:rsid w:val="00520330"/>
    <w:rsid w:val="00524B6B"/>
    <w:rsid w:val="00531879"/>
    <w:rsid w:val="005413EE"/>
    <w:rsid w:val="00587443"/>
    <w:rsid w:val="00587C50"/>
    <w:rsid w:val="005917F3"/>
    <w:rsid w:val="00592F9A"/>
    <w:rsid w:val="005979A4"/>
    <w:rsid w:val="005B0ACD"/>
    <w:rsid w:val="005B50A2"/>
    <w:rsid w:val="005C3408"/>
    <w:rsid w:val="005D5D19"/>
    <w:rsid w:val="005D611B"/>
    <w:rsid w:val="005F1ACE"/>
    <w:rsid w:val="005F256D"/>
    <w:rsid w:val="0060183A"/>
    <w:rsid w:val="00603110"/>
    <w:rsid w:val="0060535A"/>
    <w:rsid w:val="00611C8E"/>
    <w:rsid w:val="00631F30"/>
    <w:rsid w:val="00642420"/>
    <w:rsid w:val="00646158"/>
    <w:rsid w:val="0065314A"/>
    <w:rsid w:val="006637DC"/>
    <w:rsid w:val="0066622C"/>
    <w:rsid w:val="00666487"/>
    <w:rsid w:val="00673B37"/>
    <w:rsid w:val="006945EA"/>
    <w:rsid w:val="006B5470"/>
    <w:rsid w:val="006D0138"/>
    <w:rsid w:val="006D6F52"/>
    <w:rsid w:val="00701718"/>
    <w:rsid w:val="00710359"/>
    <w:rsid w:val="00710A6F"/>
    <w:rsid w:val="00722DBF"/>
    <w:rsid w:val="0073063C"/>
    <w:rsid w:val="00735157"/>
    <w:rsid w:val="00775490"/>
    <w:rsid w:val="00795D0C"/>
    <w:rsid w:val="007A55BA"/>
    <w:rsid w:val="007C1FBD"/>
    <w:rsid w:val="007E22F5"/>
    <w:rsid w:val="007F25F3"/>
    <w:rsid w:val="007F4901"/>
    <w:rsid w:val="00836B02"/>
    <w:rsid w:val="008467D4"/>
    <w:rsid w:val="00850FB0"/>
    <w:rsid w:val="0085238E"/>
    <w:rsid w:val="008540EA"/>
    <w:rsid w:val="00866A00"/>
    <w:rsid w:val="008702A6"/>
    <w:rsid w:val="008757CE"/>
    <w:rsid w:val="008813EB"/>
    <w:rsid w:val="0088392C"/>
    <w:rsid w:val="0088688F"/>
    <w:rsid w:val="00897C0E"/>
    <w:rsid w:val="00897E31"/>
    <w:rsid w:val="008A046F"/>
    <w:rsid w:val="008A405A"/>
    <w:rsid w:val="008A6A6A"/>
    <w:rsid w:val="008B048F"/>
    <w:rsid w:val="008B412B"/>
    <w:rsid w:val="008B650A"/>
    <w:rsid w:val="008B787C"/>
    <w:rsid w:val="008C26A1"/>
    <w:rsid w:val="008C3898"/>
    <w:rsid w:val="008C66CC"/>
    <w:rsid w:val="008D05D2"/>
    <w:rsid w:val="008F483C"/>
    <w:rsid w:val="00912D61"/>
    <w:rsid w:val="009322D7"/>
    <w:rsid w:val="00932BDE"/>
    <w:rsid w:val="00942A85"/>
    <w:rsid w:val="00964A36"/>
    <w:rsid w:val="00967725"/>
    <w:rsid w:val="009902F8"/>
    <w:rsid w:val="00993BB8"/>
    <w:rsid w:val="0099555F"/>
    <w:rsid w:val="009A22A1"/>
    <w:rsid w:val="009B3A1B"/>
    <w:rsid w:val="009B6332"/>
    <w:rsid w:val="009C0912"/>
    <w:rsid w:val="009D6694"/>
    <w:rsid w:val="009F0300"/>
    <w:rsid w:val="00A167A8"/>
    <w:rsid w:val="00A21F0A"/>
    <w:rsid w:val="00A26011"/>
    <w:rsid w:val="00A506C2"/>
    <w:rsid w:val="00A62886"/>
    <w:rsid w:val="00A74C38"/>
    <w:rsid w:val="00A77D24"/>
    <w:rsid w:val="00A8572F"/>
    <w:rsid w:val="00A93E07"/>
    <w:rsid w:val="00A979CF"/>
    <w:rsid w:val="00AA3ABE"/>
    <w:rsid w:val="00AA4DF8"/>
    <w:rsid w:val="00AA7C87"/>
    <w:rsid w:val="00AB780C"/>
    <w:rsid w:val="00AD29E9"/>
    <w:rsid w:val="00AD5ADE"/>
    <w:rsid w:val="00AE7138"/>
    <w:rsid w:val="00AF4CAF"/>
    <w:rsid w:val="00B117BA"/>
    <w:rsid w:val="00B20D87"/>
    <w:rsid w:val="00B578AC"/>
    <w:rsid w:val="00B6433F"/>
    <w:rsid w:val="00B6446D"/>
    <w:rsid w:val="00B64CF5"/>
    <w:rsid w:val="00B76C9B"/>
    <w:rsid w:val="00B80099"/>
    <w:rsid w:val="00B823A1"/>
    <w:rsid w:val="00B8428B"/>
    <w:rsid w:val="00B94253"/>
    <w:rsid w:val="00BA41F5"/>
    <w:rsid w:val="00BB3C9C"/>
    <w:rsid w:val="00BC373D"/>
    <w:rsid w:val="00BE066D"/>
    <w:rsid w:val="00BE1062"/>
    <w:rsid w:val="00BF4822"/>
    <w:rsid w:val="00C01D22"/>
    <w:rsid w:val="00C104B6"/>
    <w:rsid w:val="00C10F02"/>
    <w:rsid w:val="00C114F4"/>
    <w:rsid w:val="00C11D03"/>
    <w:rsid w:val="00C31967"/>
    <w:rsid w:val="00C371DE"/>
    <w:rsid w:val="00C409AE"/>
    <w:rsid w:val="00C42D50"/>
    <w:rsid w:val="00C54DF8"/>
    <w:rsid w:val="00C60B49"/>
    <w:rsid w:val="00C7440A"/>
    <w:rsid w:val="00C8177E"/>
    <w:rsid w:val="00C865ED"/>
    <w:rsid w:val="00C8775A"/>
    <w:rsid w:val="00CA0877"/>
    <w:rsid w:val="00CA6B59"/>
    <w:rsid w:val="00CB3B6C"/>
    <w:rsid w:val="00CB4427"/>
    <w:rsid w:val="00CC1833"/>
    <w:rsid w:val="00CC189F"/>
    <w:rsid w:val="00CC3368"/>
    <w:rsid w:val="00CF19C4"/>
    <w:rsid w:val="00CF1DFA"/>
    <w:rsid w:val="00CF2618"/>
    <w:rsid w:val="00D0111C"/>
    <w:rsid w:val="00D13C04"/>
    <w:rsid w:val="00D20A78"/>
    <w:rsid w:val="00D278BA"/>
    <w:rsid w:val="00D40454"/>
    <w:rsid w:val="00D4059C"/>
    <w:rsid w:val="00D4679A"/>
    <w:rsid w:val="00D53D8F"/>
    <w:rsid w:val="00D61C76"/>
    <w:rsid w:val="00D77015"/>
    <w:rsid w:val="00D92B48"/>
    <w:rsid w:val="00DA44E5"/>
    <w:rsid w:val="00DB1693"/>
    <w:rsid w:val="00DD5B07"/>
    <w:rsid w:val="00DE6821"/>
    <w:rsid w:val="00DF2022"/>
    <w:rsid w:val="00DF34BE"/>
    <w:rsid w:val="00DF5D59"/>
    <w:rsid w:val="00E239E4"/>
    <w:rsid w:val="00E4106F"/>
    <w:rsid w:val="00E53399"/>
    <w:rsid w:val="00E56B73"/>
    <w:rsid w:val="00E66FCE"/>
    <w:rsid w:val="00E77995"/>
    <w:rsid w:val="00E87099"/>
    <w:rsid w:val="00E93789"/>
    <w:rsid w:val="00EA28E6"/>
    <w:rsid w:val="00ED67B6"/>
    <w:rsid w:val="00EE7ACE"/>
    <w:rsid w:val="00EF78C4"/>
    <w:rsid w:val="00F04CD7"/>
    <w:rsid w:val="00F23E15"/>
    <w:rsid w:val="00F244A2"/>
    <w:rsid w:val="00F35064"/>
    <w:rsid w:val="00F374D8"/>
    <w:rsid w:val="00F5684D"/>
    <w:rsid w:val="00F57AB6"/>
    <w:rsid w:val="00F6480F"/>
    <w:rsid w:val="00F86713"/>
    <w:rsid w:val="00F932E0"/>
    <w:rsid w:val="00FB7701"/>
    <w:rsid w:val="00FC40F0"/>
    <w:rsid w:val="00FC6D3B"/>
    <w:rsid w:val="00FD0129"/>
    <w:rsid w:val="00FE17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555F"/>
    <w:rPr>
      <w:sz w:val="24"/>
    </w:rPr>
  </w:style>
  <w:style w:type="paragraph" w:styleId="Heading2">
    <w:name w:val="heading 2"/>
    <w:basedOn w:val="Normal"/>
    <w:next w:val="Normal"/>
    <w:qFormat/>
    <w:rsid w:val="0099555F"/>
    <w:pPr>
      <w:keepNext/>
      <w:spacing w:after="120"/>
      <w:outlineLvl w:val="1"/>
    </w:pPr>
    <w:rPr>
      <w:rFonts w:ascii="Arial" w:hAnsi="Arial"/>
      <w:b/>
      <w:sz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uiPriority w:val="99"/>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semiHidden/>
    <w:rsid w:val="00A26011"/>
    <w:rPr>
      <w:sz w:val="16"/>
      <w:szCs w:val="16"/>
    </w:rPr>
  </w:style>
  <w:style w:type="paragraph" w:styleId="CommentText">
    <w:name w:val="annotation text"/>
    <w:basedOn w:val="Normal"/>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qFormat/>
    <w:rsid w:val="00075B58"/>
    <w:pPr>
      <w:spacing w:after="200" w:line="276" w:lineRule="auto"/>
      <w:ind w:left="720"/>
    </w:pPr>
    <w:rPr>
      <w:rFonts w:ascii="Calibri" w:eastAsia="Calibri" w:hAnsi="Calibri"/>
      <w:sz w:val="22"/>
      <w:szCs w:val="22"/>
      <w:lang w:eastAsia="en-US"/>
    </w:rPr>
  </w:style>
  <w:style w:type="paragraph" w:styleId="Revision">
    <w:name w:val="Revision"/>
    <w:hidden/>
    <w:uiPriority w:val="99"/>
    <w:semiHidden/>
    <w:rsid w:val="00335E4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555F"/>
    <w:rPr>
      <w:sz w:val="24"/>
    </w:rPr>
  </w:style>
  <w:style w:type="paragraph" w:styleId="Heading2">
    <w:name w:val="heading 2"/>
    <w:basedOn w:val="Normal"/>
    <w:next w:val="Normal"/>
    <w:qFormat/>
    <w:rsid w:val="0099555F"/>
    <w:pPr>
      <w:keepNext/>
      <w:spacing w:after="120"/>
      <w:outlineLvl w:val="1"/>
    </w:pPr>
    <w:rPr>
      <w:rFonts w:ascii="Arial" w:hAnsi="Arial"/>
      <w:b/>
      <w:sz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uiPriority w:val="99"/>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semiHidden/>
    <w:rsid w:val="00A26011"/>
    <w:rPr>
      <w:sz w:val="16"/>
      <w:szCs w:val="16"/>
    </w:rPr>
  </w:style>
  <w:style w:type="paragraph" w:styleId="CommentText">
    <w:name w:val="annotation text"/>
    <w:basedOn w:val="Normal"/>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qFormat/>
    <w:rsid w:val="00075B58"/>
    <w:pPr>
      <w:spacing w:after="200" w:line="276" w:lineRule="auto"/>
      <w:ind w:left="720"/>
    </w:pPr>
    <w:rPr>
      <w:rFonts w:ascii="Calibri" w:eastAsia="Calibri" w:hAnsi="Calibri"/>
      <w:sz w:val="22"/>
      <w:szCs w:val="22"/>
      <w:lang w:eastAsia="en-US"/>
    </w:rPr>
  </w:style>
  <w:style w:type="paragraph" w:styleId="Revision">
    <w:name w:val="Revision"/>
    <w:hidden/>
    <w:uiPriority w:val="99"/>
    <w:semiHidden/>
    <w:rsid w:val="00335E4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967672">
      <w:bodyDiv w:val="1"/>
      <w:marLeft w:val="0"/>
      <w:marRight w:val="0"/>
      <w:marTop w:val="0"/>
      <w:marBottom w:val="0"/>
      <w:divBdr>
        <w:top w:val="none" w:sz="0" w:space="0" w:color="auto"/>
        <w:left w:val="none" w:sz="0" w:space="0" w:color="auto"/>
        <w:bottom w:val="none" w:sz="0" w:space="0" w:color="auto"/>
        <w:right w:val="none" w:sz="0" w:space="0" w:color="auto"/>
      </w:divBdr>
      <w:divsChild>
        <w:div w:id="1053698002">
          <w:marLeft w:val="0"/>
          <w:marRight w:val="0"/>
          <w:marTop w:val="0"/>
          <w:marBottom w:val="0"/>
          <w:divBdr>
            <w:top w:val="none" w:sz="0" w:space="0" w:color="auto"/>
            <w:left w:val="none" w:sz="0" w:space="0" w:color="auto"/>
            <w:bottom w:val="none" w:sz="0" w:space="0" w:color="auto"/>
            <w:right w:val="none" w:sz="0" w:space="0" w:color="auto"/>
          </w:divBdr>
          <w:divsChild>
            <w:div w:id="550844044">
              <w:marLeft w:val="0"/>
              <w:marRight w:val="0"/>
              <w:marTop w:val="0"/>
              <w:marBottom w:val="0"/>
              <w:divBdr>
                <w:top w:val="none" w:sz="0" w:space="0" w:color="auto"/>
                <w:left w:val="none" w:sz="0" w:space="0" w:color="auto"/>
                <w:bottom w:val="none" w:sz="0" w:space="0" w:color="auto"/>
                <w:right w:val="none" w:sz="0" w:space="0" w:color="auto"/>
              </w:divBdr>
              <w:divsChild>
                <w:div w:id="1407654795">
                  <w:marLeft w:val="0"/>
                  <w:marRight w:val="0"/>
                  <w:marTop w:val="0"/>
                  <w:marBottom w:val="0"/>
                  <w:divBdr>
                    <w:top w:val="none" w:sz="0" w:space="0" w:color="auto"/>
                    <w:left w:val="none" w:sz="0" w:space="0" w:color="auto"/>
                    <w:bottom w:val="none" w:sz="0" w:space="0" w:color="auto"/>
                    <w:right w:val="none" w:sz="0" w:space="0" w:color="auto"/>
                  </w:divBdr>
                  <w:divsChild>
                    <w:div w:id="229578716">
                      <w:marLeft w:val="0"/>
                      <w:marRight w:val="0"/>
                      <w:marTop w:val="0"/>
                      <w:marBottom w:val="0"/>
                      <w:divBdr>
                        <w:top w:val="none" w:sz="0" w:space="0" w:color="auto"/>
                        <w:left w:val="none" w:sz="0" w:space="0" w:color="auto"/>
                        <w:bottom w:val="none" w:sz="0" w:space="0" w:color="auto"/>
                        <w:right w:val="none" w:sz="0" w:space="0" w:color="auto"/>
                      </w:divBdr>
                      <w:divsChild>
                        <w:div w:id="1032993423">
                          <w:marLeft w:val="0"/>
                          <w:marRight w:val="0"/>
                          <w:marTop w:val="0"/>
                          <w:marBottom w:val="0"/>
                          <w:divBdr>
                            <w:top w:val="none" w:sz="0" w:space="0" w:color="auto"/>
                            <w:left w:val="none" w:sz="0" w:space="0" w:color="auto"/>
                            <w:bottom w:val="none" w:sz="0" w:space="0" w:color="auto"/>
                            <w:right w:val="none" w:sz="0" w:space="0" w:color="auto"/>
                          </w:divBdr>
                          <w:divsChild>
                            <w:div w:id="1978031192">
                              <w:marLeft w:val="0"/>
                              <w:marRight w:val="0"/>
                              <w:marTop w:val="0"/>
                              <w:marBottom w:val="0"/>
                              <w:divBdr>
                                <w:top w:val="single" w:sz="6" w:space="0" w:color="828282"/>
                                <w:left w:val="single" w:sz="6" w:space="0" w:color="828282"/>
                                <w:bottom w:val="single" w:sz="6" w:space="0" w:color="828282"/>
                                <w:right w:val="single" w:sz="6" w:space="0" w:color="828282"/>
                              </w:divBdr>
                              <w:divsChild>
                                <w:div w:id="1513253718">
                                  <w:marLeft w:val="0"/>
                                  <w:marRight w:val="0"/>
                                  <w:marTop w:val="0"/>
                                  <w:marBottom w:val="0"/>
                                  <w:divBdr>
                                    <w:top w:val="none" w:sz="0" w:space="0" w:color="auto"/>
                                    <w:left w:val="none" w:sz="0" w:space="0" w:color="auto"/>
                                    <w:bottom w:val="none" w:sz="0" w:space="0" w:color="auto"/>
                                    <w:right w:val="none" w:sz="0" w:space="0" w:color="auto"/>
                                  </w:divBdr>
                                  <w:divsChild>
                                    <w:div w:id="779185255">
                                      <w:marLeft w:val="0"/>
                                      <w:marRight w:val="0"/>
                                      <w:marTop w:val="0"/>
                                      <w:marBottom w:val="0"/>
                                      <w:divBdr>
                                        <w:top w:val="none" w:sz="0" w:space="0" w:color="auto"/>
                                        <w:left w:val="none" w:sz="0" w:space="0" w:color="auto"/>
                                        <w:bottom w:val="none" w:sz="0" w:space="0" w:color="auto"/>
                                        <w:right w:val="none" w:sz="0" w:space="0" w:color="auto"/>
                                      </w:divBdr>
                                      <w:divsChild>
                                        <w:div w:id="440761975">
                                          <w:marLeft w:val="0"/>
                                          <w:marRight w:val="0"/>
                                          <w:marTop w:val="0"/>
                                          <w:marBottom w:val="0"/>
                                          <w:divBdr>
                                            <w:top w:val="none" w:sz="0" w:space="0" w:color="auto"/>
                                            <w:left w:val="none" w:sz="0" w:space="0" w:color="auto"/>
                                            <w:bottom w:val="none" w:sz="0" w:space="0" w:color="auto"/>
                                            <w:right w:val="none" w:sz="0" w:space="0" w:color="auto"/>
                                          </w:divBdr>
                                          <w:divsChild>
                                            <w:div w:id="1964188945">
                                              <w:marLeft w:val="0"/>
                                              <w:marRight w:val="0"/>
                                              <w:marTop w:val="0"/>
                                              <w:marBottom w:val="0"/>
                                              <w:divBdr>
                                                <w:top w:val="none" w:sz="0" w:space="0" w:color="auto"/>
                                                <w:left w:val="none" w:sz="0" w:space="0" w:color="auto"/>
                                                <w:bottom w:val="none" w:sz="0" w:space="0" w:color="auto"/>
                                                <w:right w:val="none" w:sz="0" w:space="0" w:color="auto"/>
                                              </w:divBdr>
                                              <w:divsChild>
                                                <w:div w:id="374238242">
                                                  <w:marLeft w:val="0"/>
                                                  <w:marRight w:val="0"/>
                                                  <w:marTop w:val="0"/>
                                                  <w:marBottom w:val="0"/>
                                                  <w:divBdr>
                                                    <w:top w:val="none" w:sz="0" w:space="0" w:color="auto"/>
                                                    <w:left w:val="none" w:sz="0" w:space="0" w:color="auto"/>
                                                    <w:bottom w:val="none" w:sz="0" w:space="0" w:color="auto"/>
                                                    <w:right w:val="none" w:sz="0" w:space="0" w:color="auto"/>
                                                  </w:divBdr>
                                                  <w:divsChild>
                                                    <w:div w:id="142888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1205642">
      <w:bodyDiv w:val="1"/>
      <w:marLeft w:val="0"/>
      <w:marRight w:val="0"/>
      <w:marTop w:val="0"/>
      <w:marBottom w:val="0"/>
      <w:divBdr>
        <w:top w:val="none" w:sz="0" w:space="0" w:color="auto"/>
        <w:left w:val="none" w:sz="0" w:space="0" w:color="auto"/>
        <w:bottom w:val="none" w:sz="0" w:space="0" w:color="auto"/>
        <w:right w:val="none" w:sz="0" w:space="0" w:color="auto"/>
      </w:divBdr>
      <w:divsChild>
        <w:div w:id="768426410">
          <w:marLeft w:val="0"/>
          <w:marRight w:val="0"/>
          <w:marTop w:val="0"/>
          <w:marBottom w:val="0"/>
          <w:divBdr>
            <w:top w:val="none" w:sz="0" w:space="0" w:color="auto"/>
            <w:left w:val="none" w:sz="0" w:space="0" w:color="auto"/>
            <w:bottom w:val="none" w:sz="0" w:space="0" w:color="auto"/>
            <w:right w:val="none" w:sz="0" w:space="0" w:color="auto"/>
          </w:divBdr>
          <w:divsChild>
            <w:div w:id="360479754">
              <w:marLeft w:val="0"/>
              <w:marRight w:val="0"/>
              <w:marTop w:val="0"/>
              <w:marBottom w:val="0"/>
              <w:divBdr>
                <w:top w:val="none" w:sz="0" w:space="0" w:color="auto"/>
                <w:left w:val="none" w:sz="0" w:space="0" w:color="auto"/>
                <w:bottom w:val="none" w:sz="0" w:space="0" w:color="auto"/>
                <w:right w:val="none" w:sz="0" w:space="0" w:color="auto"/>
              </w:divBdr>
              <w:divsChild>
                <w:div w:id="1190610973">
                  <w:marLeft w:val="0"/>
                  <w:marRight w:val="0"/>
                  <w:marTop w:val="0"/>
                  <w:marBottom w:val="0"/>
                  <w:divBdr>
                    <w:top w:val="none" w:sz="0" w:space="0" w:color="auto"/>
                    <w:left w:val="none" w:sz="0" w:space="0" w:color="auto"/>
                    <w:bottom w:val="none" w:sz="0" w:space="0" w:color="auto"/>
                    <w:right w:val="none" w:sz="0" w:space="0" w:color="auto"/>
                  </w:divBdr>
                  <w:divsChild>
                    <w:div w:id="1251038262">
                      <w:marLeft w:val="0"/>
                      <w:marRight w:val="0"/>
                      <w:marTop w:val="0"/>
                      <w:marBottom w:val="0"/>
                      <w:divBdr>
                        <w:top w:val="none" w:sz="0" w:space="0" w:color="auto"/>
                        <w:left w:val="none" w:sz="0" w:space="0" w:color="auto"/>
                        <w:bottom w:val="none" w:sz="0" w:space="0" w:color="auto"/>
                        <w:right w:val="none" w:sz="0" w:space="0" w:color="auto"/>
                      </w:divBdr>
                      <w:divsChild>
                        <w:div w:id="1840466814">
                          <w:marLeft w:val="0"/>
                          <w:marRight w:val="0"/>
                          <w:marTop w:val="0"/>
                          <w:marBottom w:val="0"/>
                          <w:divBdr>
                            <w:top w:val="none" w:sz="0" w:space="0" w:color="auto"/>
                            <w:left w:val="none" w:sz="0" w:space="0" w:color="auto"/>
                            <w:bottom w:val="none" w:sz="0" w:space="0" w:color="auto"/>
                            <w:right w:val="none" w:sz="0" w:space="0" w:color="auto"/>
                          </w:divBdr>
                          <w:divsChild>
                            <w:div w:id="389960249">
                              <w:marLeft w:val="0"/>
                              <w:marRight w:val="0"/>
                              <w:marTop w:val="0"/>
                              <w:marBottom w:val="0"/>
                              <w:divBdr>
                                <w:top w:val="single" w:sz="6" w:space="0" w:color="828282"/>
                                <w:left w:val="single" w:sz="6" w:space="0" w:color="828282"/>
                                <w:bottom w:val="single" w:sz="6" w:space="0" w:color="828282"/>
                                <w:right w:val="single" w:sz="6" w:space="0" w:color="828282"/>
                              </w:divBdr>
                              <w:divsChild>
                                <w:div w:id="1094398536">
                                  <w:marLeft w:val="0"/>
                                  <w:marRight w:val="0"/>
                                  <w:marTop w:val="0"/>
                                  <w:marBottom w:val="0"/>
                                  <w:divBdr>
                                    <w:top w:val="none" w:sz="0" w:space="0" w:color="auto"/>
                                    <w:left w:val="none" w:sz="0" w:space="0" w:color="auto"/>
                                    <w:bottom w:val="none" w:sz="0" w:space="0" w:color="auto"/>
                                    <w:right w:val="none" w:sz="0" w:space="0" w:color="auto"/>
                                  </w:divBdr>
                                  <w:divsChild>
                                    <w:div w:id="356126833">
                                      <w:marLeft w:val="0"/>
                                      <w:marRight w:val="0"/>
                                      <w:marTop w:val="0"/>
                                      <w:marBottom w:val="0"/>
                                      <w:divBdr>
                                        <w:top w:val="none" w:sz="0" w:space="0" w:color="auto"/>
                                        <w:left w:val="none" w:sz="0" w:space="0" w:color="auto"/>
                                        <w:bottom w:val="none" w:sz="0" w:space="0" w:color="auto"/>
                                        <w:right w:val="none" w:sz="0" w:space="0" w:color="auto"/>
                                      </w:divBdr>
                                      <w:divsChild>
                                        <w:div w:id="1437216436">
                                          <w:marLeft w:val="0"/>
                                          <w:marRight w:val="0"/>
                                          <w:marTop w:val="0"/>
                                          <w:marBottom w:val="0"/>
                                          <w:divBdr>
                                            <w:top w:val="none" w:sz="0" w:space="0" w:color="auto"/>
                                            <w:left w:val="none" w:sz="0" w:space="0" w:color="auto"/>
                                            <w:bottom w:val="none" w:sz="0" w:space="0" w:color="auto"/>
                                            <w:right w:val="none" w:sz="0" w:space="0" w:color="auto"/>
                                          </w:divBdr>
                                          <w:divsChild>
                                            <w:div w:id="1343509629">
                                              <w:marLeft w:val="0"/>
                                              <w:marRight w:val="0"/>
                                              <w:marTop w:val="0"/>
                                              <w:marBottom w:val="0"/>
                                              <w:divBdr>
                                                <w:top w:val="none" w:sz="0" w:space="0" w:color="auto"/>
                                                <w:left w:val="none" w:sz="0" w:space="0" w:color="auto"/>
                                                <w:bottom w:val="none" w:sz="0" w:space="0" w:color="auto"/>
                                                <w:right w:val="none" w:sz="0" w:space="0" w:color="auto"/>
                                              </w:divBdr>
                                              <w:divsChild>
                                                <w:div w:id="1184124402">
                                                  <w:marLeft w:val="0"/>
                                                  <w:marRight w:val="0"/>
                                                  <w:marTop w:val="0"/>
                                                  <w:marBottom w:val="0"/>
                                                  <w:divBdr>
                                                    <w:top w:val="none" w:sz="0" w:space="0" w:color="auto"/>
                                                    <w:left w:val="none" w:sz="0" w:space="0" w:color="auto"/>
                                                    <w:bottom w:val="none" w:sz="0" w:space="0" w:color="auto"/>
                                                    <w:right w:val="none" w:sz="0" w:space="0" w:color="auto"/>
                                                  </w:divBdr>
                                                  <w:divsChild>
                                                    <w:div w:id="206166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7974031">
      <w:bodyDiv w:val="1"/>
      <w:marLeft w:val="0"/>
      <w:marRight w:val="0"/>
      <w:marTop w:val="0"/>
      <w:marBottom w:val="0"/>
      <w:divBdr>
        <w:top w:val="none" w:sz="0" w:space="0" w:color="auto"/>
        <w:left w:val="none" w:sz="0" w:space="0" w:color="auto"/>
        <w:bottom w:val="none" w:sz="0" w:space="0" w:color="auto"/>
        <w:right w:val="none" w:sz="0" w:space="0" w:color="auto"/>
      </w:divBdr>
      <w:divsChild>
        <w:div w:id="34424955">
          <w:marLeft w:val="0"/>
          <w:marRight w:val="0"/>
          <w:marTop w:val="0"/>
          <w:marBottom w:val="0"/>
          <w:divBdr>
            <w:top w:val="none" w:sz="0" w:space="0" w:color="auto"/>
            <w:left w:val="none" w:sz="0" w:space="0" w:color="auto"/>
            <w:bottom w:val="none" w:sz="0" w:space="0" w:color="auto"/>
            <w:right w:val="none" w:sz="0" w:space="0" w:color="auto"/>
          </w:divBdr>
          <w:divsChild>
            <w:div w:id="474954336">
              <w:marLeft w:val="0"/>
              <w:marRight w:val="0"/>
              <w:marTop w:val="0"/>
              <w:marBottom w:val="0"/>
              <w:divBdr>
                <w:top w:val="none" w:sz="0" w:space="0" w:color="auto"/>
                <w:left w:val="none" w:sz="0" w:space="0" w:color="auto"/>
                <w:bottom w:val="none" w:sz="0" w:space="0" w:color="auto"/>
                <w:right w:val="none" w:sz="0" w:space="0" w:color="auto"/>
              </w:divBdr>
              <w:divsChild>
                <w:div w:id="173419784">
                  <w:marLeft w:val="0"/>
                  <w:marRight w:val="0"/>
                  <w:marTop w:val="0"/>
                  <w:marBottom w:val="0"/>
                  <w:divBdr>
                    <w:top w:val="none" w:sz="0" w:space="0" w:color="auto"/>
                    <w:left w:val="none" w:sz="0" w:space="0" w:color="auto"/>
                    <w:bottom w:val="none" w:sz="0" w:space="0" w:color="auto"/>
                    <w:right w:val="none" w:sz="0" w:space="0" w:color="auto"/>
                  </w:divBdr>
                  <w:divsChild>
                    <w:div w:id="195167346">
                      <w:marLeft w:val="0"/>
                      <w:marRight w:val="0"/>
                      <w:marTop w:val="0"/>
                      <w:marBottom w:val="0"/>
                      <w:divBdr>
                        <w:top w:val="none" w:sz="0" w:space="0" w:color="auto"/>
                        <w:left w:val="none" w:sz="0" w:space="0" w:color="auto"/>
                        <w:bottom w:val="none" w:sz="0" w:space="0" w:color="auto"/>
                        <w:right w:val="none" w:sz="0" w:space="0" w:color="auto"/>
                      </w:divBdr>
                      <w:divsChild>
                        <w:div w:id="2070808033">
                          <w:marLeft w:val="0"/>
                          <w:marRight w:val="0"/>
                          <w:marTop w:val="0"/>
                          <w:marBottom w:val="0"/>
                          <w:divBdr>
                            <w:top w:val="none" w:sz="0" w:space="0" w:color="auto"/>
                            <w:left w:val="none" w:sz="0" w:space="0" w:color="auto"/>
                            <w:bottom w:val="none" w:sz="0" w:space="0" w:color="auto"/>
                            <w:right w:val="none" w:sz="0" w:space="0" w:color="auto"/>
                          </w:divBdr>
                          <w:divsChild>
                            <w:div w:id="1115096838">
                              <w:marLeft w:val="0"/>
                              <w:marRight w:val="0"/>
                              <w:marTop w:val="0"/>
                              <w:marBottom w:val="0"/>
                              <w:divBdr>
                                <w:top w:val="single" w:sz="6" w:space="0" w:color="828282"/>
                                <w:left w:val="single" w:sz="6" w:space="0" w:color="828282"/>
                                <w:bottom w:val="single" w:sz="6" w:space="0" w:color="828282"/>
                                <w:right w:val="single" w:sz="6" w:space="0" w:color="828282"/>
                              </w:divBdr>
                              <w:divsChild>
                                <w:div w:id="1847329083">
                                  <w:marLeft w:val="0"/>
                                  <w:marRight w:val="0"/>
                                  <w:marTop w:val="0"/>
                                  <w:marBottom w:val="0"/>
                                  <w:divBdr>
                                    <w:top w:val="none" w:sz="0" w:space="0" w:color="auto"/>
                                    <w:left w:val="none" w:sz="0" w:space="0" w:color="auto"/>
                                    <w:bottom w:val="none" w:sz="0" w:space="0" w:color="auto"/>
                                    <w:right w:val="none" w:sz="0" w:space="0" w:color="auto"/>
                                  </w:divBdr>
                                  <w:divsChild>
                                    <w:div w:id="614563014">
                                      <w:marLeft w:val="0"/>
                                      <w:marRight w:val="0"/>
                                      <w:marTop w:val="0"/>
                                      <w:marBottom w:val="0"/>
                                      <w:divBdr>
                                        <w:top w:val="none" w:sz="0" w:space="0" w:color="auto"/>
                                        <w:left w:val="none" w:sz="0" w:space="0" w:color="auto"/>
                                        <w:bottom w:val="none" w:sz="0" w:space="0" w:color="auto"/>
                                        <w:right w:val="none" w:sz="0" w:space="0" w:color="auto"/>
                                      </w:divBdr>
                                      <w:divsChild>
                                        <w:div w:id="635645782">
                                          <w:marLeft w:val="0"/>
                                          <w:marRight w:val="0"/>
                                          <w:marTop w:val="0"/>
                                          <w:marBottom w:val="0"/>
                                          <w:divBdr>
                                            <w:top w:val="none" w:sz="0" w:space="0" w:color="auto"/>
                                            <w:left w:val="none" w:sz="0" w:space="0" w:color="auto"/>
                                            <w:bottom w:val="none" w:sz="0" w:space="0" w:color="auto"/>
                                            <w:right w:val="none" w:sz="0" w:space="0" w:color="auto"/>
                                          </w:divBdr>
                                          <w:divsChild>
                                            <w:div w:id="807013508">
                                              <w:marLeft w:val="0"/>
                                              <w:marRight w:val="0"/>
                                              <w:marTop w:val="0"/>
                                              <w:marBottom w:val="0"/>
                                              <w:divBdr>
                                                <w:top w:val="none" w:sz="0" w:space="0" w:color="auto"/>
                                                <w:left w:val="none" w:sz="0" w:space="0" w:color="auto"/>
                                                <w:bottom w:val="none" w:sz="0" w:space="0" w:color="auto"/>
                                                <w:right w:val="none" w:sz="0" w:space="0" w:color="auto"/>
                                              </w:divBdr>
                                              <w:divsChild>
                                                <w:div w:id="1092314621">
                                                  <w:marLeft w:val="0"/>
                                                  <w:marRight w:val="0"/>
                                                  <w:marTop w:val="0"/>
                                                  <w:marBottom w:val="0"/>
                                                  <w:divBdr>
                                                    <w:top w:val="none" w:sz="0" w:space="0" w:color="auto"/>
                                                    <w:left w:val="none" w:sz="0" w:space="0" w:color="auto"/>
                                                    <w:bottom w:val="none" w:sz="0" w:space="0" w:color="auto"/>
                                                    <w:right w:val="none" w:sz="0" w:space="0" w:color="auto"/>
                                                  </w:divBdr>
                                                  <w:divsChild>
                                                    <w:div w:id="120429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154686672">
      <w:bodyDiv w:val="1"/>
      <w:marLeft w:val="0"/>
      <w:marRight w:val="0"/>
      <w:marTop w:val="0"/>
      <w:marBottom w:val="0"/>
      <w:divBdr>
        <w:top w:val="none" w:sz="0" w:space="0" w:color="auto"/>
        <w:left w:val="none" w:sz="0" w:space="0" w:color="auto"/>
        <w:bottom w:val="none" w:sz="0" w:space="0" w:color="auto"/>
        <w:right w:val="none" w:sz="0" w:space="0" w:color="auto"/>
      </w:divBdr>
      <w:divsChild>
        <w:div w:id="800928486">
          <w:marLeft w:val="0"/>
          <w:marRight w:val="0"/>
          <w:marTop w:val="0"/>
          <w:marBottom w:val="0"/>
          <w:divBdr>
            <w:top w:val="none" w:sz="0" w:space="0" w:color="auto"/>
            <w:left w:val="none" w:sz="0" w:space="0" w:color="auto"/>
            <w:bottom w:val="none" w:sz="0" w:space="0" w:color="auto"/>
            <w:right w:val="none" w:sz="0" w:space="0" w:color="auto"/>
          </w:divBdr>
          <w:divsChild>
            <w:div w:id="1858421419">
              <w:marLeft w:val="0"/>
              <w:marRight w:val="0"/>
              <w:marTop w:val="0"/>
              <w:marBottom w:val="0"/>
              <w:divBdr>
                <w:top w:val="none" w:sz="0" w:space="0" w:color="auto"/>
                <w:left w:val="none" w:sz="0" w:space="0" w:color="auto"/>
                <w:bottom w:val="none" w:sz="0" w:space="0" w:color="auto"/>
                <w:right w:val="none" w:sz="0" w:space="0" w:color="auto"/>
              </w:divBdr>
              <w:divsChild>
                <w:div w:id="1093429515">
                  <w:marLeft w:val="0"/>
                  <w:marRight w:val="0"/>
                  <w:marTop w:val="0"/>
                  <w:marBottom w:val="0"/>
                  <w:divBdr>
                    <w:top w:val="none" w:sz="0" w:space="0" w:color="auto"/>
                    <w:left w:val="none" w:sz="0" w:space="0" w:color="auto"/>
                    <w:bottom w:val="none" w:sz="0" w:space="0" w:color="auto"/>
                    <w:right w:val="none" w:sz="0" w:space="0" w:color="auto"/>
                  </w:divBdr>
                  <w:divsChild>
                    <w:div w:id="1787236692">
                      <w:marLeft w:val="0"/>
                      <w:marRight w:val="0"/>
                      <w:marTop w:val="0"/>
                      <w:marBottom w:val="0"/>
                      <w:divBdr>
                        <w:top w:val="none" w:sz="0" w:space="0" w:color="auto"/>
                        <w:left w:val="none" w:sz="0" w:space="0" w:color="auto"/>
                        <w:bottom w:val="none" w:sz="0" w:space="0" w:color="auto"/>
                        <w:right w:val="none" w:sz="0" w:space="0" w:color="auto"/>
                      </w:divBdr>
                      <w:divsChild>
                        <w:div w:id="874197018">
                          <w:marLeft w:val="0"/>
                          <w:marRight w:val="0"/>
                          <w:marTop w:val="0"/>
                          <w:marBottom w:val="0"/>
                          <w:divBdr>
                            <w:top w:val="none" w:sz="0" w:space="0" w:color="auto"/>
                            <w:left w:val="none" w:sz="0" w:space="0" w:color="auto"/>
                            <w:bottom w:val="none" w:sz="0" w:space="0" w:color="auto"/>
                            <w:right w:val="none" w:sz="0" w:space="0" w:color="auto"/>
                          </w:divBdr>
                          <w:divsChild>
                            <w:div w:id="1137529696">
                              <w:marLeft w:val="0"/>
                              <w:marRight w:val="0"/>
                              <w:marTop w:val="0"/>
                              <w:marBottom w:val="0"/>
                              <w:divBdr>
                                <w:top w:val="single" w:sz="6" w:space="0" w:color="828282"/>
                                <w:left w:val="single" w:sz="6" w:space="0" w:color="828282"/>
                                <w:bottom w:val="single" w:sz="6" w:space="0" w:color="828282"/>
                                <w:right w:val="single" w:sz="6" w:space="0" w:color="828282"/>
                              </w:divBdr>
                              <w:divsChild>
                                <w:div w:id="28186487">
                                  <w:marLeft w:val="0"/>
                                  <w:marRight w:val="0"/>
                                  <w:marTop w:val="0"/>
                                  <w:marBottom w:val="0"/>
                                  <w:divBdr>
                                    <w:top w:val="none" w:sz="0" w:space="0" w:color="auto"/>
                                    <w:left w:val="none" w:sz="0" w:space="0" w:color="auto"/>
                                    <w:bottom w:val="none" w:sz="0" w:space="0" w:color="auto"/>
                                    <w:right w:val="none" w:sz="0" w:space="0" w:color="auto"/>
                                  </w:divBdr>
                                  <w:divsChild>
                                    <w:div w:id="2055889940">
                                      <w:marLeft w:val="0"/>
                                      <w:marRight w:val="0"/>
                                      <w:marTop w:val="0"/>
                                      <w:marBottom w:val="0"/>
                                      <w:divBdr>
                                        <w:top w:val="none" w:sz="0" w:space="0" w:color="auto"/>
                                        <w:left w:val="none" w:sz="0" w:space="0" w:color="auto"/>
                                        <w:bottom w:val="none" w:sz="0" w:space="0" w:color="auto"/>
                                        <w:right w:val="none" w:sz="0" w:space="0" w:color="auto"/>
                                      </w:divBdr>
                                      <w:divsChild>
                                        <w:div w:id="681593075">
                                          <w:marLeft w:val="0"/>
                                          <w:marRight w:val="0"/>
                                          <w:marTop w:val="0"/>
                                          <w:marBottom w:val="0"/>
                                          <w:divBdr>
                                            <w:top w:val="none" w:sz="0" w:space="0" w:color="auto"/>
                                            <w:left w:val="none" w:sz="0" w:space="0" w:color="auto"/>
                                            <w:bottom w:val="none" w:sz="0" w:space="0" w:color="auto"/>
                                            <w:right w:val="none" w:sz="0" w:space="0" w:color="auto"/>
                                          </w:divBdr>
                                          <w:divsChild>
                                            <w:div w:id="742801757">
                                              <w:marLeft w:val="0"/>
                                              <w:marRight w:val="0"/>
                                              <w:marTop w:val="0"/>
                                              <w:marBottom w:val="0"/>
                                              <w:divBdr>
                                                <w:top w:val="none" w:sz="0" w:space="0" w:color="auto"/>
                                                <w:left w:val="none" w:sz="0" w:space="0" w:color="auto"/>
                                                <w:bottom w:val="none" w:sz="0" w:space="0" w:color="auto"/>
                                                <w:right w:val="none" w:sz="0" w:space="0" w:color="auto"/>
                                              </w:divBdr>
                                              <w:divsChild>
                                                <w:div w:id="640842491">
                                                  <w:marLeft w:val="0"/>
                                                  <w:marRight w:val="0"/>
                                                  <w:marTop w:val="0"/>
                                                  <w:marBottom w:val="0"/>
                                                  <w:divBdr>
                                                    <w:top w:val="none" w:sz="0" w:space="0" w:color="auto"/>
                                                    <w:left w:val="none" w:sz="0" w:space="0" w:color="auto"/>
                                                    <w:bottom w:val="none" w:sz="0" w:space="0" w:color="auto"/>
                                                    <w:right w:val="none" w:sz="0" w:space="0" w:color="auto"/>
                                                  </w:divBdr>
                                                  <w:divsChild>
                                                    <w:div w:id="212383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8973345">
      <w:bodyDiv w:val="1"/>
      <w:marLeft w:val="0"/>
      <w:marRight w:val="0"/>
      <w:marTop w:val="0"/>
      <w:marBottom w:val="0"/>
      <w:divBdr>
        <w:top w:val="none" w:sz="0" w:space="0" w:color="auto"/>
        <w:left w:val="none" w:sz="0" w:space="0" w:color="auto"/>
        <w:bottom w:val="none" w:sz="0" w:space="0" w:color="auto"/>
        <w:right w:val="none" w:sz="0" w:space="0" w:color="auto"/>
      </w:divBdr>
      <w:divsChild>
        <w:div w:id="1007055969">
          <w:marLeft w:val="0"/>
          <w:marRight w:val="0"/>
          <w:marTop w:val="0"/>
          <w:marBottom w:val="0"/>
          <w:divBdr>
            <w:top w:val="none" w:sz="0" w:space="0" w:color="auto"/>
            <w:left w:val="none" w:sz="0" w:space="0" w:color="auto"/>
            <w:bottom w:val="none" w:sz="0" w:space="0" w:color="auto"/>
            <w:right w:val="none" w:sz="0" w:space="0" w:color="auto"/>
          </w:divBdr>
          <w:divsChild>
            <w:div w:id="1837569010">
              <w:marLeft w:val="0"/>
              <w:marRight w:val="0"/>
              <w:marTop w:val="0"/>
              <w:marBottom w:val="0"/>
              <w:divBdr>
                <w:top w:val="none" w:sz="0" w:space="0" w:color="auto"/>
                <w:left w:val="none" w:sz="0" w:space="0" w:color="auto"/>
                <w:bottom w:val="none" w:sz="0" w:space="0" w:color="auto"/>
                <w:right w:val="none" w:sz="0" w:space="0" w:color="auto"/>
              </w:divBdr>
              <w:divsChild>
                <w:div w:id="509569201">
                  <w:marLeft w:val="0"/>
                  <w:marRight w:val="0"/>
                  <w:marTop w:val="0"/>
                  <w:marBottom w:val="0"/>
                  <w:divBdr>
                    <w:top w:val="none" w:sz="0" w:space="0" w:color="auto"/>
                    <w:left w:val="none" w:sz="0" w:space="0" w:color="auto"/>
                    <w:bottom w:val="none" w:sz="0" w:space="0" w:color="auto"/>
                    <w:right w:val="none" w:sz="0" w:space="0" w:color="auto"/>
                  </w:divBdr>
                  <w:divsChild>
                    <w:div w:id="521481854">
                      <w:marLeft w:val="0"/>
                      <w:marRight w:val="0"/>
                      <w:marTop w:val="0"/>
                      <w:marBottom w:val="0"/>
                      <w:divBdr>
                        <w:top w:val="none" w:sz="0" w:space="0" w:color="auto"/>
                        <w:left w:val="none" w:sz="0" w:space="0" w:color="auto"/>
                        <w:bottom w:val="none" w:sz="0" w:space="0" w:color="auto"/>
                        <w:right w:val="none" w:sz="0" w:space="0" w:color="auto"/>
                      </w:divBdr>
                      <w:divsChild>
                        <w:div w:id="16082295">
                          <w:marLeft w:val="0"/>
                          <w:marRight w:val="0"/>
                          <w:marTop w:val="0"/>
                          <w:marBottom w:val="0"/>
                          <w:divBdr>
                            <w:top w:val="none" w:sz="0" w:space="0" w:color="auto"/>
                            <w:left w:val="none" w:sz="0" w:space="0" w:color="auto"/>
                            <w:bottom w:val="none" w:sz="0" w:space="0" w:color="auto"/>
                            <w:right w:val="none" w:sz="0" w:space="0" w:color="auto"/>
                          </w:divBdr>
                          <w:divsChild>
                            <w:div w:id="128013521">
                              <w:marLeft w:val="0"/>
                              <w:marRight w:val="0"/>
                              <w:marTop w:val="0"/>
                              <w:marBottom w:val="0"/>
                              <w:divBdr>
                                <w:top w:val="single" w:sz="6" w:space="0" w:color="828282"/>
                                <w:left w:val="single" w:sz="6" w:space="0" w:color="828282"/>
                                <w:bottom w:val="single" w:sz="6" w:space="0" w:color="828282"/>
                                <w:right w:val="single" w:sz="6" w:space="0" w:color="828282"/>
                              </w:divBdr>
                              <w:divsChild>
                                <w:div w:id="1573195380">
                                  <w:marLeft w:val="0"/>
                                  <w:marRight w:val="0"/>
                                  <w:marTop w:val="0"/>
                                  <w:marBottom w:val="0"/>
                                  <w:divBdr>
                                    <w:top w:val="none" w:sz="0" w:space="0" w:color="auto"/>
                                    <w:left w:val="none" w:sz="0" w:space="0" w:color="auto"/>
                                    <w:bottom w:val="none" w:sz="0" w:space="0" w:color="auto"/>
                                    <w:right w:val="none" w:sz="0" w:space="0" w:color="auto"/>
                                  </w:divBdr>
                                  <w:divsChild>
                                    <w:div w:id="283462230">
                                      <w:marLeft w:val="0"/>
                                      <w:marRight w:val="0"/>
                                      <w:marTop w:val="0"/>
                                      <w:marBottom w:val="0"/>
                                      <w:divBdr>
                                        <w:top w:val="none" w:sz="0" w:space="0" w:color="auto"/>
                                        <w:left w:val="none" w:sz="0" w:space="0" w:color="auto"/>
                                        <w:bottom w:val="none" w:sz="0" w:space="0" w:color="auto"/>
                                        <w:right w:val="none" w:sz="0" w:space="0" w:color="auto"/>
                                      </w:divBdr>
                                      <w:divsChild>
                                        <w:div w:id="1386642679">
                                          <w:marLeft w:val="0"/>
                                          <w:marRight w:val="0"/>
                                          <w:marTop w:val="0"/>
                                          <w:marBottom w:val="0"/>
                                          <w:divBdr>
                                            <w:top w:val="none" w:sz="0" w:space="0" w:color="auto"/>
                                            <w:left w:val="none" w:sz="0" w:space="0" w:color="auto"/>
                                            <w:bottom w:val="none" w:sz="0" w:space="0" w:color="auto"/>
                                            <w:right w:val="none" w:sz="0" w:space="0" w:color="auto"/>
                                          </w:divBdr>
                                          <w:divsChild>
                                            <w:div w:id="727798278">
                                              <w:marLeft w:val="0"/>
                                              <w:marRight w:val="0"/>
                                              <w:marTop w:val="0"/>
                                              <w:marBottom w:val="0"/>
                                              <w:divBdr>
                                                <w:top w:val="none" w:sz="0" w:space="0" w:color="auto"/>
                                                <w:left w:val="none" w:sz="0" w:space="0" w:color="auto"/>
                                                <w:bottom w:val="none" w:sz="0" w:space="0" w:color="auto"/>
                                                <w:right w:val="none" w:sz="0" w:space="0" w:color="auto"/>
                                              </w:divBdr>
                                              <w:divsChild>
                                                <w:div w:id="902326050">
                                                  <w:marLeft w:val="0"/>
                                                  <w:marRight w:val="0"/>
                                                  <w:marTop w:val="0"/>
                                                  <w:marBottom w:val="0"/>
                                                  <w:divBdr>
                                                    <w:top w:val="none" w:sz="0" w:space="0" w:color="auto"/>
                                                    <w:left w:val="none" w:sz="0" w:space="0" w:color="auto"/>
                                                    <w:bottom w:val="none" w:sz="0" w:space="0" w:color="auto"/>
                                                    <w:right w:val="none" w:sz="0" w:space="0" w:color="auto"/>
                                                  </w:divBdr>
                                                  <w:divsChild>
                                                    <w:div w:id="80524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2373293">
      <w:bodyDiv w:val="1"/>
      <w:marLeft w:val="0"/>
      <w:marRight w:val="0"/>
      <w:marTop w:val="0"/>
      <w:marBottom w:val="0"/>
      <w:divBdr>
        <w:top w:val="none" w:sz="0" w:space="0" w:color="auto"/>
        <w:left w:val="none" w:sz="0" w:space="0" w:color="auto"/>
        <w:bottom w:val="none" w:sz="0" w:space="0" w:color="auto"/>
        <w:right w:val="none" w:sz="0" w:space="0" w:color="auto"/>
      </w:divBdr>
      <w:divsChild>
        <w:div w:id="245844557">
          <w:marLeft w:val="0"/>
          <w:marRight w:val="0"/>
          <w:marTop w:val="0"/>
          <w:marBottom w:val="0"/>
          <w:divBdr>
            <w:top w:val="none" w:sz="0" w:space="0" w:color="auto"/>
            <w:left w:val="none" w:sz="0" w:space="0" w:color="auto"/>
            <w:bottom w:val="none" w:sz="0" w:space="0" w:color="auto"/>
            <w:right w:val="none" w:sz="0" w:space="0" w:color="auto"/>
          </w:divBdr>
          <w:divsChild>
            <w:div w:id="595789104">
              <w:marLeft w:val="0"/>
              <w:marRight w:val="0"/>
              <w:marTop w:val="0"/>
              <w:marBottom w:val="0"/>
              <w:divBdr>
                <w:top w:val="none" w:sz="0" w:space="0" w:color="auto"/>
                <w:left w:val="none" w:sz="0" w:space="0" w:color="auto"/>
                <w:bottom w:val="none" w:sz="0" w:space="0" w:color="auto"/>
                <w:right w:val="none" w:sz="0" w:space="0" w:color="auto"/>
              </w:divBdr>
              <w:divsChild>
                <w:div w:id="1317951308">
                  <w:marLeft w:val="0"/>
                  <w:marRight w:val="0"/>
                  <w:marTop w:val="0"/>
                  <w:marBottom w:val="0"/>
                  <w:divBdr>
                    <w:top w:val="none" w:sz="0" w:space="0" w:color="auto"/>
                    <w:left w:val="none" w:sz="0" w:space="0" w:color="auto"/>
                    <w:bottom w:val="none" w:sz="0" w:space="0" w:color="auto"/>
                    <w:right w:val="none" w:sz="0" w:space="0" w:color="auto"/>
                  </w:divBdr>
                  <w:divsChild>
                    <w:div w:id="2048599185">
                      <w:marLeft w:val="0"/>
                      <w:marRight w:val="0"/>
                      <w:marTop w:val="0"/>
                      <w:marBottom w:val="0"/>
                      <w:divBdr>
                        <w:top w:val="none" w:sz="0" w:space="0" w:color="auto"/>
                        <w:left w:val="none" w:sz="0" w:space="0" w:color="auto"/>
                        <w:bottom w:val="none" w:sz="0" w:space="0" w:color="auto"/>
                        <w:right w:val="none" w:sz="0" w:space="0" w:color="auto"/>
                      </w:divBdr>
                      <w:divsChild>
                        <w:div w:id="2103716376">
                          <w:marLeft w:val="0"/>
                          <w:marRight w:val="0"/>
                          <w:marTop w:val="0"/>
                          <w:marBottom w:val="0"/>
                          <w:divBdr>
                            <w:top w:val="none" w:sz="0" w:space="0" w:color="auto"/>
                            <w:left w:val="none" w:sz="0" w:space="0" w:color="auto"/>
                            <w:bottom w:val="none" w:sz="0" w:space="0" w:color="auto"/>
                            <w:right w:val="none" w:sz="0" w:space="0" w:color="auto"/>
                          </w:divBdr>
                          <w:divsChild>
                            <w:div w:id="1526094574">
                              <w:marLeft w:val="0"/>
                              <w:marRight w:val="0"/>
                              <w:marTop w:val="0"/>
                              <w:marBottom w:val="0"/>
                              <w:divBdr>
                                <w:top w:val="single" w:sz="6" w:space="0" w:color="828282"/>
                                <w:left w:val="single" w:sz="6" w:space="0" w:color="828282"/>
                                <w:bottom w:val="single" w:sz="6" w:space="0" w:color="828282"/>
                                <w:right w:val="single" w:sz="6" w:space="0" w:color="828282"/>
                              </w:divBdr>
                              <w:divsChild>
                                <w:div w:id="1224675351">
                                  <w:marLeft w:val="0"/>
                                  <w:marRight w:val="0"/>
                                  <w:marTop w:val="0"/>
                                  <w:marBottom w:val="0"/>
                                  <w:divBdr>
                                    <w:top w:val="none" w:sz="0" w:space="0" w:color="auto"/>
                                    <w:left w:val="none" w:sz="0" w:space="0" w:color="auto"/>
                                    <w:bottom w:val="none" w:sz="0" w:space="0" w:color="auto"/>
                                    <w:right w:val="none" w:sz="0" w:space="0" w:color="auto"/>
                                  </w:divBdr>
                                  <w:divsChild>
                                    <w:div w:id="1556354999">
                                      <w:marLeft w:val="0"/>
                                      <w:marRight w:val="0"/>
                                      <w:marTop w:val="0"/>
                                      <w:marBottom w:val="0"/>
                                      <w:divBdr>
                                        <w:top w:val="none" w:sz="0" w:space="0" w:color="auto"/>
                                        <w:left w:val="none" w:sz="0" w:space="0" w:color="auto"/>
                                        <w:bottom w:val="none" w:sz="0" w:space="0" w:color="auto"/>
                                        <w:right w:val="none" w:sz="0" w:space="0" w:color="auto"/>
                                      </w:divBdr>
                                      <w:divsChild>
                                        <w:div w:id="1170413167">
                                          <w:marLeft w:val="0"/>
                                          <w:marRight w:val="0"/>
                                          <w:marTop w:val="0"/>
                                          <w:marBottom w:val="0"/>
                                          <w:divBdr>
                                            <w:top w:val="none" w:sz="0" w:space="0" w:color="auto"/>
                                            <w:left w:val="none" w:sz="0" w:space="0" w:color="auto"/>
                                            <w:bottom w:val="none" w:sz="0" w:space="0" w:color="auto"/>
                                            <w:right w:val="none" w:sz="0" w:space="0" w:color="auto"/>
                                          </w:divBdr>
                                          <w:divsChild>
                                            <w:div w:id="1523936826">
                                              <w:marLeft w:val="0"/>
                                              <w:marRight w:val="0"/>
                                              <w:marTop w:val="0"/>
                                              <w:marBottom w:val="0"/>
                                              <w:divBdr>
                                                <w:top w:val="none" w:sz="0" w:space="0" w:color="auto"/>
                                                <w:left w:val="none" w:sz="0" w:space="0" w:color="auto"/>
                                                <w:bottom w:val="none" w:sz="0" w:space="0" w:color="auto"/>
                                                <w:right w:val="none" w:sz="0" w:space="0" w:color="auto"/>
                                              </w:divBdr>
                                              <w:divsChild>
                                                <w:div w:id="1199392852">
                                                  <w:marLeft w:val="0"/>
                                                  <w:marRight w:val="0"/>
                                                  <w:marTop w:val="0"/>
                                                  <w:marBottom w:val="0"/>
                                                  <w:divBdr>
                                                    <w:top w:val="none" w:sz="0" w:space="0" w:color="auto"/>
                                                    <w:left w:val="none" w:sz="0" w:space="0" w:color="auto"/>
                                                    <w:bottom w:val="none" w:sz="0" w:space="0" w:color="auto"/>
                                                    <w:right w:val="none" w:sz="0" w:space="0" w:color="auto"/>
                                                  </w:divBdr>
                                                  <w:divsChild>
                                                    <w:div w:id="16833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 w:id="2115586963">
      <w:bodyDiv w:val="1"/>
      <w:marLeft w:val="0"/>
      <w:marRight w:val="0"/>
      <w:marTop w:val="0"/>
      <w:marBottom w:val="0"/>
      <w:divBdr>
        <w:top w:val="none" w:sz="0" w:space="0" w:color="auto"/>
        <w:left w:val="none" w:sz="0" w:space="0" w:color="auto"/>
        <w:bottom w:val="none" w:sz="0" w:space="0" w:color="auto"/>
        <w:right w:val="none" w:sz="0" w:space="0" w:color="auto"/>
      </w:divBdr>
      <w:divsChild>
        <w:div w:id="1435663212">
          <w:marLeft w:val="0"/>
          <w:marRight w:val="0"/>
          <w:marTop w:val="0"/>
          <w:marBottom w:val="0"/>
          <w:divBdr>
            <w:top w:val="none" w:sz="0" w:space="0" w:color="auto"/>
            <w:left w:val="none" w:sz="0" w:space="0" w:color="auto"/>
            <w:bottom w:val="none" w:sz="0" w:space="0" w:color="auto"/>
            <w:right w:val="none" w:sz="0" w:space="0" w:color="auto"/>
          </w:divBdr>
          <w:divsChild>
            <w:div w:id="1430585820">
              <w:marLeft w:val="0"/>
              <w:marRight w:val="0"/>
              <w:marTop w:val="0"/>
              <w:marBottom w:val="0"/>
              <w:divBdr>
                <w:top w:val="none" w:sz="0" w:space="0" w:color="auto"/>
                <w:left w:val="none" w:sz="0" w:space="0" w:color="auto"/>
                <w:bottom w:val="none" w:sz="0" w:space="0" w:color="auto"/>
                <w:right w:val="none" w:sz="0" w:space="0" w:color="auto"/>
              </w:divBdr>
              <w:divsChild>
                <w:div w:id="891883950">
                  <w:marLeft w:val="0"/>
                  <w:marRight w:val="0"/>
                  <w:marTop w:val="0"/>
                  <w:marBottom w:val="0"/>
                  <w:divBdr>
                    <w:top w:val="none" w:sz="0" w:space="0" w:color="auto"/>
                    <w:left w:val="none" w:sz="0" w:space="0" w:color="auto"/>
                    <w:bottom w:val="none" w:sz="0" w:space="0" w:color="auto"/>
                    <w:right w:val="none" w:sz="0" w:space="0" w:color="auto"/>
                  </w:divBdr>
                  <w:divsChild>
                    <w:div w:id="61104930">
                      <w:marLeft w:val="0"/>
                      <w:marRight w:val="0"/>
                      <w:marTop w:val="0"/>
                      <w:marBottom w:val="0"/>
                      <w:divBdr>
                        <w:top w:val="none" w:sz="0" w:space="0" w:color="auto"/>
                        <w:left w:val="none" w:sz="0" w:space="0" w:color="auto"/>
                        <w:bottom w:val="none" w:sz="0" w:space="0" w:color="auto"/>
                        <w:right w:val="none" w:sz="0" w:space="0" w:color="auto"/>
                      </w:divBdr>
                      <w:divsChild>
                        <w:div w:id="1783186607">
                          <w:marLeft w:val="0"/>
                          <w:marRight w:val="0"/>
                          <w:marTop w:val="0"/>
                          <w:marBottom w:val="0"/>
                          <w:divBdr>
                            <w:top w:val="none" w:sz="0" w:space="0" w:color="auto"/>
                            <w:left w:val="none" w:sz="0" w:space="0" w:color="auto"/>
                            <w:bottom w:val="none" w:sz="0" w:space="0" w:color="auto"/>
                            <w:right w:val="none" w:sz="0" w:space="0" w:color="auto"/>
                          </w:divBdr>
                          <w:divsChild>
                            <w:div w:id="295844454">
                              <w:marLeft w:val="0"/>
                              <w:marRight w:val="0"/>
                              <w:marTop w:val="0"/>
                              <w:marBottom w:val="0"/>
                              <w:divBdr>
                                <w:top w:val="single" w:sz="6" w:space="0" w:color="828282"/>
                                <w:left w:val="single" w:sz="6" w:space="0" w:color="828282"/>
                                <w:bottom w:val="single" w:sz="6" w:space="0" w:color="828282"/>
                                <w:right w:val="single" w:sz="6" w:space="0" w:color="828282"/>
                              </w:divBdr>
                              <w:divsChild>
                                <w:div w:id="1339120587">
                                  <w:marLeft w:val="0"/>
                                  <w:marRight w:val="0"/>
                                  <w:marTop w:val="0"/>
                                  <w:marBottom w:val="0"/>
                                  <w:divBdr>
                                    <w:top w:val="none" w:sz="0" w:space="0" w:color="auto"/>
                                    <w:left w:val="none" w:sz="0" w:space="0" w:color="auto"/>
                                    <w:bottom w:val="none" w:sz="0" w:space="0" w:color="auto"/>
                                    <w:right w:val="none" w:sz="0" w:space="0" w:color="auto"/>
                                  </w:divBdr>
                                  <w:divsChild>
                                    <w:div w:id="1514496302">
                                      <w:marLeft w:val="0"/>
                                      <w:marRight w:val="0"/>
                                      <w:marTop w:val="0"/>
                                      <w:marBottom w:val="0"/>
                                      <w:divBdr>
                                        <w:top w:val="none" w:sz="0" w:space="0" w:color="auto"/>
                                        <w:left w:val="none" w:sz="0" w:space="0" w:color="auto"/>
                                        <w:bottom w:val="none" w:sz="0" w:space="0" w:color="auto"/>
                                        <w:right w:val="none" w:sz="0" w:space="0" w:color="auto"/>
                                      </w:divBdr>
                                      <w:divsChild>
                                        <w:div w:id="922026188">
                                          <w:marLeft w:val="0"/>
                                          <w:marRight w:val="0"/>
                                          <w:marTop w:val="0"/>
                                          <w:marBottom w:val="0"/>
                                          <w:divBdr>
                                            <w:top w:val="none" w:sz="0" w:space="0" w:color="auto"/>
                                            <w:left w:val="none" w:sz="0" w:space="0" w:color="auto"/>
                                            <w:bottom w:val="none" w:sz="0" w:space="0" w:color="auto"/>
                                            <w:right w:val="none" w:sz="0" w:space="0" w:color="auto"/>
                                          </w:divBdr>
                                          <w:divsChild>
                                            <w:div w:id="1193692347">
                                              <w:marLeft w:val="0"/>
                                              <w:marRight w:val="0"/>
                                              <w:marTop w:val="0"/>
                                              <w:marBottom w:val="0"/>
                                              <w:divBdr>
                                                <w:top w:val="none" w:sz="0" w:space="0" w:color="auto"/>
                                                <w:left w:val="none" w:sz="0" w:space="0" w:color="auto"/>
                                                <w:bottom w:val="none" w:sz="0" w:space="0" w:color="auto"/>
                                                <w:right w:val="none" w:sz="0" w:space="0" w:color="auto"/>
                                              </w:divBdr>
                                              <w:divsChild>
                                                <w:div w:id="2016496540">
                                                  <w:marLeft w:val="0"/>
                                                  <w:marRight w:val="0"/>
                                                  <w:marTop w:val="0"/>
                                                  <w:marBottom w:val="0"/>
                                                  <w:divBdr>
                                                    <w:top w:val="none" w:sz="0" w:space="0" w:color="auto"/>
                                                    <w:left w:val="none" w:sz="0" w:space="0" w:color="auto"/>
                                                    <w:bottom w:val="none" w:sz="0" w:space="0" w:color="auto"/>
                                                    <w:right w:val="none" w:sz="0" w:space="0" w:color="auto"/>
                                                  </w:divBdr>
                                                  <w:divsChild>
                                                    <w:div w:id="181312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7141503">
      <w:bodyDiv w:val="1"/>
      <w:marLeft w:val="0"/>
      <w:marRight w:val="0"/>
      <w:marTop w:val="0"/>
      <w:marBottom w:val="0"/>
      <w:divBdr>
        <w:top w:val="none" w:sz="0" w:space="0" w:color="auto"/>
        <w:left w:val="none" w:sz="0" w:space="0" w:color="auto"/>
        <w:bottom w:val="none" w:sz="0" w:space="0" w:color="auto"/>
        <w:right w:val="none" w:sz="0" w:space="0" w:color="auto"/>
      </w:divBdr>
      <w:divsChild>
        <w:div w:id="1865436639">
          <w:marLeft w:val="0"/>
          <w:marRight w:val="0"/>
          <w:marTop w:val="0"/>
          <w:marBottom w:val="0"/>
          <w:divBdr>
            <w:top w:val="none" w:sz="0" w:space="0" w:color="auto"/>
            <w:left w:val="none" w:sz="0" w:space="0" w:color="auto"/>
            <w:bottom w:val="none" w:sz="0" w:space="0" w:color="auto"/>
            <w:right w:val="none" w:sz="0" w:space="0" w:color="auto"/>
          </w:divBdr>
          <w:divsChild>
            <w:div w:id="874584702">
              <w:marLeft w:val="0"/>
              <w:marRight w:val="0"/>
              <w:marTop w:val="0"/>
              <w:marBottom w:val="0"/>
              <w:divBdr>
                <w:top w:val="none" w:sz="0" w:space="0" w:color="auto"/>
                <w:left w:val="none" w:sz="0" w:space="0" w:color="auto"/>
                <w:bottom w:val="none" w:sz="0" w:space="0" w:color="auto"/>
                <w:right w:val="none" w:sz="0" w:space="0" w:color="auto"/>
              </w:divBdr>
              <w:divsChild>
                <w:div w:id="1453864848">
                  <w:marLeft w:val="0"/>
                  <w:marRight w:val="0"/>
                  <w:marTop w:val="0"/>
                  <w:marBottom w:val="0"/>
                  <w:divBdr>
                    <w:top w:val="none" w:sz="0" w:space="0" w:color="auto"/>
                    <w:left w:val="none" w:sz="0" w:space="0" w:color="auto"/>
                    <w:bottom w:val="none" w:sz="0" w:space="0" w:color="auto"/>
                    <w:right w:val="none" w:sz="0" w:space="0" w:color="auto"/>
                  </w:divBdr>
                  <w:divsChild>
                    <w:div w:id="1694696263">
                      <w:marLeft w:val="0"/>
                      <w:marRight w:val="0"/>
                      <w:marTop w:val="0"/>
                      <w:marBottom w:val="0"/>
                      <w:divBdr>
                        <w:top w:val="none" w:sz="0" w:space="0" w:color="auto"/>
                        <w:left w:val="none" w:sz="0" w:space="0" w:color="auto"/>
                        <w:bottom w:val="none" w:sz="0" w:space="0" w:color="auto"/>
                        <w:right w:val="none" w:sz="0" w:space="0" w:color="auto"/>
                      </w:divBdr>
                      <w:divsChild>
                        <w:div w:id="1415669576">
                          <w:marLeft w:val="0"/>
                          <w:marRight w:val="0"/>
                          <w:marTop w:val="0"/>
                          <w:marBottom w:val="0"/>
                          <w:divBdr>
                            <w:top w:val="none" w:sz="0" w:space="0" w:color="auto"/>
                            <w:left w:val="none" w:sz="0" w:space="0" w:color="auto"/>
                            <w:bottom w:val="none" w:sz="0" w:space="0" w:color="auto"/>
                            <w:right w:val="none" w:sz="0" w:space="0" w:color="auto"/>
                          </w:divBdr>
                          <w:divsChild>
                            <w:div w:id="732582022">
                              <w:marLeft w:val="0"/>
                              <w:marRight w:val="0"/>
                              <w:marTop w:val="0"/>
                              <w:marBottom w:val="0"/>
                              <w:divBdr>
                                <w:top w:val="single" w:sz="6" w:space="0" w:color="828282"/>
                                <w:left w:val="single" w:sz="6" w:space="0" w:color="828282"/>
                                <w:bottom w:val="single" w:sz="6" w:space="0" w:color="828282"/>
                                <w:right w:val="single" w:sz="6" w:space="0" w:color="828282"/>
                              </w:divBdr>
                              <w:divsChild>
                                <w:div w:id="317078323">
                                  <w:marLeft w:val="0"/>
                                  <w:marRight w:val="0"/>
                                  <w:marTop w:val="0"/>
                                  <w:marBottom w:val="0"/>
                                  <w:divBdr>
                                    <w:top w:val="none" w:sz="0" w:space="0" w:color="auto"/>
                                    <w:left w:val="none" w:sz="0" w:space="0" w:color="auto"/>
                                    <w:bottom w:val="none" w:sz="0" w:space="0" w:color="auto"/>
                                    <w:right w:val="none" w:sz="0" w:space="0" w:color="auto"/>
                                  </w:divBdr>
                                  <w:divsChild>
                                    <w:div w:id="1171146183">
                                      <w:marLeft w:val="0"/>
                                      <w:marRight w:val="0"/>
                                      <w:marTop w:val="0"/>
                                      <w:marBottom w:val="0"/>
                                      <w:divBdr>
                                        <w:top w:val="none" w:sz="0" w:space="0" w:color="auto"/>
                                        <w:left w:val="none" w:sz="0" w:space="0" w:color="auto"/>
                                        <w:bottom w:val="none" w:sz="0" w:space="0" w:color="auto"/>
                                        <w:right w:val="none" w:sz="0" w:space="0" w:color="auto"/>
                                      </w:divBdr>
                                      <w:divsChild>
                                        <w:div w:id="1210844467">
                                          <w:marLeft w:val="0"/>
                                          <w:marRight w:val="0"/>
                                          <w:marTop w:val="0"/>
                                          <w:marBottom w:val="0"/>
                                          <w:divBdr>
                                            <w:top w:val="none" w:sz="0" w:space="0" w:color="auto"/>
                                            <w:left w:val="none" w:sz="0" w:space="0" w:color="auto"/>
                                            <w:bottom w:val="none" w:sz="0" w:space="0" w:color="auto"/>
                                            <w:right w:val="none" w:sz="0" w:space="0" w:color="auto"/>
                                          </w:divBdr>
                                          <w:divsChild>
                                            <w:div w:id="804548241">
                                              <w:marLeft w:val="0"/>
                                              <w:marRight w:val="0"/>
                                              <w:marTop w:val="0"/>
                                              <w:marBottom w:val="0"/>
                                              <w:divBdr>
                                                <w:top w:val="none" w:sz="0" w:space="0" w:color="auto"/>
                                                <w:left w:val="none" w:sz="0" w:space="0" w:color="auto"/>
                                                <w:bottom w:val="none" w:sz="0" w:space="0" w:color="auto"/>
                                                <w:right w:val="none" w:sz="0" w:space="0" w:color="auto"/>
                                              </w:divBdr>
                                              <w:divsChild>
                                                <w:div w:id="776758834">
                                                  <w:marLeft w:val="0"/>
                                                  <w:marRight w:val="0"/>
                                                  <w:marTop w:val="0"/>
                                                  <w:marBottom w:val="0"/>
                                                  <w:divBdr>
                                                    <w:top w:val="none" w:sz="0" w:space="0" w:color="auto"/>
                                                    <w:left w:val="none" w:sz="0" w:space="0" w:color="auto"/>
                                                    <w:bottom w:val="none" w:sz="0" w:space="0" w:color="auto"/>
                                                    <w:right w:val="none" w:sz="0" w:space="0" w:color="auto"/>
                                                  </w:divBdr>
                                                  <w:divsChild>
                                                    <w:div w:id="105566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46CB3-DD60-4F65-8D22-901FDCB21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[INSERT HERE THE TITLE OF THE INSTRUMENT] Legislative Instrument 200X</vt:lpstr>
    </vt:vector>
  </TitlesOfParts>
  <Company>Australian Taxation Office</Company>
  <LinksUpToDate>false</LinksUpToDate>
  <CharactersWithSpaces>5593</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HERE THE TITLE OF THE INSTRUMENT] Legislative Instrument 200X</dc:title>
  <dc:creator>ubafu</dc:creator>
  <cp:lastModifiedBy>Sheedy, Rebekah</cp:lastModifiedBy>
  <cp:revision>2</cp:revision>
  <cp:lastPrinted>2016-07-12T01:38:00Z</cp:lastPrinted>
  <dcterms:created xsi:type="dcterms:W3CDTF">2016-08-30T04:28:00Z</dcterms:created>
  <dcterms:modified xsi:type="dcterms:W3CDTF">2016-08-30T04:28:00Z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