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5A03F9" w:rsidRDefault="00193461" w:rsidP="0020300C">
      <w:pPr>
        <w:rPr>
          <w:sz w:val="28"/>
        </w:rPr>
      </w:pPr>
      <w:r w:rsidRPr="005A03F9">
        <w:rPr>
          <w:noProof/>
          <w:lang w:eastAsia="en-AU"/>
        </w:rPr>
        <w:drawing>
          <wp:inline distT="0" distB="0" distL="0" distR="0" wp14:anchorId="1F02B66A" wp14:editId="461CD002">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5A03F9" w:rsidRDefault="0048364F" w:rsidP="0048364F">
      <w:pPr>
        <w:rPr>
          <w:sz w:val="19"/>
        </w:rPr>
      </w:pPr>
    </w:p>
    <w:p w:rsidR="0048364F" w:rsidRPr="005A03F9" w:rsidRDefault="003254BD" w:rsidP="0048364F">
      <w:pPr>
        <w:pStyle w:val="ShortT"/>
      </w:pPr>
      <w:r w:rsidRPr="005A03F9">
        <w:t>Therapeutic Goods (Permissible Ingredients) Amendment (2016 Measures No.</w:t>
      </w:r>
      <w:r w:rsidR="005A03F9" w:rsidRPr="005A03F9">
        <w:t> </w:t>
      </w:r>
      <w:r w:rsidRPr="005A03F9">
        <w:t>1) Determination</w:t>
      </w:r>
      <w:r w:rsidR="005A03F9" w:rsidRPr="005A03F9">
        <w:t> </w:t>
      </w:r>
      <w:r w:rsidRPr="005A03F9">
        <w:t>2016</w:t>
      </w:r>
    </w:p>
    <w:p w:rsidR="003254BD" w:rsidRPr="005A03F9" w:rsidRDefault="003254BD" w:rsidP="001D577B">
      <w:pPr>
        <w:pStyle w:val="SignCoverPageStart"/>
        <w:rPr>
          <w:szCs w:val="22"/>
        </w:rPr>
      </w:pPr>
      <w:r w:rsidRPr="005A03F9">
        <w:rPr>
          <w:szCs w:val="22"/>
        </w:rPr>
        <w:t xml:space="preserve">I, </w:t>
      </w:r>
      <w:r w:rsidR="007F0B63" w:rsidRPr="005A03F9">
        <w:rPr>
          <w:szCs w:val="22"/>
        </w:rPr>
        <w:t xml:space="preserve">Dr </w:t>
      </w:r>
      <w:proofErr w:type="spellStart"/>
      <w:r w:rsidR="007F0B63" w:rsidRPr="005A03F9">
        <w:rPr>
          <w:szCs w:val="22"/>
        </w:rPr>
        <w:t>Mayada</w:t>
      </w:r>
      <w:proofErr w:type="spellEnd"/>
      <w:r w:rsidR="007F0B63" w:rsidRPr="005A03F9">
        <w:rPr>
          <w:szCs w:val="22"/>
        </w:rPr>
        <w:t xml:space="preserve"> </w:t>
      </w:r>
      <w:proofErr w:type="spellStart"/>
      <w:r w:rsidR="007F0B63" w:rsidRPr="005A03F9">
        <w:rPr>
          <w:szCs w:val="22"/>
        </w:rPr>
        <w:t>Kayali</w:t>
      </w:r>
      <w:proofErr w:type="spellEnd"/>
      <w:r w:rsidRPr="005A03F9">
        <w:rPr>
          <w:szCs w:val="22"/>
        </w:rPr>
        <w:t>, as delegate of the Minister for Health and Aged Care, make the following determination.</w:t>
      </w:r>
    </w:p>
    <w:p w:rsidR="003254BD" w:rsidRPr="005A03F9" w:rsidRDefault="003254BD" w:rsidP="001D577B">
      <w:pPr>
        <w:keepNext/>
        <w:spacing w:before="300" w:line="240" w:lineRule="atLeast"/>
        <w:ind w:right="397"/>
        <w:jc w:val="both"/>
        <w:rPr>
          <w:szCs w:val="22"/>
        </w:rPr>
      </w:pPr>
      <w:r w:rsidRPr="005A03F9">
        <w:rPr>
          <w:szCs w:val="22"/>
        </w:rPr>
        <w:t>Dated</w:t>
      </w:r>
      <w:r w:rsidR="00772E3B">
        <w:rPr>
          <w:szCs w:val="22"/>
        </w:rPr>
        <w:t xml:space="preserve"> </w:t>
      </w:r>
      <w:bookmarkStart w:id="0" w:name="BKCheck15B_1"/>
      <w:bookmarkEnd w:id="0"/>
      <w:r w:rsidRPr="005A03F9">
        <w:rPr>
          <w:szCs w:val="22"/>
        </w:rPr>
        <w:fldChar w:fldCharType="begin"/>
      </w:r>
      <w:r w:rsidRPr="005A03F9">
        <w:rPr>
          <w:szCs w:val="22"/>
        </w:rPr>
        <w:instrText xml:space="preserve"> DOCPROPERTY  DateMade </w:instrText>
      </w:r>
      <w:r w:rsidRPr="005A03F9">
        <w:rPr>
          <w:szCs w:val="22"/>
        </w:rPr>
        <w:fldChar w:fldCharType="separate"/>
      </w:r>
      <w:r w:rsidR="00772E3B">
        <w:rPr>
          <w:szCs w:val="22"/>
        </w:rPr>
        <w:t>30 September 2016</w:t>
      </w:r>
      <w:r w:rsidRPr="005A03F9">
        <w:rPr>
          <w:szCs w:val="22"/>
        </w:rPr>
        <w:fldChar w:fldCharType="end"/>
      </w:r>
    </w:p>
    <w:p w:rsidR="003254BD" w:rsidRPr="005A03F9" w:rsidRDefault="007F0B63" w:rsidP="001D577B">
      <w:pPr>
        <w:keepNext/>
        <w:tabs>
          <w:tab w:val="left" w:pos="3402"/>
        </w:tabs>
        <w:spacing w:before="1440" w:line="300" w:lineRule="atLeast"/>
        <w:ind w:right="397"/>
        <w:rPr>
          <w:szCs w:val="22"/>
        </w:rPr>
      </w:pPr>
      <w:r w:rsidRPr="005A03F9">
        <w:rPr>
          <w:szCs w:val="22"/>
        </w:rPr>
        <w:t xml:space="preserve">Dr </w:t>
      </w:r>
      <w:proofErr w:type="spellStart"/>
      <w:r w:rsidRPr="005A03F9">
        <w:rPr>
          <w:szCs w:val="22"/>
        </w:rPr>
        <w:t>Mayada</w:t>
      </w:r>
      <w:proofErr w:type="spellEnd"/>
      <w:r w:rsidRPr="005A03F9">
        <w:rPr>
          <w:szCs w:val="22"/>
        </w:rPr>
        <w:t xml:space="preserve"> </w:t>
      </w:r>
      <w:proofErr w:type="spellStart"/>
      <w:r w:rsidRPr="005A03F9">
        <w:rPr>
          <w:szCs w:val="22"/>
        </w:rPr>
        <w:t>Kayali</w:t>
      </w:r>
      <w:proofErr w:type="spellEnd"/>
    </w:p>
    <w:p w:rsidR="003254BD" w:rsidRPr="005A03F9" w:rsidRDefault="007F0B63" w:rsidP="001D577B">
      <w:pPr>
        <w:pStyle w:val="SignCoverPageEnd"/>
        <w:rPr>
          <w:szCs w:val="22"/>
        </w:rPr>
      </w:pPr>
      <w:r w:rsidRPr="005A03F9">
        <w:rPr>
          <w:szCs w:val="22"/>
        </w:rPr>
        <w:t xml:space="preserve">Acting </w:t>
      </w:r>
      <w:r w:rsidR="003254BD" w:rsidRPr="005A03F9">
        <w:rPr>
          <w:szCs w:val="22"/>
        </w:rPr>
        <w:t>Assistant Secretary</w:t>
      </w:r>
    </w:p>
    <w:p w:rsidR="003254BD" w:rsidRPr="005A03F9" w:rsidRDefault="003254BD" w:rsidP="001D577B">
      <w:pPr>
        <w:pStyle w:val="SignCoverPageEnd"/>
        <w:rPr>
          <w:szCs w:val="22"/>
        </w:rPr>
      </w:pPr>
      <w:r w:rsidRPr="005A03F9">
        <w:rPr>
          <w:szCs w:val="22"/>
        </w:rPr>
        <w:t>Complementary &amp; OTC Medicines Branch</w:t>
      </w:r>
    </w:p>
    <w:p w:rsidR="00276C50" w:rsidRPr="005A03F9" w:rsidRDefault="003254BD" w:rsidP="001D577B">
      <w:pPr>
        <w:pStyle w:val="SignCoverPageEnd"/>
        <w:rPr>
          <w:szCs w:val="22"/>
        </w:rPr>
      </w:pPr>
      <w:r w:rsidRPr="005A03F9">
        <w:rPr>
          <w:szCs w:val="22"/>
        </w:rPr>
        <w:t>Medicines Regulation Division</w:t>
      </w:r>
    </w:p>
    <w:p w:rsidR="003254BD" w:rsidRPr="005A03F9" w:rsidRDefault="0010114B" w:rsidP="001D577B">
      <w:pPr>
        <w:pStyle w:val="SignCoverPageEnd"/>
        <w:rPr>
          <w:szCs w:val="22"/>
        </w:rPr>
      </w:pPr>
      <w:r w:rsidRPr="005A03F9">
        <w:rPr>
          <w:szCs w:val="22"/>
        </w:rPr>
        <w:t>Department of Health</w:t>
      </w:r>
    </w:p>
    <w:p w:rsidR="003254BD" w:rsidRPr="005A03F9" w:rsidRDefault="003254BD" w:rsidP="003254BD">
      <w:pPr>
        <w:rPr>
          <w:lang w:eastAsia="en-AU"/>
        </w:rPr>
      </w:pPr>
    </w:p>
    <w:p w:rsidR="001E4BC2" w:rsidRPr="005A03F9" w:rsidRDefault="001E4BC2" w:rsidP="003254BD"/>
    <w:p w:rsidR="0048364F" w:rsidRPr="005A03F9" w:rsidRDefault="0048364F" w:rsidP="0048364F">
      <w:pPr>
        <w:pStyle w:val="Header"/>
        <w:tabs>
          <w:tab w:val="clear" w:pos="4150"/>
          <w:tab w:val="clear" w:pos="8307"/>
        </w:tabs>
      </w:pPr>
      <w:r w:rsidRPr="005A03F9">
        <w:rPr>
          <w:rStyle w:val="CharAmSchNo"/>
        </w:rPr>
        <w:t xml:space="preserve"> </w:t>
      </w:r>
      <w:r w:rsidRPr="005A03F9">
        <w:rPr>
          <w:rStyle w:val="CharAmSchText"/>
        </w:rPr>
        <w:t xml:space="preserve"> </w:t>
      </w:r>
    </w:p>
    <w:p w:rsidR="0048364F" w:rsidRPr="005A03F9" w:rsidRDefault="0048364F" w:rsidP="0048364F">
      <w:pPr>
        <w:pStyle w:val="Header"/>
        <w:tabs>
          <w:tab w:val="clear" w:pos="4150"/>
          <w:tab w:val="clear" w:pos="8307"/>
        </w:tabs>
      </w:pPr>
      <w:r w:rsidRPr="005A03F9">
        <w:rPr>
          <w:rStyle w:val="CharAmPartNo"/>
        </w:rPr>
        <w:t xml:space="preserve"> </w:t>
      </w:r>
      <w:r w:rsidRPr="005A03F9">
        <w:rPr>
          <w:rStyle w:val="CharAmPartText"/>
        </w:rPr>
        <w:t xml:space="preserve"> </w:t>
      </w:r>
    </w:p>
    <w:p w:rsidR="0048364F" w:rsidRPr="005A03F9" w:rsidRDefault="0048364F" w:rsidP="0048364F">
      <w:pPr>
        <w:sectPr w:rsidR="0048364F" w:rsidRPr="005A03F9" w:rsidSect="00F03EDC">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220A0C" w:rsidRPr="005A03F9" w:rsidRDefault="0048364F" w:rsidP="00E54E84">
      <w:pPr>
        <w:rPr>
          <w:sz w:val="36"/>
        </w:rPr>
      </w:pPr>
      <w:r w:rsidRPr="005A03F9">
        <w:rPr>
          <w:sz w:val="36"/>
        </w:rPr>
        <w:lastRenderedPageBreak/>
        <w:t>Contents</w:t>
      </w:r>
    </w:p>
    <w:bookmarkStart w:id="1" w:name="BKCheck15B_2"/>
    <w:bookmarkEnd w:id="1"/>
    <w:p w:rsidR="001810DD" w:rsidRPr="005A03F9" w:rsidRDefault="001810DD">
      <w:pPr>
        <w:pStyle w:val="TOC5"/>
        <w:rPr>
          <w:rFonts w:asciiTheme="minorHAnsi" w:eastAsiaTheme="minorEastAsia" w:hAnsiTheme="minorHAnsi" w:cstheme="minorBidi"/>
          <w:noProof/>
          <w:kern w:val="0"/>
          <w:sz w:val="22"/>
          <w:szCs w:val="22"/>
        </w:rPr>
      </w:pPr>
      <w:r w:rsidRPr="005A03F9">
        <w:fldChar w:fldCharType="begin"/>
      </w:r>
      <w:r w:rsidRPr="005A03F9">
        <w:instrText xml:space="preserve"> TOC \o "1-9" </w:instrText>
      </w:r>
      <w:r w:rsidRPr="005A03F9">
        <w:fldChar w:fldCharType="separate"/>
      </w:r>
      <w:r w:rsidRPr="005A03F9">
        <w:rPr>
          <w:noProof/>
        </w:rPr>
        <w:t>1</w:t>
      </w:r>
      <w:r w:rsidRPr="005A03F9">
        <w:rPr>
          <w:noProof/>
        </w:rPr>
        <w:tab/>
        <w:t>Name</w:t>
      </w:r>
      <w:r w:rsidRPr="005A03F9">
        <w:rPr>
          <w:noProof/>
        </w:rPr>
        <w:tab/>
      </w:r>
      <w:r w:rsidRPr="005A03F9">
        <w:rPr>
          <w:noProof/>
        </w:rPr>
        <w:fldChar w:fldCharType="begin"/>
      </w:r>
      <w:r w:rsidRPr="005A03F9">
        <w:rPr>
          <w:noProof/>
        </w:rPr>
        <w:instrText xml:space="preserve"> PAGEREF _Toc462900941 \h </w:instrText>
      </w:r>
      <w:r w:rsidRPr="005A03F9">
        <w:rPr>
          <w:noProof/>
        </w:rPr>
      </w:r>
      <w:r w:rsidRPr="005A03F9">
        <w:rPr>
          <w:noProof/>
        </w:rPr>
        <w:fldChar w:fldCharType="separate"/>
      </w:r>
      <w:r w:rsidR="00772E3B">
        <w:rPr>
          <w:noProof/>
        </w:rPr>
        <w:t>1</w:t>
      </w:r>
      <w:r w:rsidRPr="005A03F9">
        <w:rPr>
          <w:noProof/>
        </w:rPr>
        <w:fldChar w:fldCharType="end"/>
      </w:r>
    </w:p>
    <w:p w:rsidR="001810DD" w:rsidRPr="005A03F9" w:rsidRDefault="001810DD">
      <w:pPr>
        <w:pStyle w:val="TOC5"/>
        <w:rPr>
          <w:rFonts w:asciiTheme="minorHAnsi" w:eastAsiaTheme="minorEastAsia" w:hAnsiTheme="minorHAnsi" w:cstheme="minorBidi"/>
          <w:noProof/>
          <w:kern w:val="0"/>
          <w:sz w:val="22"/>
          <w:szCs w:val="22"/>
        </w:rPr>
      </w:pPr>
      <w:r w:rsidRPr="005A03F9">
        <w:rPr>
          <w:noProof/>
        </w:rPr>
        <w:t>2</w:t>
      </w:r>
      <w:r w:rsidRPr="005A03F9">
        <w:rPr>
          <w:noProof/>
        </w:rPr>
        <w:tab/>
        <w:t>Commencement</w:t>
      </w:r>
      <w:r w:rsidRPr="005A03F9">
        <w:rPr>
          <w:noProof/>
        </w:rPr>
        <w:tab/>
      </w:r>
      <w:r w:rsidRPr="005A03F9">
        <w:rPr>
          <w:noProof/>
        </w:rPr>
        <w:fldChar w:fldCharType="begin"/>
      </w:r>
      <w:r w:rsidRPr="005A03F9">
        <w:rPr>
          <w:noProof/>
        </w:rPr>
        <w:instrText xml:space="preserve"> PAGEREF _Toc462900942 \h </w:instrText>
      </w:r>
      <w:r w:rsidRPr="005A03F9">
        <w:rPr>
          <w:noProof/>
        </w:rPr>
      </w:r>
      <w:r w:rsidRPr="005A03F9">
        <w:rPr>
          <w:noProof/>
        </w:rPr>
        <w:fldChar w:fldCharType="separate"/>
      </w:r>
      <w:r w:rsidR="00772E3B">
        <w:rPr>
          <w:noProof/>
        </w:rPr>
        <w:t>1</w:t>
      </w:r>
      <w:r w:rsidRPr="005A03F9">
        <w:rPr>
          <w:noProof/>
        </w:rPr>
        <w:fldChar w:fldCharType="end"/>
      </w:r>
    </w:p>
    <w:p w:rsidR="001810DD" w:rsidRPr="005A03F9" w:rsidRDefault="001810DD">
      <w:pPr>
        <w:pStyle w:val="TOC5"/>
        <w:rPr>
          <w:rFonts w:asciiTheme="minorHAnsi" w:eastAsiaTheme="minorEastAsia" w:hAnsiTheme="minorHAnsi" w:cstheme="minorBidi"/>
          <w:noProof/>
          <w:kern w:val="0"/>
          <w:sz w:val="22"/>
          <w:szCs w:val="22"/>
        </w:rPr>
      </w:pPr>
      <w:r w:rsidRPr="005A03F9">
        <w:rPr>
          <w:noProof/>
        </w:rPr>
        <w:t>3</w:t>
      </w:r>
      <w:r w:rsidRPr="005A03F9">
        <w:rPr>
          <w:noProof/>
        </w:rPr>
        <w:tab/>
        <w:t>Authority</w:t>
      </w:r>
      <w:r w:rsidRPr="005A03F9">
        <w:rPr>
          <w:noProof/>
        </w:rPr>
        <w:tab/>
      </w:r>
      <w:r w:rsidRPr="005A03F9">
        <w:rPr>
          <w:noProof/>
        </w:rPr>
        <w:fldChar w:fldCharType="begin"/>
      </w:r>
      <w:r w:rsidRPr="005A03F9">
        <w:rPr>
          <w:noProof/>
        </w:rPr>
        <w:instrText xml:space="preserve"> PAGEREF _Toc462900943 \h </w:instrText>
      </w:r>
      <w:r w:rsidRPr="005A03F9">
        <w:rPr>
          <w:noProof/>
        </w:rPr>
      </w:r>
      <w:r w:rsidRPr="005A03F9">
        <w:rPr>
          <w:noProof/>
        </w:rPr>
        <w:fldChar w:fldCharType="separate"/>
      </w:r>
      <w:r w:rsidR="00772E3B">
        <w:rPr>
          <w:noProof/>
        </w:rPr>
        <w:t>1</w:t>
      </w:r>
      <w:r w:rsidRPr="005A03F9">
        <w:rPr>
          <w:noProof/>
        </w:rPr>
        <w:fldChar w:fldCharType="end"/>
      </w:r>
    </w:p>
    <w:p w:rsidR="001810DD" w:rsidRPr="005A03F9" w:rsidRDefault="001810DD">
      <w:pPr>
        <w:pStyle w:val="TOC5"/>
        <w:rPr>
          <w:rFonts w:asciiTheme="minorHAnsi" w:eastAsiaTheme="minorEastAsia" w:hAnsiTheme="minorHAnsi" w:cstheme="minorBidi"/>
          <w:noProof/>
          <w:kern w:val="0"/>
          <w:sz w:val="22"/>
          <w:szCs w:val="22"/>
        </w:rPr>
      </w:pPr>
      <w:r w:rsidRPr="005A03F9">
        <w:rPr>
          <w:noProof/>
        </w:rPr>
        <w:t>4</w:t>
      </w:r>
      <w:r w:rsidRPr="005A03F9">
        <w:rPr>
          <w:noProof/>
        </w:rPr>
        <w:tab/>
        <w:t>Schedules</w:t>
      </w:r>
      <w:r w:rsidRPr="005A03F9">
        <w:rPr>
          <w:noProof/>
        </w:rPr>
        <w:tab/>
      </w:r>
      <w:r w:rsidRPr="005A03F9">
        <w:rPr>
          <w:noProof/>
        </w:rPr>
        <w:fldChar w:fldCharType="begin"/>
      </w:r>
      <w:r w:rsidRPr="005A03F9">
        <w:rPr>
          <w:noProof/>
        </w:rPr>
        <w:instrText xml:space="preserve"> PAGEREF _Toc462900944 \h </w:instrText>
      </w:r>
      <w:r w:rsidRPr="005A03F9">
        <w:rPr>
          <w:noProof/>
        </w:rPr>
      </w:r>
      <w:r w:rsidRPr="005A03F9">
        <w:rPr>
          <w:noProof/>
        </w:rPr>
        <w:fldChar w:fldCharType="separate"/>
      </w:r>
      <w:r w:rsidR="00772E3B">
        <w:rPr>
          <w:noProof/>
        </w:rPr>
        <w:t>1</w:t>
      </w:r>
      <w:r w:rsidRPr="005A03F9">
        <w:rPr>
          <w:noProof/>
        </w:rPr>
        <w:fldChar w:fldCharType="end"/>
      </w:r>
    </w:p>
    <w:p w:rsidR="001810DD" w:rsidRPr="005A03F9" w:rsidRDefault="001810DD">
      <w:pPr>
        <w:pStyle w:val="TOC6"/>
        <w:rPr>
          <w:rFonts w:asciiTheme="minorHAnsi" w:eastAsiaTheme="minorEastAsia" w:hAnsiTheme="minorHAnsi" w:cstheme="minorBidi"/>
          <w:b w:val="0"/>
          <w:noProof/>
          <w:kern w:val="0"/>
          <w:sz w:val="22"/>
          <w:szCs w:val="22"/>
        </w:rPr>
      </w:pPr>
      <w:r w:rsidRPr="005A03F9">
        <w:rPr>
          <w:noProof/>
        </w:rPr>
        <w:t>Schedule</w:t>
      </w:r>
      <w:r w:rsidR="005A03F9" w:rsidRPr="005A03F9">
        <w:rPr>
          <w:noProof/>
        </w:rPr>
        <w:t> </w:t>
      </w:r>
      <w:r w:rsidRPr="005A03F9">
        <w:rPr>
          <w:noProof/>
        </w:rPr>
        <w:t>1—Amendments</w:t>
      </w:r>
      <w:r w:rsidRPr="005A03F9">
        <w:rPr>
          <w:b w:val="0"/>
          <w:noProof/>
          <w:sz w:val="18"/>
        </w:rPr>
        <w:tab/>
      </w:r>
      <w:r w:rsidRPr="005A03F9">
        <w:rPr>
          <w:b w:val="0"/>
          <w:noProof/>
          <w:sz w:val="18"/>
        </w:rPr>
        <w:fldChar w:fldCharType="begin"/>
      </w:r>
      <w:r w:rsidRPr="005A03F9">
        <w:rPr>
          <w:b w:val="0"/>
          <w:noProof/>
          <w:sz w:val="18"/>
        </w:rPr>
        <w:instrText xml:space="preserve"> PAGEREF _Toc462900945 \h </w:instrText>
      </w:r>
      <w:r w:rsidRPr="005A03F9">
        <w:rPr>
          <w:b w:val="0"/>
          <w:noProof/>
          <w:sz w:val="18"/>
        </w:rPr>
      </w:r>
      <w:r w:rsidRPr="005A03F9">
        <w:rPr>
          <w:b w:val="0"/>
          <w:noProof/>
          <w:sz w:val="18"/>
        </w:rPr>
        <w:fldChar w:fldCharType="separate"/>
      </w:r>
      <w:r w:rsidR="00772E3B">
        <w:rPr>
          <w:b w:val="0"/>
          <w:noProof/>
          <w:sz w:val="18"/>
        </w:rPr>
        <w:t>2</w:t>
      </w:r>
      <w:r w:rsidRPr="005A03F9">
        <w:rPr>
          <w:b w:val="0"/>
          <w:noProof/>
          <w:sz w:val="18"/>
        </w:rPr>
        <w:fldChar w:fldCharType="end"/>
      </w:r>
    </w:p>
    <w:p w:rsidR="001810DD" w:rsidRPr="005A03F9" w:rsidRDefault="001810DD">
      <w:pPr>
        <w:pStyle w:val="TOC9"/>
        <w:rPr>
          <w:rFonts w:asciiTheme="minorHAnsi" w:eastAsiaTheme="minorEastAsia" w:hAnsiTheme="minorHAnsi" w:cstheme="minorBidi"/>
          <w:i w:val="0"/>
          <w:noProof/>
          <w:kern w:val="0"/>
          <w:sz w:val="22"/>
          <w:szCs w:val="22"/>
        </w:rPr>
      </w:pPr>
      <w:r w:rsidRPr="005A03F9">
        <w:rPr>
          <w:noProof/>
        </w:rPr>
        <w:t>Therapeutic Goods (Permissible Ingredients) Determination No.</w:t>
      </w:r>
      <w:r w:rsidR="005A03F9" w:rsidRPr="005A03F9">
        <w:rPr>
          <w:noProof/>
        </w:rPr>
        <w:t> </w:t>
      </w:r>
      <w:r w:rsidRPr="005A03F9">
        <w:rPr>
          <w:noProof/>
        </w:rPr>
        <w:t>2 of 2016</w:t>
      </w:r>
      <w:r w:rsidRPr="005A03F9">
        <w:rPr>
          <w:i w:val="0"/>
          <w:noProof/>
          <w:sz w:val="18"/>
        </w:rPr>
        <w:tab/>
      </w:r>
      <w:r w:rsidRPr="005A03F9">
        <w:rPr>
          <w:i w:val="0"/>
          <w:noProof/>
          <w:sz w:val="18"/>
        </w:rPr>
        <w:fldChar w:fldCharType="begin"/>
      </w:r>
      <w:r w:rsidRPr="005A03F9">
        <w:rPr>
          <w:i w:val="0"/>
          <w:noProof/>
          <w:sz w:val="18"/>
        </w:rPr>
        <w:instrText xml:space="preserve"> PAGEREF _Toc462900946 \h </w:instrText>
      </w:r>
      <w:r w:rsidRPr="005A03F9">
        <w:rPr>
          <w:i w:val="0"/>
          <w:noProof/>
          <w:sz w:val="18"/>
        </w:rPr>
      </w:r>
      <w:r w:rsidRPr="005A03F9">
        <w:rPr>
          <w:i w:val="0"/>
          <w:noProof/>
          <w:sz w:val="18"/>
        </w:rPr>
        <w:fldChar w:fldCharType="separate"/>
      </w:r>
      <w:r w:rsidR="00772E3B">
        <w:rPr>
          <w:i w:val="0"/>
          <w:noProof/>
          <w:sz w:val="18"/>
        </w:rPr>
        <w:t>2</w:t>
      </w:r>
      <w:r w:rsidRPr="005A03F9">
        <w:rPr>
          <w:i w:val="0"/>
          <w:noProof/>
          <w:sz w:val="18"/>
        </w:rPr>
        <w:fldChar w:fldCharType="end"/>
      </w:r>
    </w:p>
    <w:p w:rsidR="0048364F" w:rsidRPr="005A03F9" w:rsidRDefault="001810DD" w:rsidP="0048364F">
      <w:r w:rsidRPr="005A03F9">
        <w:fldChar w:fldCharType="end"/>
      </w:r>
    </w:p>
    <w:p w:rsidR="0048364F" w:rsidRPr="005A03F9" w:rsidRDefault="0048364F" w:rsidP="0048364F">
      <w:pPr>
        <w:sectPr w:rsidR="0048364F" w:rsidRPr="005A03F9" w:rsidSect="00F03EDC">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48364F" w:rsidRPr="005A03F9" w:rsidRDefault="0048364F" w:rsidP="0048364F">
      <w:pPr>
        <w:pStyle w:val="ActHead5"/>
      </w:pPr>
      <w:bookmarkStart w:id="2" w:name="_Toc462900941"/>
      <w:r w:rsidRPr="005A03F9">
        <w:rPr>
          <w:rStyle w:val="CharSectno"/>
        </w:rPr>
        <w:lastRenderedPageBreak/>
        <w:t>1</w:t>
      </w:r>
      <w:r w:rsidRPr="005A03F9">
        <w:t xml:space="preserve">  </w:t>
      </w:r>
      <w:r w:rsidR="004F676E" w:rsidRPr="005A03F9">
        <w:t>Name</w:t>
      </w:r>
      <w:bookmarkEnd w:id="2"/>
    </w:p>
    <w:p w:rsidR="0048364F" w:rsidRPr="005A03F9" w:rsidRDefault="0048364F" w:rsidP="0048364F">
      <w:pPr>
        <w:pStyle w:val="subsection"/>
      </w:pPr>
      <w:r w:rsidRPr="005A03F9">
        <w:tab/>
      </w:r>
      <w:r w:rsidRPr="005A03F9">
        <w:tab/>
        <w:t>This</w:t>
      </w:r>
      <w:r w:rsidR="001B0395" w:rsidRPr="005A03F9">
        <w:t xml:space="preserve"> instrument</w:t>
      </w:r>
      <w:r w:rsidRPr="005A03F9">
        <w:t xml:space="preserve"> </w:t>
      </w:r>
      <w:r w:rsidR="00613EAD" w:rsidRPr="005A03F9">
        <w:t>is</w:t>
      </w:r>
      <w:r w:rsidRPr="005A03F9">
        <w:t xml:space="preserve"> the </w:t>
      </w:r>
      <w:bookmarkStart w:id="3" w:name="BKCheck15B_3"/>
      <w:bookmarkEnd w:id="3"/>
      <w:r w:rsidR="00414ADE" w:rsidRPr="005A03F9">
        <w:rPr>
          <w:i/>
        </w:rPr>
        <w:fldChar w:fldCharType="begin"/>
      </w:r>
      <w:r w:rsidR="00414ADE" w:rsidRPr="005A03F9">
        <w:rPr>
          <w:i/>
        </w:rPr>
        <w:instrText xml:space="preserve"> STYLEREF  ShortT </w:instrText>
      </w:r>
      <w:r w:rsidR="00414ADE" w:rsidRPr="005A03F9">
        <w:rPr>
          <w:i/>
        </w:rPr>
        <w:fldChar w:fldCharType="separate"/>
      </w:r>
      <w:r w:rsidR="00772E3B">
        <w:rPr>
          <w:i/>
          <w:noProof/>
        </w:rPr>
        <w:t>Therapeutic Goods (Permissible Ingredients) Amendment (2016 Measures No. 1) Determination 2016</w:t>
      </w:r>
      <w:r w:rsidR="00414ADE" w:rsidRPr="005A03F9">
        <w:rPr>
          <w:i/>
        </w:rPr>
        <w:fldChar w:fldCharType="end"/>
      </w:r>
      <w:r w:rsidRPr="005A03F9">
        <w:t>.</w:t>
      </w:r>
    </w:p>
    <w:p w:rsidR="0048364F" w:rsidRPr="005A03F9" w:rsidRDefault="0048364F" w:rsidP="0048364F">
      <w:pPr>
        <w:pStyle w:val="ActHead5"/>
      </w:pPr>
      <w:bookmarkStart w:id="4" w:name="_Toc462900942"/>
      <w:r w:rsidRPr="005A03F9">
        <w:rPr>
          <w:rStyle w:val="CharSectno"/>
        </w:rPr>
        <w:t>2</w:t>
      </w:r>
      <w:r w:rsidRPr="005A03F9">
        <w:t xml:space="preserve">  Commencement</w:t>
      </w:r>
      <w:bookmarkEnd w:id="4"/>
    </w:p>
    <w:p w:rsidR="003254BD" w:rsidRPr="005A03F9" w:rsidRDefault="003254BD" w:rsidP="001D577B">
      <w:pPr>
        <w:pStyle w:val="subsection"/>
      </w:pPr>
      <w:r w:rsidRPr="005A03F9">
        <w:tab/>
        <w:t>(1)</w:t>
      </w:r>
      <w:r w:rsidRPr="005A03F9">
        <w:tab/>
        <w:t>Each provision of this instrument specified in column 1 of the table commences, or is taken to have commenced, in accordance with column 2 of the table. Any other statement in column 2 has effect according to its terms.</w:t>
      </w:r>
    </w:p>
    <w:p w:rsidR="003254BD" w:rsidRPr="005A03F9" w:rsidRDefault="003254BD" w:rsidP="001D577B">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3254BD" w:rsidRPr="005A03F9" w:rsidTr="001D577B">
        <w:trPr>
          <w:tblHeader/>
        </w:trPr>
        <w:tc>
          <w:tcPr>
            <w:tcW w:w="8364" w:type="dxa"/>
            <w:gridSpan w:val="3"/>
            <w:tcBorders>
              <w:top w:val="single" w:sz="12" w:space="0" w:color="auto"/>
              <w:bottom w:val="single" w:sz="2" w:space="0" w:color="auto"/>
            </w:tcBorders>
            <w:shd w:val="clear" w:color="auto" w:fill="auto"/>
            <w:hideMark/>
          </w:tcPr>
          <w:p w:rsidR="003254BD" w:rsidRPr="005A03F9" w:rsidRDefault="003254BD" w:rsidP="001D577B">
            <w:pPr>
              <w:pStyle w:val="TableHeading"/>
            </w:pPr>
            <w:r w:rsidRPr="005A03F9">
              <w:t>Commencement information</w:t>
            </w:r>
          </w:p>
        </w:tc>
      </w:tr>
      <w:tr w:rsidR="003254BD" w:rsidRPr="005A03F9" w:rsidTr="001D577B">
        <w:trPr>
          <w:tblHeader/>
        </w:trPr>
        <w:tc>
          <w:tcPr>
            <w:tcW w:w="2127" w:type="dxa"/>
            <w:tcBorders>
              <w:top w:val="single" w:sz="2" w:space="0" w:color="auto"/>
              <w:bottom w:val="single" w:sz="2" w:space="0" w:color="auto"/>
            </w:tcBorders>
            <w:shd w:val="clear" w:color="auto" w:fill="auto"/>
            <w:hideMark/>
          </w:tcPr>
          <w:p w:rsidR="003254BD" w:rsidRPr="005A03F9" w:rsidRDefault="003254BD" w:rsidP="001D577B">
            <w:pPr>
              <w:pStyle w:val="TableHeading"/>
            </w:pPr>
            <w:bookmarkStart w:id="5" w:name="_GoBack"/>
            <w:r w:rsidRPr="005A03F9">
              <w:t>Column 1</w:t>
            </w:r>
          </w:p>
        </w:tc>
        <w:tc>
          <w:tcPr>
            <w:tcW w:w="4394" w:type="dxa"/>
            <w:tcBorders>
              <w:top w:val="single" w:sz="2" w:space="0" w:color="auto"/>
              <w:bottom w:val="single" w:sz="2" w:space="0" w:color="auto"/>
            </w:tcBorders>
            <w:shd w:val="clear" w:color="auto" w:fill="auto"/>
            <w:hideMark/>
          </w:tcPr>
          <w:p w:rsidR="003254BD" w:rsidRPr="005A03F9" w:rsidRDefault="003254BD" w:rsidP="001D577B">
            <w:pPr>
              <w:pStyle w:val="TableHeading"/>
            </w:pPr>
            <w:r w:rsidRPr="005A03F9">
              <w:t>Column 2</w:t>
            </w:r>
          </w:p>
        </w:tc>
        <w:tc>
          <w:tcPr>
            <w:tcW w:w="1843" w:type="dxa"/>
            <w:tcBorders>
              <w:top w:val="single" w:sz="2" w:space="0" w:color="auto"/>
              <w:bottom w:val="single" w:sz="2" w:space="0" w:color="auto"/>
            </w:tcBorders>
            <w:shd w:val="clear" w:color="auto" w:fill="auto"/>
            <w:hideMark/>
          </w:tcPr>
          <w:p w:rsidR="003254BD" w:rsidRPr="005A03F9" w:rsidRDefault="003254BD" w:rsidP="001D577B">
            <w:pPr>
              <w:pStyle w:val="TableHeading"/>
            </w:pPr>
            <w:r w:rsidRPr="005A03F9">
              <w:t>Column 3</w:t>
            </w:r>
          </w:p>
        </w:tc>
      </w:tr>
      <w:bookmarkEnd w:id="5"/>
      <w:tr w:rsidR="003254BD" w:rsidRPr="005A03F9" w:rsidTr="001D577B">
        <w:trPr>
          <w:tblHeader/>
        </w:trPr>
        <w:tc>
          <w:tcPr>
            <w:tcW w:w="2127" w:type="dxa"/>
            <w:tcBorders>
              <w:top w:val="single" w:sz="2" w:space="0" w:color="auto"/>
              <w:bottom w:val="single" w:sz="12" w:space="0" w:color="auto"/>
            </w:tcBorders>
            <w:shd w:val="clear" w:color="auto" w:fill="auto"/>
            <w:hideMark/>
          </w:tcPr>
          <w:p w:rsidR="003254BD" w:rsidRPr="005A03F9" w:rsidRDefault="003254BD" w:rsidP="001D577B">
            <w:pPr>
              <w:pStyle w:val="TableHeading"/>
            </w:pPr>
            <w:r w:rsidRPr="005A03F9">
              <w:t>Provisions</w:t>
            </w:r>
          </w:p>
        </w:tc>
        <w:tc>
          <w:tcPr>
            <w:tcW w:w="4394" w:type="dxa"/>
            <w:tcBorders>
              <w:top w:val="single" w:sz="2" w:space="0" w:color="auto"/>
              <w:bottom w:val="single" w:sz="12" w:space="0" w:color="auto"/>
            </w:tcBorders>
            <w:shd w:val="clear" w:color="auto" w:fill="auto"/>
            <w:hideMark/>
          </w:tcPr>
          <w:p w:rsidR="003254BD" w:rsidRPr="005A03F9" w:rsidRDefault="003254BD" w:rsidP="001D577B">
            <w:pPr>
              <w:pStyle w:val="TableHeading"/>
            </w:pPr>
            <w:r w:rsidRPr="005A03F9">
              <w:t>Commencement</w:t>
            </w:r>
          </w:p>
        </w:tc>
        <w:tc>
          <w:tcPr>
            <w:tcW w:w="1843" w:type="dxa"/>
            <w:tcBorders>
              <w:top w:val="single" w:sz="2" w:space="0" w:color="auto"/>
              <w:bottom w:val="single" w:sz="12" w:space="0" w:color="auto"/>
            </w:tcBorders>
            <w:shd w:val="clear" w:color="auto" w:fill="auto"/>
            <w:hideMark/>
          </w:tcPr>
          <w:p w:rsidR="003254BD" w:rsidRPr="005A03F9" w:rsidRDefault="003254BD" w:rsidP="001D577B">
            <w:pPr>
              <w:pStyle w:val="TableHeading"/>
            </w:pPr>
            <w:r w:rsidRPr="005A03F9">
              <w:t>Date/Details</w:t>
            </w:r>
          </w:p>
        </w:tc>
      </w:tr>
      <w:tr w:rsidR="003254BD" w:rsidRPr="005A03F9" w:rsidTr="001D577B">
        <w:tc>
          <w:tcPr>
            <w:tcW w:w="2127" w:type="dxa"/>
            <w:tcBorders>
              <w:top w:val="single" w:sz="12" w:space="0" w:color="auto"/>
              <w:bottom w:val="single" w:sz="12" w:space="0" w:color="auto"/>
            </w:tcBorders>
            <w:shd w:val="clear" w:color="auto" w:fill="auto"/>
            <w:hideMark/>
          </w:tcPr>
          <w:p w:rsidR="003254BD" w:rsidRPr="005A03F9" w:rsidRDefault="003254BD" w:rsidP="001D577B">
            <w:pPr>
              <w:pStyle w:val="Tabletext"/>
            </w:pPr>
            <w:r w:rsidRPr="005A03F9">
              <w:t>1.  The whole of this instrument</w:t>
            </w:r>
          </w:p>
        </w:tc>
        <w:tc>
          <w:tcPr>
            <w:tcW w:w="4394" w:type="dxa"/>
            <w:tcBorders>
              <w:top w:val="single" w:sz="12" w:space="0" w:color="auto"/>
              <w:bottom w:val="single" w:sz="12" w:space="0" w:color="auto"/>
            </w:tcBorders>
            <w:shd w:val="clear" w:color="auto" w:fill="auto"/>
            <w:hideMark/>
          </w:tcPr>
          <w:p w:rsidR="003254BD" w:rsidRPr="005A03F9" w:rsidRDefault="002B7F8A" w:rsidP="001D577B">
            <w:pPr>
              <w:pStyle w:val="Tabletext"/>
            </w:pPr>
            <w:r w:rsidRPr="005A03F9">
              <w:t>The day after this instrument is registered.</w:t>
            </w:r>
          </w:p>
        </w:tc>
        <w:tc>
          <w:tcPr>
            <w:tcW w:w="1843" w:type="dxa"/>
            <w:tcBorders>
              <w:top w:val="single" w:sz="12" w:space="0" w:color="auto"/>
              <w:bottom w:val="single" w:sz="12" w:space="0" w:color="auto"/>
            </w:tcBorders>
            <w:shd w:val="clear" w:color="auto" w:fill="auto"/>
          </w:tcPr>
          <w:p w:rsidR="003254BD" w:rsidRPr="005A03F9" w:rsidRDefault="00B93705" w:rsidP="001D577B">
            <w:pPr>
              <w:pStyle w:val="Tabletext"/>
            </w:pPr>
            <w:r>
              <w:t>6 October 2016</w:t>
            </w:r>
          </w:p>
        </w:tc>
      </w:tr>
    </w:tbl>
    <w:p w:rsidR="003254BD" w:rsidRPr="005A03F9" w:rsidRDefault="003254BD" w:rsidP="001D577B">
      <w:pPr>
        <w:pStyle w:val="notetext"/>
      </w:pPr>
      <w:r w:rsidRPr="005A03F9">
        <w:rPr>
          <w:snapToGrid w:val="0"/>
          <w:lang w:eastAsia="en-US"/>
        </w:rPr>
        <w:t>Note:</w:t>
      </w:r>
      <w:r w:rsidRPr="005A03F9">
        <w:rPr>
          <w:snapToGrid w:val="0"/>
          <w:lang w:eastAsia="en-US"/>
        </w:rPr>
        <w:tab/>
        <w:t xml:space="preserve">This table relates only to the provisions of this </w:t>
      </w:r>
      <w:r w:rsidRPr="005A03F9">
        <w:t xml:space="preserve">instrument </w:t>
      </w:r>
      <w:r w:rsidRPr="005A03F9">
        <w:rPr>
          <w:snapToGrid w:val="0"/>
          <w:lang w:eastAsia="en-US"/>
        </w:rPr>
        <w:t xml:space="preserve">as originally made. It will not be amended to deal with any later amendments of this </w:t>
      </w:r>
      <w:r w:rsidRPr="005A03F9">
        <w:t>instrument</w:t>
      </w:r>
      <w:r w:rsidRPr="005A03F9">
        <w:rPr>
          <w:snapToGrid w:val="0"/>
          <w:lang w:eastAsia="en-US"/>
        </w:rPr>
        <w:t>.</w:t>
      </w:r>
    </w:p>
    <w:p w:rsidR="003254BD" w:rsidRPr="005A03F9" w:rsidRDefault="003254BD" w:rsidP="001D577B">
      <w:pPr>
        <w:pStyle w:val="subsection"/>
      </w:pPr>
      <w:r w:rsidRPr="005A03F9">
        <w:tab/>
        <w:t>(2)</w:t>
      </w:r>
      <w:r w:rsidRPr="005A03F9">
        <w:tab/>
        <w:t>Any information in column 3 of the table is not part of this instrument. Information may be inserted in this column, or information in it may be edited, in any published version of this instrument.</w:t>
      </w:r>
    </w:p>
    <w:p w:rsidR="00BF6650" w:rsidRPr="005A03F9" w:rsidRDefault="00BF6650" w:rsidP="00BF6650">
      <w:pPr>
        <w:pStyle w:val="ActHead5"/>
      </w:pPr>
      <w:bookmarkStart w:id="6" w:name="_Toc462900943"/>
      <w:r w:rsidRPr="005A03F9">
        <w:rPr>
          <w:rStyle w:val="CharSectno"/>
        </w:rPr>
        <w:t>3</w:t>
      </w:r>
      <w:r w:rsidRPr="005A03F9">
        <w:t xml:space="preserve">  Authority</w:t>
      </w:r>
      <w:bookmarkEnd w:id="6"/>
    </w:p>
    <w:p w:rsidR="00BF6650" w:rsidRPr="005A03F9" w:rsidRDefault="00BF6650" w:rsidP="00BF6650">
      <w:pPr>
        <w:pStyle w:val="subsection"/>
      </w:pPr>
      <w:r w:rsidRPr="005A03F9">
        <w:tab/>
      </w:r>
      <w:r w:rsidRPr="005A03F9">
        <w:tab/>
        <w:t xml:space="preserve">This </w:t>
      </w:r>
      <w:r w:rsidR="003254BD" w:rsidRPr="005A03F9">
        <w:t>instrument</w:t>
      </w:r>
      <w:r w:rsidRPr="005A03F9">
        <w:t xml:space="preserve"> is made under </w:t>
      </w:r>
      <w:r w:rsidR="003254BD" w:rsidRPr="005A03F9">
        <w:t>section</w:t>
      </w:r>
      <w:r w:rsidR="005A03F9" w:rsidRPr="005A03F9">
        <w:t> </w:t>
      </w:r>
      <w:r w:rsidR="003254BD" w:rsidRPr="005A03F9">
        <w:t>26B</w:t>
      </w:r>
      <w:r w:rsidR="00615A55" w:rsidRPr="005A03F9">
        <w:t>C</w:t>
      </w:r>
      <w:r w:rsidR="003254BD" w:rsidRPr="005A03F9">
        <w:t xml:space="preserve"> of the</w:t>
      </w:r>
      <w:r w:rsidR="003254BD" w:rsidRPr="005A03F9">
        <w:rPr>
          <w:i/>
        </w:rPr>
        <w:t xml:space="preserve"> Therapeutic Goods Act 1989</w:t>
      </w:r>
      <w:r w:rsidR="00546FA3" w:rsidRPr="005A03F9">
        <w:rPr>
          <w:i/>
        </w:rPr>
        <w:t>.</w:t>
      </w:r>
    </w:p>
    <w:p w:rsidR="00557C7A" w:rsidRPr="005A03F9" w:rsidRDefault="00BF6650" w:rsidP="00557C7A">
      <w:pPr>
        <w:pStyle w:val="ActHead5"/>
      </w:pPr>
      <w:bookmarkStart w:id="7" w:name="_Toc462900944"/>
      <w:r w:rsidRPr="005A03F9">
        <w:rPr>
          <w:rStyle w:val="CharSectno"/>
        </w:rPr>
        <w:t>4</w:t>
      </w:r>
      <w:r w:rsidR="00557C7A" w:rsidRPr="005A03F9">
        <w:t xml:space="preserve">  </w:t>
      </w:r>
      <w:r w:rsidR="00083F48" w:rsidRPr="005A03F9">
        <w:t>Schedules</w:t>
      </w:r>
      <w:bookmarkEnd w:id="7"/>
    </w:p>
    <w:p w:rsidR="00557C7A" w:rsidRPr="005A03F9" w:rsidRDefault="00557C7A" w:rsidP="00557C7A">
      <w:pPr>
        <w:pStyle w:val="subsection"/>
      </w:pPr>
      <w:r w:rsidRPr="005A03F9">
        <w:tab/>
      </w:r>
      <w:r w:rsidRPr="005A03F9">
        <w:tab/>
      </w:r>
      <w:r w:rsidR="00083F48" w:rsidRPr="005A03F9">
        <w:t xml:space="preserve">Each </w:t>
      </w:r>
      <w:r w:rsidR="00160BD7" w:rsidRPr="005A03F9">
        <w:t>instrument</w:t>
      </w:r>
      <w:r w:rsidR="00083F48" w:rsidRPr="005A03F9">
        <w:t xml:space="preserve"> that is specified in a Schedule to this</w:t>
      </w:r>
      <w:r w:rsidR="00160BD7" w:rsidRPr="005A03F9">
        <w:t xml:space="preserve"> instrument</w:t>
      </w:r>
      <w:r w:rsidR="00083F48" w:rsidRPr="005A03F9">
        <w:t xml:space="preserve"> is amended or repealed as set out in the applicable items in the Schedule concerned, and any other item in a Schedule to this </w:t>
      </w:r>
      <w:r w:rsidR="00160BD7" w:rsidRPr="005A03F9">
        <w:t>instrument</w:t>
      </w:r>
      <w:r w:rsidR="00083F48" w:rsidRPr="005A03F9">
        <w:t xml:space="preserve"> has effect according to its terms.</w:t>
      </w:r>
    </w:p>
    <w:p w:rsidR="0048364F" w:rsidRPr="005A03F9" w:rsidRDefault="0048364F" w:rsidP="009C5989">
      <w:pPr>
        <w:pStyle w:val="ActHead6"/>
        <w:pageBreakBefore/>
      </w:pPr>
      <w:bookmarkStart w:id="8" w:name="_Toc462900945"/>
      <w:bookmarkStart w:id="9" w:name="opcAmSched"/>
      <w:bookmarkStart w:id="10" w:name="opcCurrentFind"/>
      <w:r w:rsidRPr="005A03F9">
        <w:rPr>
          <w:rStyle w:val="CharAmSchNo"/>
        </w:rPr>
        <w:t>Schedule</w:t>
      </w:r>
      <w:r w:rsidR="005A03F9" w:rsidRPr="005A03F9">
        <w:rPr>
          <w:rStyle w:val="CharAmSchNo"/>
        </w:rPr>
        <w:t> </w:t>
      </w:r>
      <w:r w:rsidRPr="005A03F9">
        <w:rPr>
          <w:rStyle w:val="CharAmSchNo"/>
        </w:rPr>
        <w:t>1</w:t>
      </w:r>
      <w:r w:rsidRPr="005A03F9">
        <w:t>—</w:t>
      </w:r>
      <w:r w:rsidR="00460499" w:rsidRPr="005A03F9">
        <w:rPr>
          <w:rStyle w:val="CharAmSchText"/>
        </w:rPr>
        <w:t>Amendments</w:t>
      </w:r>
      <w:bookmarkEnd w:id="8"/>
    </w:p>
    <w:bookmarkEnd w:id="9"/>
    <w:bookmarkEnd w:id="10"/>
    <w:p w:rsidR="0004044E" w:rsidRPr="005A03F9" w:rsidRDefault="0004044E" w:rsidP="0004044E">
      <w:pPr>
        <w:pStyle w:val="Header"/>
      </w:pPr>
      <w:r w:rsidRPr="005A03F9">
        <w:rPr>
          <w:rStyle w:val="CharAmPartNo"/>
        </w:rPr>
        <w:t xml:space="preserve"> </w:t>
      </w:r>
      <w:r w:rsidRPr="005A03F9">
        <w:rPr>
          <w:rStyle w:val="CharAmPartText"/>
        </w:rPr>
        <w:t xml:space="preserve"> </w:t>
      </w:r>
    </w:p>
    <w:p w:rsidR="008E507F" w:rsidRPr="005A03F9" w:rsidRDefault="008E507F" w:rsidP="008E507F">
      <w:pPr>
        <w:pStyle w:val="ActHead9"/>
      </w:pPr>
      <w:bookmarkStart w:id="11" w:name="_Toc462900946"/>
      <w:r w:rsidRPr="005A03F9">
        <w:t>Therapeutic Goods (Permissible Ingredients) Determination No.</w:t>
      </w:r>
      <w:r w:rsidR="005A03F9" w:rsidRPr="005A03F9">
        <w:t> </w:t>
      </w:r>
      <w:r w:rsidRPr="005A03F9">
        <w:t>2 of 2016</w:t>
      </w:r>
      <w:bookmarkEnd w:id="11"/>
    </w:p>
    <w:p w:rsidR="0084172C" w:rsidRPr="005A03F9" w:rsidRDefault="00BB6E79" w:rsidP="008E507F">
      <w:pPr>
        <w:pStyle w:val="ItemHead"/>
      </w:pPr>
      <w:r w:rsidRPr="005A03F9">
        <w:t xml:space="preserve">1  </w:t>
      </w:r>
      <w:r w:rsidR="00796390" w:rsidRPr="005A03F9">
        <w:t>Table 1 in Part</w:t>
      </w:r>
      <w:r w:rsidR="005A03F9" w:rsidRPr="005A03F9">
        <w:t> </w:t>
      </w:r>
      <w:r w:rsidR="00796390" w:rsidRPr="005A03F9">
        <w:t>2 of Schedule</w:t>
      </w:r>
      <w:r w:rsidR="005A03F9" w:rsidRPr="005A03F9">
        <w:t> </w:t>
      </w:r>
      <w:r w:rsidR="00796390" w:rsidRPr="005A03F9">
        <w:t>1 (after table item</w:t>
      </w:r>
      <w:r w:rsidR="005A03F9" w:rsidRPr="005A03F9">
        <w:t> </w:t>
      </w:r>
      <w:r w:rsidR="00796390" w:rsidRPr="005A03F9">
        <w:t>56)</w:t>
      </w:r>
    </w:p>
    <w:p w:rsidR="0007007E" w:rsidRPr="005A03F9" w:rsidRDefault="0007007E" w:rsidP="0007007E">
      <w:pPr>
        <w:pStyle w:val="Item"/>
      </w:pPr>
      <w:r w:rsidRPr="005A03F9">
        <w:t>Insert:</w:t>
      </w:r>
    </w:p>
    <w:p w:rsidR="0007007E" w:rsidRPr="005A03F9" w:rsidRDefault="0007007E" w:rsidP="00796390">
      <w:pPr>
        <w:pStyle w:val="Tabletext"/>
      </w:pPr>
    </w:p>
    <w:tbl>
      <w:tblPr>
        <w:tblStyle w:val="TableGrid"/>
        <w:tblW w:w="0" w:type="auto"/>
        <w:tblBorders>
          <w:top w:val="none" w:sz="0" w:space="0" w:color="auto"/>
          <w:bottom w:val="none" w:sz="0" w:space="0" w:color="auto"/>
        </w:tblBorders>
        <w:tblLayout w:type="fixed"/>
        <w:tblLook w:val="04A0" w:firstRow="1" w:lastRow="0" w:firstColumn="1" w:lastColumn="0" w:noHBand="0" w:noVBand="1"/>
      </w:tblPr>
      <w:tblGrid>
        <w:gridCol w:w="1242"/>
        <w:gridCol w:w="2410"/>
        <w:gridCol w:w="1276"/>
        <w:gridCol w:w="3601"/>
      </w:tblGrid>
      <w:tr w:rsidR="00796390" w:rsidRPr="005A03F9" w:rsidTr="00B249A4">
        <w:tc>
          <w:tcPr>
            <w:tcW w:w="1242" w:type="dxa"/>
          </w:tcPr>
          <w:p w:rsidR="00796390" w:rsidRPr="005A03F9" w:rsidRDefault="00796390" w:rsidP="00EF3A31">
            <w:pPr>
              <w:spacing w:after="200" w:line="276" w:lineRule="auto"/>
            </w:pPr>
            <w:r w:rsidRPr="005A03F9">
              <w:t>56A</w:t>
            </w:r>
          </w:p>
        </w:tc>
        <w:tc>
          <w:tcPr>
            <w:tcW w:w="2410" w:type="dxa"/>
          </w:tcPr>
          <w:p w:rsidR="00796390" w:rsidRPr="005A03F9" w:rsidRDefault="00796390" w:rsidP="00EF3A31">
            <w:pPr>
              <w:spacing w:after="200" w:line="276" w:lineRule="auto"/>
            </w:pPr>
            <w:r w:rsidRPr="005A03F9">
              <w:t>2</w:t>
            </w:r>
            <w:r w:rsidR="005A03F9">
              <w:noBreakHyphen/>
            </w:r>
            <w:r w:rsidRPr="005A03F9">
              <w:t>BUTYL</w:t>
            </w:r>
            <w:r w:rsidR="005A03F9">
              <w:noBreakHyphen/>
            </w:r>
            <w:r w:rsidRPr="005A03F9">
              <w:t>4,4,6</w:t>
            </w:r>
            <w:r w:rsidR="005A03F9">
              <w:noBreakHyphen/>
            </w:r>
            <w:r w:rsidRPr="005A03F9">
              <w:t>TRIMETHYL</w:t>
            </w:r>
            <w:r w:rsidR="005A03F9">
              <w:noBreakHyphen/>
            </w:r>
            <w:r w:rsidRPr="005A03F9">
              <w:t>1,3</w:t>
            </w:r>
            <w:r w:rsidR="005A03F9">
              <w:noBreakHyphen/>
            </w:r>
            <w:r w:rsidRPr="005A03F9">
              <w:t>DIOXANE</w:t>
            </w:r>
          </w:p>
        </w:tc>
        <w:tc>
          <w:tcPr>
            <w:tcW w:w="1276" w:type="dxa"/>
          </w:tcPr>
          <w:p w:rsidR="00796390" w:rsidRPr="005A03F9" w:rsidRDefault="00796390" w:rsidP="00EF3A31">
            <w:pPr>
              <w:spacing w:after="200" w:line="276" w:lineRule="auto"/>
            </w:pPr>
            <w:r w:rsidRPr="005A03F9">
              <w:t>E</w:t>
            </w:r>
          </w:p>
        </w:tc>
        <w:tc>
          <w:tcPr>
            <w:tcW w:w="3601" w:type="dxa"/>
          </w:tcPr>
          <w:p w:rsidR="00796390" w:rsidRPr="005A03F9" w:rsidRDefault="00796390" w:rsidP="00EF3A31">
            <w:pPr>
              <w:spacing w:after="200" w:line="276" w:lineRule="auto"/>
              <w:rPr>
                <w:rFonts w:cs="Times New Roman"/>
              </w:rPr>
            </w:pPr>
            <w:r w:rsidRPr="005A03F9">
              <w:rPr>
                <w:rFonts w:cs="Times New Roman"/>
              </w:rPr>
              <w:t>Permitted for use only in combination with other permitted ingredients as a fragrance.</w:t>
            </w:r>
          </w:p>
          <w:p w:rsidR="00F66E17" w:rsidRPr="005A03F9" w:rsidRDefault="00796390" w:rsidP="0010308C">
            <w:pPr>
              <w:spacing w:after="200" w:line="276" w:lineRule="auto"/>
              <w:rPr>
                <w:rFonts w:cs="Times New Roman"/>
              </w:rPr>
            </w:pPr>
            <w:r w:rsidRPr="005A03F9">
              <w:rPr>
                <w:rFonts w:cs="Times New Roman"/>
              </w:rPr>
              <w:t xml:space="preserve">If used in a fragrance the total fragrance concentration in </w:t>
            </w:r>
            <w:r w:rsidR="0010308C" w:rsidRPr="005A03F9">
              <w:rPr>
                <w:rFonts w:cs="Times New Roman"/>
              </w:rPr>
              <w:t>a</w:t>
            </w:r>
            <w:r w:rsidRPr="005A03F9">
              <w:rPr>
                <w:rFonts w:cs="Times New Roman"/>
              </w:rPr>
              <w:t xml:space="preserve"> medicine must be no more than 1%.</w:t>
            </w:r>
          </w:p>
        </w:tc>
      </w:tr>
    </w:tbl>
    <w:p w:rsidR="00796390" w:rsidRPr="005A03F9" w:rsidRDefault="00796390" w:rsidP="00796390">
      <w:pPr>
        <w:pStyle w:val="ItemHead"/>
      </w:pPr>
      <w:r w:rsidRPr="005A03F9">
        <w:t xml:space="preserve">2  </w:t>
      </w:r>
      <w:r w:rsidR="00826633" w:rsidRPr="005A03F9">
        <w:t>Table 1 in Part</w:t>
      </w:r>
      <w:r w:rsidR="005A03F9" w:rsidRPr="005A03F9">
        <w:t> </w:t>
      </w:r>
      <w:r w:rsidR="00826633" w:rsidRPr="005A03F9">
        <w:t>2 of Schedule</w:t>
      </w:r>
      <w:r w:rsidR="005A03F9" w:rsidRPr="005A03F9">
        <w:t> </w:t>
      </w:r>
      <w:r w:rsidR="00826633" w:rsidRPr="005A03F9">
        <w:t>1 (after table item</w:t>
      </w:r>
      <w:r w:rsidR="005A03F9" w:rsidRPr="005A03F9">
        <w:t> </w:t>
      </w:r>
      <w:r w:rsidR="00826633" w:rsidRPr="005A03F9">
        <w:t>91)</w:t>
      </w:r>
    </w:p>
    <w:p w:rsidR="00826633" w:rsidRPr="005A03F9" w:rsidRDefault="00826633" w:rsidP="00826633">
      <w:pPr>
        <w:pStyle w:val="Item"/>
      </w:pPr>
      <w:r w:rsidRPr="005A03F9">
        <w:t>Insert:</w:t>
      </w:r>
    </w:p>
    <w:p w:rsidR="005C7D72" w:rsidRPr="005A03F9" w:rsidRDefault="005C7D72" w:rsidP="00826633">
      <w:pPr>
        <w:pStyle w:val="Tabletext"/>
      </w:pPr>
    </w:p>
    <w:tbl>
      <w:tblPr>
        <w:tblStyle w:val="TableGrid"/>
        <w:tblW w:w="0" w:type="auto"/>
        <w:tblBorders>
          <w:top w:val="none" w:sz="0" w:space="0" w:color="auto"/>
          <w:bottom w:val="none" w:sz="0" w:space="0" w:color="auto"/>
        </w:tblBorders>
        <w:tblLayout w:type="fixed"/>
        <w:tblLook w:val="04A0" w:firstRow="1" w:lastRow="0" w:firstColumn="1" w:lastColumn="0" w:noHBand="0" w:noVBand="1"/>
      </w:tblPr>
      <w:tblGrid>
        <w:gridCol w:w="1242"/>
        <w:gridCol w:w="2410"/>
        <w:gridCol w:w="1276"/>
        <w:gridCol w:w="3601"/>
      </w:tblGrid>
      <w:tr w:rsidR="00826633" w:rsidRPr="005A03F9" w:rsidTr="00B249A4">
        <w:tc>
          <w:tcPr>
            <w:tcW w:w="1242" w:type="dxa"/>
          </w:tcPr>
          <w:p w:rsidR="00826633" w:rsidRPr="005A03F9" w:rsidRDefault="00826633" w:rsidP="00B26115">
            <w:pPr>
              <w:spacing w:after="200" w:line="276" w:lineRule="auto"/>
            </w:pPr>
            <w:r w:rsidRPr="005A03F9">
              <w:t>91A</w:t>
            </w:r>
          </w:p>
        </w:tc>
        <w:tc>
          <w:tcPr>
            <w:tcW w:w="2410" w:type="dxa"/>
          </w:tcPr>
          <w:p w:rsidR="00826633" w:rsidRPr="005A03F9" w:rsidRDefault="00826633" w:rsidP="00B26115">
            <w:pPr>
              <w:spacing w:after="200" w:line="276" w:lineRule="auto"/>
            </w:pPr>
            <w:r w:rsidRPr="005A03F9">
              <w:t>2</w:t>
            </w:r>
            <w:r w:rsidR="005A03F9">
              <w:noBreakHyphen/>
            </w:r>
            <w:r w:rsidRPr="005A03F9">
              <w:t>METHYL</w:t>
            </w:r>
            <w:r w:rsidR="005A03F9">
              <w:noBreakHyphen/>
            </w:r>
            <w:r w:rsidRPr="005A03F9">
              <w:t>4</w:t>
            </w:r>
            <w:r w:rsidR="005A03F9">
              <w:noBreakHyphen/>
            </w:r>
            <w:r w:rsidRPr="005A03F9">
              <w:t>(2,2,3</w:t>
            </w:r>
            <w:r w:rsidR="005A03F9">
              <w:noBreakHyphen/>
            </w:r>
            <w:r w:rsidRPr="005A03F9">
              <w:t>TRIMETHYL</w:t>
            </w:r>
            <w:r w:rsidR="005A03F9">
              <w:noBreakHyphen/>
            </w:r>
            <w:r w:rsidRPr="005A03F9">
              <w:t>3</w:t>
            </w:r>
            <w:r w:rsidR="005A03F9">
              <w:noBreakHyphen/>
            </w:r>
            <w:r w:rsidRPr="005A03F9">
              <w:t>CYCLOPENTENYL)</w:t>
            </w:r>
            <w:r w:rsidR="005A03F9">
              <w:noBreakHyphen/>
            </w:r>
            <w:r w:rsidRPr="005A03F9">
              <w:t>2</w:t>
            </w:r>
            <w:r w:rsidR="005A03F9">
              <w:noBreakHyphen/>
            </w:r>
            <w:r w:rsidRPr="005A03F9">
              <w:t>BUTEN</w:t>
            </w:r>
            <w:r w:rsidR="005A03F9">
              <w:noBreakHyphen/>
            </w:r>
            <w:r w:rsidRPr="005A03F9">
              <w:t>1</w:t>
            </w:r>
            <w:r w:rsidR="005A03F9">
              <w:noBreakHyphen/>
            </w:r>
            <w:r w:rsidRPr="005A03F9">
              <w:t>OL</w:t>
            </w:r>
          </w:p>
        </w:tc>
        <w:tc>
          <w:tcPr>
            <w:tcW w:w="1276" w:type="dxa"/>
          </w:tcPr>
          <w:p w:rsidR="00826633" w:rsidRPr="005A03F9" w:rsidRDefault="00826633" w:rsidP="00B26115">
            <w:pPr>
              <w:spacing w:after="200" w:line="276" w:lineRule="auto"/>
            </w:pPr>
            <w:r w:rsidRPr="005A03F9">
              <w:t>E</w:t>
            </w:r>
          </w:p>
        </w:tc>
        <w:tc>
          <w:tcPr>
            <w:tcW w:w="3601" w:type="dxa"/>
          </w:tcPr>
          <w:p w:rsidR="00826633" w:rsidRPr="005A03F9" w:rsidRDefault="00826633" w:rsidP="00B26115">
            <w:pPr>
              <w:spacing w:after="200" w:line="276" w:lineRule="auto"/>
            </w:pPr>
            <w:r w:rsidRPr="005A03F9">
              <w:t>Permitted for use only in combination with other permitted ingredients as a fragrance.</w:t>
            </w:r>
          </w:p>
          <w:p w:rsidR="00826633" w:rsidRPr="005A03F9" w:rsidRDefault="00826633" w:rsidP="00B26115">
            <w:pPr>
              <w:spacing w:after="200" w:line="276" w:lineRule="auto"/>
            </w:pPr>
            <w:r w:rsidRPr="005A03F9">
              <w:t xml:space="preserve">If used in a fragrance the total fragrance concentration in </w:t>
            </w:r>
            <w:r w:rsidR="0010308C" w:rsidRPr="005A03F9">
              <w:t>a</w:t>
            </w:r>
            <w:r w:rsidRPr="005A03F9">
              <w:t xml:space="preserve"> medicine must be no more than 1%.</w:t>
            </w:r>
          </w:p>
          <w:p w:rsidR="00826633" w:rsidRPr="005A03F9" w:rsidRDefault="00826633" w:rsidP="00B26115">
            <w:pPr>
              <w:spacing w:after="200" w:line="276" w:lineRule="auto"/>
            </w:pPr>
            <w:r w:rsidRPr="005A03F9">
              <w:t>Only for use in topical medicines for dermal</w:t>
            </w:r>
            <w:r w:rsidR="00B3501C" w:rsidRPr="005A03F9">
              <w:t xml:space="preserve"> application</w:t>
            </w:r>
            <w:r w:rsidRPr="005A03F9">
              <w:t>.</w:t>
            </w:r>
          </w:p>
        </w:tc>
      </w:tr>
    </w:tbl>
    <w:p w:rsidR="00826633" w:rsidRPr="005A03F9" w:rsidRDefault="00826633" w:rsidP="00826633">
      <w:pPr>
        <w:pStyle w:val="ItemHead"/>
      </w:pPr>
      <w:r w:rsidRPr="005A03F9">
        <w:t>3  Table 1 in Part</w:t>
      </w:r>
      <w:r w:rsidR="005A03F9" w:rsidRPr="005A03F9">
        <w:t> </w:t>
      </w:r>
      <w:r w:rsidRPr="005A03F9">
        <w:t>2 of Schedule</w:t>
      </w:r>
      <w:r w:rsidR="005A03F9" w:rsidRPr="005A03F9">
        <w:t> </w:t>
      </w:r>
      <w:r w:rsidRPr="005A03F9">
        <w:t>1 (after table item</w:t>
      </w:r>
      <w:r w:rsidR="005A03F9" w:rsidRPr="005A03F9">
        <w:t> </w:t>
      </w:r>
      <w:r w:rsidRPr="005A03F9">
        <w:t>92)</w:t>
      </w:r>
    </w:p>
    <w:p w:rsidR="00826633" w:rsidRPr="005A03F9" w:rsidRDefault="00826633" w:rsidP="00826633">
      <w:pPr>
        <w:pStyle w:val="Item"/>
      </w:pPr>
      <w:r w:rsidRPr="005A03F9">
        <w:t>Insert:</w:t>
      </w:r>
    </w:p>
    <w:p w:rsidR="00826633" w:rsidRPr="005A03F9" w:rsidRDefault="00826633" w:rsidP="00826633">
      <w:pPr>
        <w:pStyle w:val="Tabletext"/>
      </w:pPr>
    </w:p>
    <w:tbl>
      <w:tblPr>
        <w:tblStyle w:val="TableGrid"/>
        <w:tblW w:w="0" w:type="auto"/>
        <w:tblBorders>
          <w:top w:val="none" w:sz="0" w:space="0" w:color="auto"/>
          <w:bottom w:val="none" w:sz="0" w:space="0" w:color="auto"/>
        </w:tblBorders>
        <w:tblLayout w:type="fixed"/>
        <w:tblLook w:val="04A0" w:firstRow="1" w:lastRow="0" w:firstColumn="1" w:lastColumn="0" w:noHBand="0" w:noVBand="1"/>
      </w:tblPr>
      <w:tblGrid>
        <w:gridCol w:w="1242"/>
        <w:gridCol w:w="2410"/>
        <w:gridCol w:w="1276"/>
        <w:gridCol w:w="3601"/>
      </w:tblGrid>
      <w:tr w:rsidR="00826633" w:rsidRPr="005A03F9" w:rsidTr="00B249A4">
        <w:tc>
          <w:tcPr>
            <w:tcW w:w="1242" w:type="dxa"/>
          </w:tcPr>
          <w:p w:rsidR="00826633" w:rsidRPr="005A03F9" w:rsidRDefault="00826633" w:rsidP="00B26115">
            <w:pPr>
              <w:spacing w:after="200" w:line="276" w:lineRule="auto"/>
            </w:pPr>
            <w:r w:rsidRPr="005A03F9">
              <w:t>92A</w:t>
            </w:r>
          </w:p>
        </w:tc>
        <w:tc>
          <w:tcPr>
            <w:tcW w:w="2410" w:type="dxa"/>
          </w:tcPr>
          <w:p w:rsidR="00826633" w:rsidRPr="005A03F9" w:rsidRDefault="00826633" w:rsidP="00B26115">
            <w:pPr>
              <w:spacing w:after="200" w:line="276" w:lineRule="auto"/>
            </w:pPr>
            <w:r w:rsidRPr="005A03F9">
              <w:t>2</w:t>
            </w:r>
            <w:r w:rsidR="005A03F9">
              <w:noBreakHyphen/>
            </w:r>
            <w:r w:rsidRPr="005A03F9">
              <w:t>METHYL</w:t>
            </w:r>
            <w:r w:rsidR="005A03F9">
              <w:noBreakHyphen/>
            </w:r>
            <w:r w:rsidRPr="005A03F9">
              <w:t>4</w:t>
            </w:r>
            <w:r w:rsidR="005A03F9">
              <w:noBreakHyphen/>
            </w:r>
            <w:r w:rsidRPr="005A03F9">
              <w:t>(CAMPHENYL</w:t>
            </w:r>
            <w:r w:rsidR="005A03F9">
              <w:noBreakHyphen/>
            </w:r>
            <w:r w:rsidRPr="005A03F9">
              <w:t>8)</w:t>
            </w:r>
            <w:r w:rsidR="005A03F9">
              <w:noBreakHyphen/>
            </w:r>
            <w:r w:rsidRPr="005A03F9">
              <w:t>CYCLOHEXANONE</w:t>
            </w:r>
          </w:p>
        </w:tc>
        <w:tc>
          <w:tcPr>
            <w:tcW w:w="1276" w:type="dxa"/>
          </w:tcPr>
          <w:p w:rsidR="00826633" w:rsidRPr="005A03F9" w:rsidRDefault="00826633" w:rsidP="00B26115">
            <w:pPr>
              <w:spacing w:after="200" w:line="276" w:lineRule="auto"/>
            </w:pPr>
            <w:r w:rsidRPr="005A03F9">
              <w:t>E</w:t>
            </w:r>
          </w:p>
        </w:tc>
        <w:tc>
          <w:tcPr>
            <w:tcW w:w="3601" w:type="dxa"/>
          </w:tcPr>
          <w:p w:rsidR="00826633" w:rsidRPr="005A03F9" w:rsidRDefault="00826633" w:rsidP="00B26115">
            <w:pPr>
              <w:spacing w:after="200" w:line="276" w:lineRule="auto"/>
            </w:pPr>
            <w:r w:rsidRPr="005A03F9">
              <w:t>Permitted for use only in combination with other permitted ingredients as a fragrance.</w:t>
            </w:r>
          </w:p>
          <w:p w:rsidR="00826633" w:rsidRPr="005A03F9" w:rsidRDefault="00826633" w:rsidP="0010308C">
            <w:pPr>
              <w:spacing w:after="200" w:line="276" w:lineRule="auto"/>
            </w:pPr>
            <w:r w:rsidRPr="005A03F9">
              <w:t xml:space="preserve">If used in a fragrance the total fragrance concentration in </w:t>
            </w:r>
            <w:r w:rsidR="0010308C" w:rsidRPr="005A03F9">
              <w:t>a</w:t>
            </w:r>
            <w:r w:rsidRPr="005A03F9">
              <w:t xml:space="preserve"> medicine must be no more than 1%.</w:t>
            </w:r>
          </w:p>
        </w:tc>
      </w:tr>
    </w:tbl>
    <w:p w:rsidR="00826633" w:rsidRPr="005A03F9" w:rsidRDefault="00826633" w:rsidP="00826633">
      <w:pPr>
        <w:pStyle w:val="ItemHead"/>
      </w:pPr>
      <w:r w:rsidRPr="005A03F9">
        <w:t>4  Table 1 in Part</w:t>
      </w:r>
      <w:r w:rsidR="005A03F9" w:rsidRPr="005A03F9">
        <w:t> </w:t>
      </w:r>
      <w:r w:rsidRPr="005A03F9">
        <w:t>2 of Schedule</w:t>
      </w:r>
      <w:r w:rsidR="005A03F9" w:rsidRPr="005A03F9">
        <w:t> </w:t>
      </w:r>
      <w:r w:rsidRPr="005A03F9">
        <w:t>1 (after table item</w:t>
      </w:r>
      <w:r w:rsidR="005A03F9" w:rsidRPr="005A03F9">
        <w:t> </w:t>
      </w:r>
      <w:r w:rsidRPr="005A03F9">
        <w:t>127)</w:t>
      </w:r>
    </w:p>
    <w:p w:rsidR="00826633" w:rsidRPr="005A03F9" w:rsidRDefault="00826633" w:rsidP="00826633">
      <w:pPr>
        <w:pStyle w:val="Item"/>
      </w:pPr>
      <w:r w:rsidRPr="005A03F9">
        <w:t>Insert:</w:t>
      </w:r>
    </w:p>
    <w:p w:rsidR="00826633" w:rsidRPr="005A03F9" w:rsidRDefault="00826633" w:rsidP="00826633">
      <w:pPr>
        <w:pStyle w:val="Tabletext"/>
      </w:pPr>
    </w:p>
    <w:tbl>
      <w:tblPr>
        <w:tblStyle w:val="TableGrid"/>
        <w:tblW w:w="0" w:type="auto"/>
        <w:tblBorders>
          <w:top w:val="none" w:sz="0" w:space="0" w:color="auto"/>
          <w:bottom w:val="none" w:sz="0" w:space="0" w:color="auto"/>
        </w:tblBorders>
        <w:tblLayout w:type="fixed"/>
        <w:tblLook w:val="04A0" w:firstRow="1" w:lastRow="0" w:firstColumn="1" w:lastColumn="0" w:noHBand="0" w:noVBand="1"/>
      </w:tblPr>
      <w:tblGrid>
        <w:gridCol w:w="1242"/>
        <w:gridCol w:w="2552"/>
        <w:gridCol w:w="1134"/>
        <w:gridCol w:w="3601"/>
      </w:tblGrid>
      <w:tr w:rsidR="00826633" w:rsidRPr="005A03F9" w:rsidTr="00B249A4">
        <w:tc>
          <w:tcPr>
            <w:tcW w:w="1242" w:type="dxa"/>
          </w:tcPr>
          <w:p w:rsidR="00826633" w:rsidRPr="005A03F9" w:rsidRDefault="00826633" w:rsidP="00B26115">
            <w:pPr>
              <w:spacing w:after="200" w:line="276" w:lineRule="auto"/>
            </w:pPr>
            <w:r w:rsidRPr="005A03F9">
              <w:t>127A</w:t>
            </w:r>
          </w:p>
        </w:tc>
        <w:tc>
          <w:tcPr>
            <w:tcW w:w="2552" w:type="dxa"/>
          </w:tcPr>
          <w:p w:rsidR="00826633" w:rsidRPr="005A03F9" w:rsidRDefault="00826633" w:rsidP="00B26115">
            <w:pPr>
              <w:spacing w:after="200" w:line="276" w:lineRule="auto"/>
            </w:pPr>
            <w:r w:rsidRPr="005A03F9">
              <w:t>2,2</w:t>
            </w:r>
            <w:r w:rsidR="005A03F9">
              <w:noBreakHyphen/>
            </w:r>
            <w:r w:rsidRPr="005A03F9">
              <w:t>DIMETHYL</w:t>
            </w:r>
            <w:r w:rsidR="005A03F9">
              <w:noBreakHyphen/>
            </w:r>
            <w:r w:rsidRPr="005A03F9">
              <w:t>3</w:t>
            </w:r>
            <w:r w:rsidR="005A03F9">
              <w:noBreakHyphen/>
            </w:r>
            <w:r w:rsidRPr="005A03F9">
              <w:t>(3</w:t>
            </w:r>
            <w:r w:rsidR="005A03F9">
              <w:noBreakHyphen/>
            </w:r>
            <w:r w:rsidRPr="005A03F9">
              <w:t>METHYL</w:t>
            </w:r>
            <w:r w:rsidR="005A03F9">
              <w:noBreakHyphen/>
            </w:r>
            <w:r w:rsidRPr="005A03F9">
              <w:t>2,4</w:t>
            </w:r>
            <w:r w:rsidR="005A03F9">
              <w:noBreakHyphen/>
            </w:r>
            <w:r w:rsidRPr="005A03F9">
              <w:t>PENTADIENYL)</w:t>
            </w:r>
            <w:r w:rsidR="005A03F9">
              <w:noBreakHyphen/>
            </w:r>
            <w:proofErr w:type="spellStart"/>
            <w:r w:rsidRPr="005A03F9">
              <w:t>OXIRANE</w:t>
            </w:r>
            <w:proofErr w:type="spellEnd"/>
          </w:p>
        </w:tc>
        <w:tc>
          <w:tcPr>
            <w:tcW w:w="1134" w:type="dxa"/>
          </w:tcPr>
          <w:p w:rsidR="00826633" w:rsidRPr="005A03F9" w:rsidRDefault="00826633" w:rsidP="00B26115">
            <w:pPr>
              <w:spacing w:after="200" w:line="276" w:lineRule="auto"/>
            </w:pPr>
            <w:r w:rsidRPr="005A03F9">
              <w:t>E</w:t>
            </w:r>
          </w:p>
        </w:tc>
        <w:tc>
          <w:tcPr>
            <w:tcW w:w="3601" w:type="dxa"/>
          </w:tcPr>
          <w:p w:rsidR="00826633" w:rsidRPr="005A03F9" w:rsidRDefault="00826633" w:rsidP="00B26115">
            <w:pPr>
              <w:spacing w:after="200" w:line="276" w:lineRule="auto"/>
            </w:pPr>
            <w:r w:rsidRPr="005A03F9">
              <w:t>Permitted for use only in combination with other permitted ingredients as a fragrance.</w:t>
            </w:r>
          </w:p>
          <w:p w:rsidR="00826633" w:rsidRPr="005A03F9" w:rsidRDefault="00826633" w:rsidP="0010308C">
            <w:pPr>
              <w:spacing w:after="200" w:line="276" w:lineRule="auto"/>
            </w:pPr>
            <w:r w:rsidRPr="005A03F9">
              <w:t xml:space="preserve">If used in a fragrance the total fragrance concentration in </w:t>
            </w:r>
            <w:r w:rsidR="0010308C" w:rsidRPr="005A03F9">
              <w:t>a</w:t>
            </w:r>
            <w:r w:rsidRPr="005A03F9">
              <w:t xml:space="preserve"> medicine must be no more than 1%.</w:t>
            </w:r>
          </w:p>
        </w:tc>
      </w:tr>
    </w:tbl>
    <w:p w:rsidR="00826633" w:rsidRPr="005A03F9" w:rsidRDefault="00826633" w:rsidP="00826633">
      <w:pPr>
        <w:pStyle w:val="ItemHead"/>
      </w:pPr>
      <w:r w:rsidRPr="005A03F9">
        <w:t>5  Table 1 in Part</w:t>
      </w:r>
      <w:r w:rsidR="005A03F9" w:rsidRPr="005A03F9">
        <w:t> </w:t>
      </w:r>
      <w:r w:rsidRPr="005A03F9">
        <w:t>2 of Schedule</w:t>
      </w:r>
      <w:r w:rsidR="005A03F9" w:rsidRPr="005A03F9">
        <w:t> </w:t>
      </w:r>
      <w:r w:rsidRPr="005A03F9">
        <w:t>1 (after table item</w:t>
      </w:r>
      <w:r w:rsidR="005A03F9" w:rsidRPr="005A03F9">
        <w:t> </w:t>
      </w:r>
      <w:r w:rsidRPr="005A03F9">
        <w:t>236)</w:t>
      </w:r>
    </w:p>
    <w:p w:rsidR="00826633" w:rsidRPr="005A03F9" w:rsidRDefault="00826633" w:rsidP="00826633">
      <w:pPr>
        <w:pStyle w:val="Item"/>
      </w:pPr>
      <w:r w:rsidRPr="005A03F9">
        <w:t>Insert:</w:t>
      </w:r>
    </w:p>
    <w:p w:rsidR="00826633" w:rsidRPr="005A03F9" w:rsidRDefault="00826633" w:rsidP="00826633">
      <w:pPr>
        <w:pStyle w:val="Tabletext"/>
      </w:pPr>
    </w:p>
    <w:tbl>
      <w:tblPr>
        <w:tblStyle w:val="TableGrid"/>
        <w:tblW w:w="0" w:type="auto"/>
        <w:tblBorders>
          <w:top w:val="none" w:sz="0" w:space="0" w:color="auto"/>
          <w:bottom w:val="none" w:sz="0" w:space="0" w:color="auto"/>
        </w:tblBorders>
        <w:tblLayout w:type="fixed"/>
        <w:tblLook w:val="04A0" w:firstRow="1" w:lastRow="0" w:firstColumn="1" w:lastColumn="0" w:noHBand="0" w:noVBand="1"/>
      </w:tblPr>
      <w:tblGrid>
        <w:gridCol w:w="1242"/>
        <w:gridCol w:w="2552"/>
        <w:gridCol w:w="1134"/>
        <w:gridCol w:w="3601"/>
      </w:tblGrid>
      <w:tr w:rsidR="00826633" w:rsidRPr="005A03F9" w:rsidTr="00B249A4">
        <w:tc>
          <w:tcPr>
            <w:tcW w:w="1242" w:type="dxa"/>
          </w:tcPr>
          <w:p w:rsidR="00826633" w:rsidRPr="005A03F9" w:rsidRDefault="00826633" w:rsidP="00B26115">
            <w:pPr>
              <w:spacing w:after="200" w:line="276" w:lineRule="auto"/>
            </w:pPr>
            <w:r w:rsidRPr="005A03F9">
              <w:t>236A</w:t>
            </w:r>
          </w:p>
        </w:tc>
        <w:tc>
          <w:tcPr>
            <w:tcW w:w="2552" w:type="dxa"/>
          </w:tcPr>
          <w:p w:rsidR="00826633" w:rsidRPr="005A03F9" w:rsidRDefault="00826633" w:rsidP="00B26115">
            <w:pPr>
              <w:spacing w:after="200" w:line="276" w:lineRule="auto"/>
            </w:pPr>
            <w:r w:rsidRPr="005A03F9">
              <w:t>4,5</w:t>
            </w:r>
            <w:r w:rsidR="005A03F9">
              <w:noBreakHyphen/>
            </w:r>
            <w:r w:rsidRPr="005A03F9">
              <w:t>DIMETHYL</w:t>
            </w:r>
            <w:r w:rsidR="005A03F9">
              <w:noBreakHyphen/>
            </w:r>
            <w:r w:rsidRPr="005A03F9">
              <w:t>3</w:t>
            </w:r>
            <w:r w:rsidR="005A03F9">
              <w:noBreakHyphen/>
            </w:r>
            <w:r w:rsidRPr="005A03F9">
              <w:t>HYDROXY</w:t>
            </w:r>
            <w:r w:rsidR="005A03F9">
              <w:noBreakHyphen/>
            </w:r>
            <w:r w:rsidRPr="005A03F9">
              <w:t>2(5H)</w:t>
            </w:r>
            <w:proofErr w:type="spellStart"/>
            <w:r w:rsidRPr="005A03F9">
              <w:t>FURANONE</w:t>
            </w:r>
            <w:proofErr w:type="spellEnd"/>
          </w:p>
        </w:tc>
        <w:tc>
          <w:tcPr>
            <w:tcW w:w="1134" w:type="dxa"/>
          </w:tcPr>
          <w:p w:rsidR="00826633" w:rsidRPr="005A03F9" w:rsidRDefault="00826633" w:rsidP="00B26115">
            <w:pPr>
              <w:spacing w:after="200" w:line="276" w:lineRule="auto"/>
            </w:pPr>
            <w:r w:rsidRPr="005A03F9">
              <w:t>E</w:t>
            </w:r>
          </w:p>
        </w:tc>
        <w:tc>
          <w:tcPr>
            <w:tcW w:w="3601" w:type="dxa"/>
          </w:tcPr>
          <w:p w:rsidR="00826633" w:rsidRPr="005A03F9" w:rsidRDefault="00826633" w:rsidP="00B26115">
            <w:pPr>
              <w:spacing w:after="200" w:line="276" w:lineRule="auto"/>
            </w:pPr>
            <w:r w:rsidRPr="005A03F9">
              <w:t>Permitted for use only in combination with other permitted ingredients as a flavour.</w:t>
            </w:r>
          </w:p>
          <w:p w:rsidR="00826633" w:rsidRPr="005A03F9" w:rsidRDefault="00826633" w:rsidP="0010308C">
            <w:pPr>
              <w:spacing w:after="200" w:line="276" w:lineRule="auto"/>
            </w:pPr>
            <w:r w:rsidRPr="005A03F9">
              <w:t xml:space="preserve">If used in a flavour the total flavour concentration in </w:t>
            </w:r>
            <w:r w:rsidR="0010308C" w:rsidRPr="005A03F9">
              <w:t>a</w:t>
            </w:r>
            <w:r w:rsidRPr="005A03F9">
              <w:t xml:space="preserve"> medicine must be no more than 5%.</w:t>
            </w:r>
          </w:p>
        </w:tc>
      </w:tr>
    </w:tbl>
    <w:p w:rsidR="00826633" w:rsidRPr="005A03F9" w:rsidRDefault="00826633" w:rsidP="00826633">
      <w:pPr>
        <w:pStyle w:val="ItemHead"/>
      </w:pPr>
      <w:r w:rsidRPr="005A03F9">
        <w:t>6  Table 1 in Part</w:t>
      </w:r>
      <w:r w:rsidR="005A03F9" w:rsidRPr="005A03F9">
        <w:t> </w:t>
      </w:r>
      <w:r w:rsidRPr="005A03F9">
        <w:t>2 of Schedule</w:t>
      </w:r>
      <w:r w:rsidR="005A03F9" w:rsidRPr="005A03F9">
        <w:t> </w:t>
      </w:r>
      <w:r w:rsidRPr="005A03F9">
        <w:t>1 (after table item</w:t>
      </w:r>
      <w:r w:rsidR="005A03F9" w:rsidRPr="005A03F9">
        <w:t> </w:t>
      </w:r>
      <w:r w:rsidRPr="005A03F9">
        <w:t>252)</w:t>
      </w:r>
    </w:p>
    <w:p w:rsidR="00826633" w:rsidRPr="005A03F9" w:rsidRDefault="00C10284" w:rsidP="00C10284">
      <w:pPr>
        <w:pStyle w:val="Item"/>
      </w:pPr>
      <w:r w:rsidRPr="005A03F9">
        <w:t>Insert:</w:t>
      </w:r>
    </w:p>
    <w:p w:rsidR="00C10284" w:rsidRPr="005A03F9" w:rsidRDefault="00C10284" w:rsidP="00826633">
      <w:pPr>
        <w:pStyle w:val="Tabletext"/>
      </w:pPr>
    </w:p>
    <w:tbl>
      <w:tblPr>
        <w:tblStyle w:val="TableGrid"/>
        <w:tblW w:w="0" w:type="auto"/>
        <w:tblBorders>
          <w:top w:val="none" w:sz="0" w:space="0" w:color="auto"/>
          <w:bottom w:val="none" w:sz="0" w:space="0" w:color="auto"/>
        </w:tblBorders>
        <w:tblLayout w:type="fixed"/>
        <w:tblLook w:val="04A0" w:firstRow="1" w:lastRow="0" w:firstColumn="1" w:lastColumn="0" w:noHBand="0" w:noVBand="1"/>
      </w:tblPr>
      <w:tblGrid>
        <w:gridCol w:w="1242"/>
        <w:gridCol w:w="2552"/>
        <w:gridCol w:w="1134"/>
        <w:gridCol w:w="3601"/>
      </w:tblGrid>
      <w:tr w:rsidR="00826633" w:rsidRPr="005A03F9" w:rsidTr="00B249A4">
        <w:tc>
          <w:tcPr>
            <w:tcW w:w="1242" w:type="dxa"/>
          </w:tcPr>
          <w:p w:rsidR="00826633" w:rsidRPr="005A03F9" w:rsidRDefault="00826633" w:rsidP="00B26115">
            <w:pPr>
              <w:spacing w:after="200" w:line="276" w:lineRule="auto"/>
            </w:pPr>
            <w:r w:rsidRPr="005A03F9">
              <w:t>252A</w:t>
            </w:r>
          </w:p>
        </w:tc>
        <w:tc>
          <w:tcPr>
            <w:tcW w:w="2552" w:type="dxa"/>
          </w:tcPr>
          <w:p w:rsidR="00826633" w:rsidRPr="005A03F9" w:rsidRDefault="00826633" w:rsidP="00B26115">
            <w:pPr>
              <w:spacing w:after="200" w:line="276" w:lineRule="auto"/>
            </w:pPr>
            <w:r w:rsidRPr="005A03F9">
              <w:t>6</w:t>
            </w:r>
            <w:r w:rsidR="005A03F9">
              <w:noBreakHyphen/>
            </w:r>
            <w:r w:rsidRPr="005A03F9">
              <w:t>BUTYL</w:t>
            </w:r>
            <w:r w:rsidR="005A03F9">
              <w:noBreakHyphen/>
            </w:r>
            <w:r w:rsidRPr="005A03F9">
              <w:t>3,6</w:t>
            </w:r>
            <w:r w:rsidR="005A03F9">
              <w:noBreakHyphen/>
            </w:r>
            <w:r w:rsidRPr="005A03F9">
              <w:t>DIHYDRO</w:t>
            </w:r>
            <w:r w:rsidR="005A03F9">
              <w:noBreakHyphen/>
            </w:r>
            <w:r w:rsidRPr="005A03F9">
              <w:t>2,4</w:t>
            </w:r>
            <w:r w:rsidR="005A03F9">
              <w:noBreakHyphen/>
            </w:r>
            <w:r w:rsidRPr="005A03F9">
              <w:t>DIMETHYL</w:t>
            </w:r>
            <w:r w:rsidR="005A03F9">
              <w:noBreakHyphen/>
            </w:r>
            <w:r w:rsidRPr="005A03F9">
              <w:t>2H</w:t>
            </w:r>
            <w:r w:rsidR="005A03F9">
              <w:noBreakHyphen/>
            </w:r>
            <w:r w:rsidRPr="005A03F9">
              <w:t>PYRAN</w:t>
            </w:r>
          </w:p>
        </w:tc>
        <w:tc>
          <w:tcPr>
            <w:tcW w:w="1134" w:type="dxa"/>
          </w:tcPr>
          <w:p w:rsidR="00826633" w:rsidRPr="005A03F9" w:rsidRDefault="00826633" w:rsidP="00B26115">
            <w:pPr>
              <w:spacing w:after="200" w:line="276" w:lineRule="auto"/>
            </w:pPr>
            <w:r w:rsidRPr="005A03F9">
              <w:t>E</w:t>
            </w:r>
          </w:p>
        </w:tc>
        <w:tc>
          <w:tcPr>
            <w:tcW w:w="3601" w:type="dxa"/>
          </w:tcPr>
          <w:p w:rsidR="00826633" w:rsidRPr="005A03F9" w:rsidRDefault="00826633" w:rsidP="00B26115">
            <w:pPr>
              <w:spacing w:after="200" w:line="276" w:lineRule="auto"/>
            </w:pPr>
            <w:r w:rsidRPr="005A03F9">
              <w:t>Permitted for use only in combination with other permitted ingredients as a flavour.</w:t>
            </w:r>
          </w:p>
          <w:p w:rsidR="00826633" w:rsidRPr="005A03F9" w:rsidRDefault="00826633" w:rsidP="0010308C">
            <w:pPr>
              <w:spacing w:after="200" w:line="276" w:lineRule="auto"/>
            </w:pPr>
            <w:r w:rsidRPr="005A03F9">
              <w:t xml:space="preserve">If used in a flavour the total flavour concentration in </w:t>
            </w:r>
            <w:r w:rsidR="0010308C" w:rsidRPr="005A03F9">
              <w:t>a</w:t>
            </w:r>
            <w:r w:rsidRPr="005A03F9">
              <w:t xml:space="preserve"> medicine must be no more than 5%.</w:t>
            </w:r>
          </w:p>
        </w:tc>
      </w:tr>
    </w:tbl>
    <w:p w:rsidR="00826633" w:rsidRPr="005A03F9" w:rsidRDefault="00826633" w:rsidP="00826633">
      <w:pPr>
        <w:pStyle w:val="ItemHead"/>
      </w:pPr>
      <w:r w:rsidRPr="005A03F9">
        <w:t>7  Table 1 in Part</w:t>
      </w:r>
      <w:r w:rsidR="005A03F9" w:rsidRPr="005A03F9">
        <w:t> </w:t>
      </w:r>
      <w:r w:rsidRPr="005A03F9">
        <w:t>2 of Schedule</w:t>
      </w:r>
      <w:r w:rsidR="005A03F9" w:rsidRPr="005A03F9">
        <w:t> </w:t>
      </w:r>
      <w:r w:rsidRPr="005A03F9">
        <w:t>1 (cell at table item</w:t>
      </w:r>
      <w:r w:rsidR="005A03F9" w:rsidRPr="005A03F9">
        <w:t> </w:t>
      </w:r>
      <w:r w:rsidRPr="005A03F9">
        <w:t>754, column 4)</w:t>
      </w:r>
    </w:p>
    <w:p w:rsidR="00826633" w:rsidRPr="005A03F9" w:rsidRDefault="00826633" w:rsidP="00826633">
      <w:pPr>
        <w:pStyle w:val="Item"/>
      </w:pPr>
      <w:r w:rsidRPr="005A03F9">
        <w:t>Repeal the cell, substitute:</w:t>
      </w:r>
    </w:p>
    <w:p w:rsidR="000C56C2" w:rsidRPr="005A03F9" w:rsidRDefault="000C56C2" w:rsidP="000C56C2">
      <w:pPr>
        <w:pStyle w:val="Tabletext"/>
      </w:pPr>
    </w:p>
    <w:tbl>
      <w:tblPr>
        <w:tblW w:w="0" w:type="auto"/>
        <w:tblInd w:w="817" w:type="dxa"/>
        <w:tblBorders>
          <w:insideH w:val="single" w:sz="4" w:space="0" w:color="auto"/>
        </w:tblBorders>
        <w:tblLayout w:type="fixed"/>
        <w:tblLook w:val="0000" w:firstRow="0" w:lastRow="0" w:firstColumn="0" w:lastColumn="0" w:noHBand="0" w:noVBand="0"/>
      </w:tblPr>
      <w:tblGrid>
        <w:gridCol w:w="3827"/>
      </w:tblGrid>
      <w:tr w:rsidR="00B249A4" w:rsidRPr="005A03F9" w:rsidTr="00B249A4">
        <w:tc>
          <w:tcPr>
            <w:tcW w:w="3827" w:type="dxa"/>
            <w:shd w:val="clear" w:color="auto" w:fill="auto"/>
          </w:tcPr>
          <w:p w:rsidR="00B249A4" w:rsidRPr="005A03F9" w:rsidRDefault="00B249A4" w:rsidP="00B26115">
            <w:pPr>
              <w:spacing w:after="200" w:line="276" w:lineRule="auto"/>
            </w:pPr>
            <w:r w:rsidRPr="005A03F9">
              <w:t xml:space="preserve">When for oral ingestion, the maximum recommended daily dose must not provide more than 383.5 milligrams of </w:t>
            </w:r>
            <w:proofErr w:type="spellStart"/>
            <w:r w:rsidRPr="005A03F9">
              <w:t>behenic</w:t>
            </w:r>
            <w:proofErr w:type="spellEnd"/>
            <w:r w:rsidRPr="005A03F9">
              <w:t xml:space="preserve"> acid.</w:t>
            </w:r>
          </w:p>
        </w:tc>
      </w:tr>
    </w:tbl>
    <w:p w:rsidR="008A04D6" w:rsidRPr="005A03F9" w:rsidRDefault="008A04D6" w:rsidP="008A04D6">
      <w:pPr>
        <w:pStyle w:val="ItemHead"/>
      </w:pPr>
      <w:r w:rsidRPr="005A03F9">
        <w:t>8  Table 1 in Part</w:t>
      </w:r>
      <w:r w:rsidR="005A03F9" w:rsidRPr="005A03F9">
        <w:t> </w:t>
      </w:r>
      <w:r w:rsidRPr="005A03F9">
        <w:t>2 of Schedule</w:t>
      </w:r>
      <w:r w:rsidR="005A03F9" w:rsidRPr="005A03F9">
        <w:t> </w:t>
      </w:r>
      <w:r w:rsidRPr="005A03F9">
        <w:t>1 (cell at table item</w:t>
      </w:r>
      <w:r w:rsidR="005A03F9" w:rsidRPr="005A03F9">
        <w:t> </w:t>
      </w:r>
      <w:r w:rsidRPr="005A03F9">
        <w:t>796, column 4)</w:t>
      </w:r>
    </w:p>
    <w:p w:rsidR="008A04D6" w:rsidRPr="005A03F9" w:rsidRDefault="008A04D6" w:rsidP="008A04D6">
      <w:pPr>
        <w:pStyle w:val="Item"/>
      </w:pPr>
      <w:r w:rsidRPr="005A03F9">
        <w:t>Repeal the cell, substitute:</w:t>
      </w:r>
    </w:p>
    <w:p w:rsidR="00575AFE" w:rsidRPr="005A03F9" w:rsidRDefault="00575AFE" w:rsidP="00575AFE">
      <w:pPr>
        <w:pStyle w:val="Tabletext"/>
      </w:pPr>
    </w:p>
    <w:tbl>
      <w:tblPr>
        <w:tblW w:w="0" w:type="auto"/>
        <w:tblInd w:w="817" w:type="dxa"/>
        <w:tblBorders>
          <w:insideH w:val="single" w:sz="4" w:space="0" w:color="auto"/>
        </w:tblBorders>
        <w:tblLayout w:type="fixed"/>
        <w:tblLook w:val="0000" w:firstRow="0" w:lastRow="0" w:firstColumn="0" w:lastColumn="0" w:noHBand="0" w:noVBand="0"/>
      </w:tblPr>
      <w:tblGrid>
        <w:gridCol w:w="3799"/>
      </w:tblGrid>
      <w:tr w:rsidR="00B249A4" w:rsidRPr="005A03F9" w:rsidTr="00B249A4">
        <w:tc>
          <w:tcPr>
            <w:tcW w:w="3799" w:type="dxa"/>
            <w:shd w:val="clear" w:color="auto" w:fill="auto"/>
          </w:tcPr>
          <w:p w:rsidR="00B249A4" w:rsidRPr="005A03F9" w:rsidRDefault="00B249A4" w:rsidP="00B26115">
            <w:pPr>
              <w:spacing w:after="200" w:line="276" w:lineRule="auto"/>
            </w:pPr>
            <w:r w:rsidRPr="005A03F9">
              <w:t xml:space="preserve">When for internal use </w:t>
            </w:r>
            <w:proofErr w:type="spellStart"/>
            <w:r w:rsidRPr="005A03F9">
              <w:t>oxedrine</w:t>
            </w:r>
            <w:proofErr w:type="spellEnd"/>
            <w:r w:rsidRPr="005A03F9">
              <w:t xml:space="preserve"> is a mandatory component of bergamot oil </w:t>
            </w:r>
            <w:proofErr w:type="spellStart"/>
            <w:r w:rsidRPr="005A03F9">
              <w:t>coldpressed</w:t>
            </w:r>
            <w:proofErr w:type="spellEnd"/>
            <w:r w:rsidRPr="005A03F9">
              <w:t>.</w:t>
            </w:r>
          </w:p>
          <w:p w:rsidR="00B249A4" w:rsidRPr="005A03F9" w:rsidRDefault="00B249A4" w:rsidP="00B26115">
            <w:pPr>
              <w:spacing w:after="200" w:line="276" w:lineRule="auto"/>
            </w:pPr>
            <w:r w:rsidRPr="005A03F9">
              <w:t xml:space="preserve">The maximum recommended daily dose must provide no more than 30 milligrams of </w:t>
            </w:r>
            <w:proofErr w:type="spellStart"/>
            <w:r w:rsidRPr="005A03F9">
              <w:t>oxedrine</w:t>
            </w:r>
            <w:proofErr w:type="spellEnd"/>
            <w:r w:rsidRPr="005A03F9">
              <w:t>.</w:t>
            </w:r>
          </w:p>
          <w:p w:rsidR="00B249A4" w:rsidRPr="005A03F9" w:rsidRDefault="00B249A4" w:rsidP="00B26115">
            <w:pPr>
              <w:spacing w:after="200" w:line="276" w:lineRule="auto"/>
            </w:pPr>
            <w:r w:rsidRPr="005A03F9">
              <w:t>The warning statement (SENS) 'Application to skin may increase sensitivity to sunlight' (or words to that effect) must be included on the medicine label unless the medicine is:</w:t>
            </w:r>
          </w:p>
          <w:p w:rsidR="00B249A4" w:rsidRPr="005A03F9" w:rsidRDefault="00B249A4" w:rsidP="00B26115">
            <w:pPr>
              <w:spacing w:after="200" w:line="276" w:lineRule="auto"/>
            </w:pPr>
            <w:r w:rsidRPr="005A03F9">
              <w:t>a) for internal use; or</w:t>
            </w:r>
          </w:p>
          <w:p w:rsidR="00B249A4" w:rsidRPr="005A03F9" w:rsidRDefault="00B249A4" w:rsidP="00B26115">
            <w:pPr>
              <w:spacing w:after="200" w:line="276" w:lineRule="auto"/>
            </w:pPr>
            <w:r w:rsidRPr="005A03F9">
              <w:t xml:space="preserve">b) in preparations containing 0.4 per cent or less of bergamot oil </w:t>
            </w:r>
            <w:proofErr w:type="spellStart"/>
            <w:r w:rsidRPr="005A03F9">
              <w:t>coldpressed</w:t>
            </w:r>
            <w:proofErr w:type="spellEnd"/>
            <w:r w:rsidRPr="005A03F9">
              <w:t>; or</w:t>
            </w:r>
          </w:p>
          <w:p w:rsidR="00B249A4" w:rsidRPr="005A03F9" w:rsidRDefault="00B249A4" w:rsidP="00B26115">
            <w:pPr>
              <w:spacing w:after="200" w:line="276" w:lineRule="auto"/>
            </w:pPr>
            <w:r w:rsidRPr="005A03F9">
              <w:t>c) for use in soaps or bath or shower gels that are washed off the skin.</w:t>
            </w:r>
          </w:p>
        </w:tc>
      </w:tr>
    </w:tbl>
    <w:p w:rsidR="00CA52AA" w:rsidRPr="005A03F9" w:rsidRDefault="00CA52AA" w:rsidP="00CA52AA">
      <w:pPr>
        <w:pStyle w:val="ItemHead"/>
      </w:pPr>
      <w:r w:rsidRPr="005A03F9">
        <w:t>9  Table 1 in Part</w:t>
      </w:r>
      <w:r w:rsidR="005A03F9" w:rsidRPr="005A03F9">
        <w:t> </w:t>
      </w:r>
      <w:r w:rsidRPr="005A03F9">
        <w:t>2 of Schedule</w:t>
      </w:r>
      <w:r w:rsidR="005A03F9" w:rsidRPr="005A03F9">
        <w:t> </w:t>
      </w:r>
      <w:r w:rsidRPr="005A03F9">
        <w:t>1 (after table item</w:t>
      </w:r>
      <w:r w:rsidR="005A03F9" w:rsidRPr="005A03F9">
        <w:t> </w:t>
      </w:r>
      <w:r w:rsidRPr="005A03F9">
        <w:t>1007)</w:t>
      </w:r>
    </w:p>
    <w:p w:rsidR="00826633" w:rsidRPr="005A03F9" w:rsidRDefault="00CA52AA" w:rsidP="00CA52AA">
      <w:pPr>
        <w:pStyle w:val="Item"/>
      </w:pPr>
      <w:r w:rsidRPr="005A03F9">
        <w:t>Insert:</w:t>
      </w:r>
    </w:p>
    <w:p w:rsidR="00C10284" w:rsidRPr="005A03F9" w:rsidRDefault="00C10284" w:rsidP="00C10284">
      <w:pPr>
        <w:pStyle w:val="Tabletext"/>
      </w:pPr>
    </w:p>
    <w:tbl>
      <w:tblPr>
        <w:tblStyle w:val="TableGrid"/>
        <w:tblW w:w="0" w:type="auto"/>
        <w:tblBorders>
          <w:top w:val="none" w:sz="0" w:space="0" w:color="auto"/>
          <w:bottom w:val="none" w:sz="0" w:space="0" w:color="auto"/>
        </w:tblBorders>
        <w:tblLook w:val="04A0" w:firstRow="1" w:lastRow="0" w:firstColumn="1" w:lastColumn="0" w:noHBand="0" w:noVBand="1"/>
      </w:tblPr>
      <w:tblGrid>
        <w:gridCol w:w="1297"/>
        <w:gridCol w:w="2584"/>
        <w:gridCol w:w="1027"/>
        <w:gridCol w:w="3621"/>
      </w:tblGrid>
      <w:tr w:rsidR="00CA52AA" w:rsidRPr="005A03F9" w:rsidTr="00B249A4">
        <w:tc>
          <w:tcPr>
            <w:tcW w:w="1297" w:type="dxa"/>
          </w:tcPr>
          <w:p w:rsidR="00CA52AA" w:rsidRPr="005A03F9" w:rsidRDefault="00CA52AA" w:rsidP="00B26115">
            <w:pPr>
              <w:spacing w:after="200" w:line="276" w:lineRule="auto"/>
            </w:pPr>
            <w:r w:rsidRPr="005A03F9">
              <w:t>1007A</w:t>
            </w:r>
          </w:p>
        </w:tc>
        <w:tc>
          <w:tcPr>
            <w:tcW w:w="2584" w:type="dxa"/>
          </w:tcPr>
          <w:p w:rsidR="00CA52AA" w:rsidRPr="005A03F9" w:rsidRDefault="00CA52AA" w:rsidP="00B26115">
            <w:pPr>
              <w:spacing w:after="200" w:line="276" w:lineRule="auto"/>
            </w:pPr>
            <w:r w:rsidRPr="005A03F9">
              <w:t xml:space="preserve">CALCIFIED </w:t>
            </w:r>
            <w:proofErr w:type="spellStart"/>
            <w:r w:rsidRPr="005A03F9">
              <w:t>LITHOTHAMNION</w:t>
            </w:r>
            <w:proofErr w:type="spellEnd"/>
            <w:r w:rsidRPr="005A03F9">
              <w:t xml:space="preserve"> SPECIES</w:t>
            </w:r>
          </w:p>
        </w:tc>
        <w:tc>
          <w:tcPr>
            <w:tcW w:w="1027" w:type="dxa"/>
          </w:tcPr>
          <w:p w:rsidR="00CA52AA" w:rsidRPr="005A03F9" w:rsidRDefault="00CA52AA" w:rsidP="00B26115">
            <w:pPr>
              <w:spacing w:after="200" w:line="276" w:lineRule="auto"/>
            </w:pPr>
            <w:r w:rsidRPr="005A03F9">
              <w:t>A</w:t>
            </w:r>
          </w:p>
        </w:tc>
        <w:tc>
          <w:tcPr>
            <w:tcW w:w="3621" w:type="dxa"/>
          </w:tcPr>
          <w:p w:rsidR="00CA52AA" w:rsidRPr="005A03F9" w:rsidRDefault="00CA52AA" w:rsidP="00B26115">
            <w:pPr>
              <w:spacing w:after="200" w:line="276" w:lineRule="auto"/>
            </w:pPr>
            <w:r w:rsidRPr="005A03F9">
              <w:t>Only for use in oral medicines.</w:t>
            </w:r>
          </w:p>
        </w:tc>
      </w:tr>
    </w:tbl>
    <w:p w:rsidR="00CA52AA" w:rsidRPr="005A03F9" w:rsidRDefault="00CA52AA" w:rsidP="00CA52AA">
      <w:pPr>
        <w:pStyle w:val="ItemHead"/>
      </w:pPr>
      <w:r w:rsidRPr="005A03F9">
        <w:t>10  Table 1 in Part</w:t>
      </w:r>
      <w:r w:rsidR="005A03F9" w:rsidRPr="005A03F9">
        <w:t> </w:t>
      </w:r>
      <w:r w:rsidRPr="005A03F9">
        <w:t>2 of Schedule</w:t>
      </w:r>
      <w:r w:rsidR="005A03F9" w:rsidRPr="005A03F9">
        <w:t> </w:t>
      </w:r>
      <w:r w:rsidRPr="005A03F9">
        <w:t>1 (after table item</w:t>
      </w:r>
      <w:r w:rsidR="005A03F9" w:rsidRPr="005A03F9">
        <w:t> </w:t>
      </w:r>
      <w:r w:rsidRPr="005A03F9">
        <w:t>1008)</w:t>
      </w:r>
    </w:p>
    <w:p w:rsidR="00CA52AA" w:rsidRPr="005A03F9" w:rsidRDefault="00CA52AA" w:rsidP="00CA52AA">
      <w:pPr>
        <w:pStyle w:val="Item"/>
      </w:pPr>
      <w:r w:rsidRPr="005A03F9">
        <w:t>Insert:</w:t>
      </w:r>
    </w:p>
    <w:p w:rsidR="00C10284" w:rsidRPr="005A03F9" w:rsidRDefault="00C10284" w:rsidP="00C10284">
      <w:pPr>
        <w:pStyle w:val="Tabletext"/>
      </w:pPr>
    </w:p>
    <w:tbl>
      <w:tblPr>
        <w:tblStyle w:val="TableGrid"/>
        <w:tblW w:w="0" w:type="auto"/>
        <w:tblBorders>
          <w:top w:val="none" w:sz="0" w:space="0" w:color="auto"/>
          <w:bottom w:val="none" w:sz="0" w:space="0" w:color="auto"/>
        </w:tblBorders>
        <w:tblLook w:val="04A0" w:firstRow="1" w:lastRow="0" w:firstColumn="1" w:lastColumn="0" w:noHBand="0" w:noVBand="1"/>
      </w:tblPr>
      <w:tblGrid>
        <w:gridCol w:w="1318"/>
        <w:gridCol w:w="2537"/>
        <w:gridCol w:w="1049"/>
        <w:gridCol w:w="3625"/>
      </w:tblGrid>
      <w:tr w:rsidR="00C10284" w:rsidRPr="005A03F9" w:rsidTr="00B249A4">
        <w:tc>
          <w:tcPr>
            <w:tcW w:w="1318" w:type="dxa"/>
          </w:tcPr>
          <w:p w:rsidR="00C10284" w:rsidRPr="005A03F9" w:rsidRDefault="00C10284" w:rsidP="00B26115">
            <w:pPr>
              <w:spacing w:after="200" w:line="276" w:lineRule="auto"/>
            </w:pPr>
            <w:r w:rsidRPr="005A03F9">
              <w:t>1008A</w:t>
            </w:r>
          </w:p>
        </w:tc>
        <w:tc>
          <w:tcPr>
            <w:tcW w:w="2537" w:type="dxa"/>
          </w:tcPr>
          <w:p w:rsidR="00C10284" w:rsidRPr="005A03F9" w:rsidRDefault="00C10284" w:rsidP="00B26115">
            <w:pPr>
              <w:spacing w:after="200" w:line="276" w:lineRule="auto"/>
            </w:pPr>
            <w:r w:rsidRPr="005A03F9">
              <w:t>CALCIUM ALGINATE</w:t>
            </w:r>
          </w:p>
        </w:tc>
        <w:tc>
          <w:tcPr>
            <w:tcW w:w="1049" w:type="dxa"/>
          </w:tcPr>
          <w:p w:rsidR="00C10284" w:rsidRPr="005A03F9" w:rsidRDefault="00C10284" w:rsidP="00B26115">
            <w:pPr>
              <w:spacing w:after="200" w:line="276" w:lineRule="auto"/>
            </w:pPr>
            <w:r w:rsidRPr="005A03F9">
              <w:t>E</w:t>
            </w:r>
          </w:p>
        </w:tc>
        <w:tc>
          <w:tcPr>
            <w:tcW w:w="3625" w:type="dxa"/>
          </w:tcPr>
          <w:p w:rsidR="00C10284" w:rsidRPr="005A03F9" w:rsidRDefault="00C10284" w:rsidP="00B26115">
            <w:pPr>
              <w:spacing w:after="200" w:line="276" w:lineRule="auto"/>
            </w:pPr>
          </w:p>
        </w:tc>
      </w:tr>
    </w:tbl>
    <w:p w:rsidR="00C10284" w:rsidRPr="005A03F9" w:rsidRDefault="00C10284" w:rsidP="00C10284">
      <w:pPr>
        <w:pStyle w:val="ItemHead"/>
      </w:pPr>
      <w:r w:rsidRPr="005A03F9">
        <w:t>11  Table 1 in Part</w:t>
      </w:r>
      <w:r w:rsidR="005A03F9" w:rsidRPr="005A03F9">
        <w:t> </w:t>
      </w:r>
      <w:r w:rsidRPr="005A03F9">
        <w:t>2 of Schedule</w:t>
      </w:r>
      <w:r w:rsidR="005A03F9" w:rsidRPr="005A03F9">
        <w:t> </w:t>
      </w:r>
      <w:r w:rsidRPr="005A03F9">
        <w:t>1 (cell at table item</w:t>
      </w:r>
      <w:r w:rsidR="005A03F9" w:rsidRPr="005A03F9">
        <w:t> </w:t>
      </w:r>
      <w:r w:rsidRPr="005A03F9">
        <w:t>1024, column 4)</w:t>
      </w:r>
    </w:p>
    <w:p w:rsidR="00C10284" w:rsidRPr="005A03F9" w:rsidRDefault="00C10284" w:rsidP="00C10284">
      <w:pPr>
        <w:pStyle w:val="Item"/>
      </w:pPr>
      <w:r w:rsidRPr="005A03F9">
        <w:t>Repeal the cell, substitute:</w:t>
      </w:r>
    </w:p>
    <w:p w:rsidR="00575AFE" w:rsidRPr="005A03F9" w:rsidRDefault="00575AFE" w:rsidP="00575AFE">
      <w:pPr>
        <w:pStyle w:val="Tabletext"/>
      </w:pPr>
    </w:p>
    <w:tbl>
      <w:tblPr>
        <w:tblW w:w="0" w:type="auto"/>
        <w:tblInd w:w="817" w:type="dxa"/>
        <w:tblBorders>
          <w:insideH w:val="single" w:sz="4" w:space="0" w:color="auto"/>
        </w:tblBorders>
        <w:tblLayout w:type="fixed"/>
        <w:tblLook w:val="0000" w:firstRow="0" w:lastRow="0" w:firstColumn="0" w:lastColumn="0" w:noHBand="0" w:noVBand="0"/>
      </w:tblPr>
      <w:tblGrid>
        <w:gridCol w:w="3799"/>
      </w:tblGrid>
      <w:tr w:rsidR="00B249A4" w:rsidRPr="005A03F9" w:rsidTr="00B249A4">
        <w:tc>
          <w:tcPr>
            <w:tcW w:w="3799" w:type="dxa"/>
            <w:shd w:val="clear" w:color="auto" w:fill="auto"/>
          </w:tcPr>
          <w:p w:rsidR="00B249A4" w:rsidRPr="005A03F9" w:rsidRDefault="00B249A4" w:rsidP="00B26115">
            <w:pPr>
              <w:spacing w:after="200" w:line="276" w:lineRule="auto"/>
            </w:pPr>
            <w:proofErr w:type="spellStart"/>
            <w:r w:rsidRPr="005A03F9">
              <w:t>Folinic</w:t>
            </w:r>
            <w:proofErr w:type="spellEnd"/>
            <w:r w:rsidRPr="005A03F9">
              <w:t xml:space="preserve"> acid is a mandatory component of calcium </w:t>
            </w:r>
            <w:proofErr w:type="spellStart"/>
            <w:r w:rsidRPr="005A03F9">
              <w:t>folinate</w:t>
            </w:r>
            <w:proofErr w:type="spellEnd"/>
            <w:r w:rsidRPr="005A03F9">
              <w:t>.</w:t>
            </w:r>
          </w:p>
          <w:p w:rsidR="00B249A4" w:rsidRPr="005A03F9" w:rsidRDefault="00B249A4" w:rsidP="00B26115">
            <w:pPr>
              <w:spacing w:after="200" w:line="276" w:lineRule="auto"/>
            </w:pPr>
            <w:r w:rsidRPr="005A03F9">
              <w:t xml:space="preserve">The maximum daily dose must provide no more than 500 micrograms of </w:t>
            </w:r>
            <w:proofErr w:type="spellStart"/>
            <w:r w:rsidRPr="005A03F9">
              <w:t>folinic</w:t>
            </w:r>
            <w:proofErr w:type="spellEnd"/>
            <w:r w:rsidRPr="005A03F9">
              <w:t xml:space="preserve"> acid.</w:t>
            </w:r>
          </w:p>
          <w:p w:rsidR="00B249A4" w:rsidRPr="005A03F9" w:rsidRDefault="00B249A4" w:rsidP="00B26115">
            <w:pPr>
              <w:spacing w:after="200" w:line="276" w:lineRule="auto"/>
            </w:pPr>
            <w:r w:rsidRPr="005A03F9">
              <w:t xml:space="preserve">When folic acid, </w:t>
            </w:r>
            <w:proofErr w:type="spellStart"/>
            <w:r w:rsidRPr="005A03F9">
              <w:t>folinic</w:t>
            </w:r>
            <w:proofErr w:type="spellEnd"/>
            <w:r w:rsidRPr="005A03F9">
              <w:t xml:space="preserve"> acid, </w:t>
            </w:r>
            <w:proofErr w:type="spellStart"/>
            <w:r w:rsidRPr="005A03F9">
              <w:t>levomefolate</w:t>
            </w:r>
            <w:proofErr w:type="spellEnd"/>
            <w:r w:rsidRPr="005A03F9">
              <w:t xml:space="preserve"> salts and/or their derivatives are used in combination, the medicine provides not more than a total of 500 micrograms of folic acid, </w:t>
            </w:r>
            <w:proofErr w:type="spellStart"/>
            <w:r w:rsidRPr="005A03F9">
              <w:t>folinic</w:t>
            </w:r>
            <w:proofErr w:type="spellEnd"/>
            <w:r w:rsidRPr="005A03F9">
              <w:t xml:space="preserve"> acid, </w:t>
            </w:r>
            <w:proofErr w:type="spellStart"/>
            <w:r w:rsidRPr="005A03F9">
              <w:t>levomefolate</w:t>
            </w:r>
            <w:proofErr w:type="spellEnd"/>
            <w:r w:rsidRPr="005A03F9">
              <w:t xml:space="preserve"> salts and/or their derivatives in total per daily dose.</w:t>
            </w:r>
          </w:p>
          <w:p w:rsidR="00B249A4" w:rsidRPr="005A03F9" w:rsidRDefault="00B249A4" w:rsidP="00B26115">
            <w:pPr>
              <w:spacing w:after="200" w:line="276" w:lineRule="auto"/>
            </w:pPr>
            <w:r w:rsidRPr="005A03F9">
              <w:t>The following indications are only permitted when the medicine is for oral and sublingual use:</w:t>
            </w:r>
          </w:p>
          <w:p w:rsidR="00B249A4" w:rsidRPr="005A03F9" w:rsidRDefault="005A03F9" w:rsidP="00B26115">
            <w:pPr>
              <w:spacing w:after="200" w:line="276" w:lineRule="auto"/>
            </w:pPr>
            <w:r>
              <w:rPr>
                <w:rFonts w:cs="Times New Roman"/>
              </w:rPr>
              <w:noBreakHyphen/>
            </w:r>
            <w:r w:rsidR="00B249A4" w:rsidRPr="005A03F9">
              <w:rPr>
                <w:rFonts w:cs="Times New Roman"/>
              </w:rPr>
              <w:t xml:space="preserve"> </w:t>
            </w:r>
            <w:r w:rsidR="00B249A4" w:rsidRPr="005A03F9">
              <w:t>(OSPOR1) 'Source of calcium. May assist in the prevention and/or treatment of osteoporosis.'</w:t>
            </w:r>
          </w:p>
          <w:p w:rsidR="00B249A4" w:rsidRPr="005A03F9" w:rsidRDefault="005A03F9" w:rsidP="00B26115">
            <w:pPr>
              <w:spacing w:after="200" w:line="276" w:lineRule="auto"/>
            </w:pPr>
            <w:r>
              <w:rPr>
                <w:rFonts w:cs="Times New Roman"/>
              </w:rPr>
              <w:noBreakHyphen/>
            </w:r>
            <w:r w:rsidR="00B249A4" w:rsidRPr="005A03F9">
              <w:rPr>
                <w:rFonts w:cs="Times New Roman"/>
              </w:rPr>
              <w:t xml:space="preserve"> </w:t>
            </w:r>
            <w:r w:rsidR="00B249A4" w:rsidRPr="005A03F9">
              <w:t>(OSPOR2) 'Source of calcium. Women's calcium requirements are increased after menopause. Calcium supplementation may be of assistance in the prevention and/or treatment of osteoporosis.'</w:t>
            </w:r>
          </w:p>
          <w:p w:rsidR="00B249A4" w:rsidRPr="005A03F9" w:rsidRDefault="005A03F9" w:rsidP="00B26115">
            <w:pPr>
              <w:spacing w:after="200" w:line="276" w:lineRule="auto"/>
            </w:pPr>
            <w:r>
              <w:rPr>
                <w:rFonts w:cs="Times New Roman"/>
              </w:rPr>
              <w:noBreakHyphen/>
            </w:r>
            <w:r w:rsidR="00B249A4" w:rsidRPr="005A03F9">
              <w:rPr>
                <w:rFonts w:cs="Times New Roman"/>
              </w:rPr>
              <w:t xml:space="preserve"> </w:t>
            </w:r>
            <w:r w:rsidR="00B249A4" w:rsidRPr="005A03F9">
              <w:t>(CALC1) 'Source of calcium. Women's calcium requirements are increased after menopause.'</w:t>
            </w:r>
          </w:p>
          <w:p w:rsidR="00B249A4" w:rsidRPr="005A03F9" w:rsidRDefault="005A03F9" w:rsidP="00B26115">
            <w:pPr>
              <w:spacing w:after="200" w:line="276" w:lineRule="auto"/>
            </w:pPr>
            <w:r>
              <w:rPr>
                <w:rFonts w:cs="Times New Roman"/>
              </w:rPr>
              <w:noBreakHyphen/>
            </w:r>
            <w:r w:rsidR="00B249A4" w:rsidRPr="005A03F9">
              <w:rPr>
                <w:rFonts w:cs="Times New Roman"/>
              </w:rPr>
              <w:t xml:space="preserve"> </w:t>
            </w:r>
            <w:r w:rsidR="00B249A4" w:rsidRPr="005A03F9">
              <w:t>(CALC2) 'Source of calcium. A calcium supplement formulated to strengthen bone and tissue in growing and mature users.’ OR ‘Source of calcium. A calcium supplement formulated to strengthen bone and tissue for children and older adults.'</w:t>
            </w:r>
          </w:p>
          <w:p w:rsidR="00B249A4" w:rsidRPr="005A03F9" w:rsidRDefault="005A03F9" w:rsidP="00B26115">
            <w:pPr>
              <w:spacing w:after="200" w:line="276" w:lineRule="auto"/>
            </w:pPr>
            <w:r>
              <w:rPr>
                <w:rFonts w:cs="Times New Roman"/>
              </w:rPr>
              <w:noBreakHyphen/>
            </w:r>
            <w:r w:rsidR="00B249A4" w:rsidRPr="005A03F9">
              <w:rPr>
                <w:rFonts w:cs="Times New Roman"/>
              </w:rPr>
              <w:t xml:space="preserve"> </w:t>
            </w:r>
            <w:r w:rsidR="00B249A4" w:rsidRPr="005A03F9">
              <w:t>(CALC3) 'Source of calcium. Adequate dietary calcium in our youth and throughout life is required to maximise bone.'</w:t>
            </w:r>
          </w:p>
          <w:p w:rsidR="00B249A4" w:rsidRPr="005A03F9" w:rsidRDefault="005A03F9" w:rsidP="00B26115">
            <w:pPr>
              <w:spacing w:after="200" w:line="276" w:lineRule="auto"/>
            </w:pPr>
            <w:r>
              <w:rPr>
                <w:rFonts w:cs="Times New Roman"/>
              </w:rPr>
              <w:noBreakHyphen/>
            </w:r>
            <w:r w:rsidR="00B249A4" w:rsidRPr="005A03F9">
              <w:rPr>
                <w:rFonts w:cs="Times New Roman"/>
              </w:rPr>
              <w:t xml:space="preserve"> </w:t>
            </w:r>
            <w:r w:rsidR="00B249A4" w:rsidRPr="005A03F9">
              <w:t>(CALC4) 'Source of calcium. A diet deficient in calcium can lead to osteoporosis in later life.'</w:t>
            </w:r>
          </w:p>
          <w:p w:rsidR="00B249A4" w:rsidRPr="005A03F9" w:rsidRDefault="00B249A4" w:rsidP="00B26115">
            <w:pPr>
              <w:spacing w:after="200" w:line="276" w:lineRule="auto"/>
            </w:pPr>
            <w:r w:rsidRPr="005A03F9">
              <w:t>The indication 'For mineral [may state the mineral] supplementation' is only permitted for use when the medicine is for oral or sublingual use.</w:t>
            </w:r>
          </w:p>
          <w:p w:rsidR="00B249A4" w:rsidRPr="005A03F9" w:rsidRDefault="00B249A4" w:rsidP="00B26115">
            <w:pPr>
              <w:spacing w:after="200" w:line="276" w:lineRule="auto"/>
            </w:pPr>
            <w:r w:rsidRPr="005A03F9">
              <w:t>When used as an active ingredient and the route of administration is oral or sublingual, the medicine requires the following warning statement on the medicine label:</w:t>
            </w:r>
          </w:p>
          <w:p w:rsidR="00B249A4" w:rsidRPr="005A03F9" w:rsidRDefault="005A03F9" w:rsidP="006676FE">
            <w:pPr>
              <w:spacing w:after="200" w:line="276" w:lineRule="auto"/>
            </w:pPr>
            <w:r>
              <w:rPr>
                <w:rFonts w:cs="Times New Roman"/>
              </w:rPr>
              <w:noBreakHyphen/>
            </w:r>
            <w:r w:rsidR="00B249A4" w:rsidRPr="005A03F9">
              <w:rPr>
                <w:rFonts w:cs="Times New Roman"/>
              </w:rPr>
              <w:t xml:space="preserve"> </w:t>
            </w:r>
            <w:r w:rsidR="00B249A4" w:rsidRPr="005A03F9">
              <w:t>(</w:t>
            </w:r>
            <w:proofErr w:type="spellStart"/>
            <w:r w:rsidR="00B249A4" w:rsidRPr="005A03F9">
              <w:t>VIT</w:t>
            </w:r>
            <w:proofErr w:type="spellEnd"/>
            <w:r w:rsidR="00B249A4" w:rsidRPr="005A03F9">
              <w:t>) 'Vitamins can only be of assistance if the dietary vitamin intake is inadequate.' OR 'Vitamin supplements should not replace a balanced diet.'</w:t>
            </w:r>
          </w:p>
        </w:tc>
      </w:tr>
    </w:tbl>
    <w:p w:rsidR="00DD053A" w:rsidRPr="005A03F9" w:rsidRDefault="00DD053A" w:rsidP="00DD053A">
      <w:pPr>
        <w:pStyle w:val="ItemHead"/>
      </w:pPr>
      <w:r w:rsidRPr="005A03F9">
        <w:t>12  Table 1 in Part</w:t>
      </w:r>
      <w:r w:rsidR="005A03F9" w:rsidRPr="005A03F9">
        <w:t> </w:t>
      </w:r>
      <w:r w:rsidRPr="005A03F9">
        <w:t>2 of Schedule</w:t>
      </w:r>
      <w:r w:rsidR="005A03F9" w:rsidRPr="005A03F9">
        <w:t> </w:t>
      </w:r>
      <w:r w:rsidRPr="005A03F9">
        <w:t>1 (cell at table item</w:t>
      </w:r>
      <w:r w:rsidR="005A03F9" w:rsidRPr="005A03F9">
        <w:t> </w:t>
      </w:r>
      <w:r w:rsidRPr="005A03F9">
        <w:t>1083, column 4)</w:t>
      </w:r>
    </w:p>
    <w:p w:rsidR="00DD053A" w:rsidRPr="005A03F9" w:rsidRDefault="00DD053A" w:rsidP="00DD053A">
      <w:pPr>
        <w:pStyle w:val="Item"/>
      </w:pPr>
      <w:r w:rsidRPr="005A03F9">
        <w:t>Repeal the cell, substitute:</w:t>
      </w:r>
    </w:p>
    <w:p w:rsidR="00575AFE" w:rsidRPr="005A03F9" w:rsidRDefault="00575AFE" w:rsidP="00575AFE">
      <w:pPr>
        <w:pStyle w:val="Tabletext"/>
      </w:pPr>
    </w:p>
    <w:tbl>
      <w:tblPr>
        <w:tblW w:w="0" w:type="auto"/>
        <w:tblInd w:w="817" w:type="dxa"/>
        <w:tblBorders>
          <w:insideH w:val="single" w:sz="4" w:space="0" w:color="auto"/>
        </w:tblBorders>
        <w:tblLayout w:type="fixed"/>
        <w:tblLook w:val="0000" w:firstRow="0" w:lastRow="0" w:firstColumn="0" w:lastColumn="0" w:noHBand="0" w:noVBand="0"/>
      </w:tblPr>
      <w:tblGrid>
        <w:gridCol w:w="3799"/>
      </w:tblGrid>
      <w:tr w:rsidR="00B249A4" w:rsidRPr="005A03F9" w:rsidTr="00B249A4">
        <w:tc>
          <w:tcPr>
            <w:tcW w:w="3799" w:type="dxa"/>
            <w:shd w:val="clear" w:color="auto" w:fill="auto"/>
          </w:tcPr>
          <w:p w:rsidR="00B249A4" w:rsidRPr="005A03F9" w:rsidRDefault="00B249A4" w:rsidP="00B26115">
            <w:pPr>
              <w:spacing w:after="200" w:line="276" w:lineRule="auto"/>
            </w:pPr>
            <w:r w:rsidRPr="005A03F9">
              <w:t>In solid and semi solid preparations, the concentration of camphor must be no more than 12.5%.</w:t>
            </w:r>
          </w:p>
          <w:p w:rsidR="00B249A4" w:rsidRPr="005A03F9" w:rsidRDefault="00B249A4" w:rsidP="00B26115">
            <w:pPr>
              <w:spacing w:after="200" w:line="276" w:lineRule="auto"/>
            </w:pPr>
            <w:r w:rsidRPr="005A03F9">
              <w:t>In liquid preparations other than essential oils, the concentration of camphor must be no more than 2.5%.</w:t>
            </w:r>
          </w:p>
          <w:p w:rsidR="00B249A4" w:rsidRPr="005A03F9" w:rsidRDefault="00B249A4" w:rsidP="00B26115">
            <w:pPr>
              <w:spacing w:after="200" w:line="276" w:lineRule="auto"/>
            </w:pPr>
            <w:r w:rsidRPr="005A03F9">
              <w:t>In essential oil preparations, if the concentration of camphor is more than 2.5% but less than or equal to 10%, and the nominal capacity of the container is less than 25 millilitres, the medicine must have a restricted flow insert fitted on the container and include the following warning statements on the medicine label:</w:t>
            </w:r>
          </w:p>
          <w:p w:rsidR="00B249A4" w:rsidRPr="005A03F9" w:rsidRDefault="005A03F9" w:rsidP="00B26115">
            <w:pPr>
              <w:spacing w:after="200" w:line="276" w:lineRule="auto"/>
            </w:pPr>
            <w:r>
              <w:rPr>
                <w:rFonts w:cs="Times New Roman"/>
              </w:rPr>
              <w:noBreakHyphen/>
            </w:r>
            <w:r w:rsidR="00B249A4" w:rsidRPr="005A03F9">
              <w:rPr>
                <w:rFonts w:cs="Times New Roman"/>
              </w:rPr>
              <w:t xml:space="preserve"> </w:t>
            </w:r>
            <w:r w:rsidR="00B249A4" w:rsidRPr="005A03F9">
              <w:t>(CHILD) 'Keep out of reach of children' (or words to that effect); and</w:t>
            </w:r>
          </w:p>
          <w:p w:rsidR="00B249A4" w:rsidRPr="005A03F9" w:rsidRDefault="005A03F9" w:rsidP="00B26115">
            <w:pPr>
              <w:spacing w:after="200" w:line="276" w:lineRule="auto"/>
            </w:pPr>
            <w:r>
              <w:rPr>
                <w:rFonts w:cs="Times New Roman"/>
              </w:rPr>
              <w:noBreakHyphen/>
            </w:r>
            <w:r w:rsidR="00B249A4" w:rsidRPr="005A03F9">
              <w:rPr>
                <w:rFonts w:cs="Times New Roman"/>
              </w:rPr>
              <w:t xml:space="preserve"> </w:t>
            </w:r>
            <w:r w:rsidR="00B249A4" w:rsidRPr="005A03F9">
              <w:t>(</w:t>
            </w:r>
            <w:proofErr w:type="spellStart"/>
            <w:r w:rsidR="00B249A4" w:rsidRPr="005A03F9">
              <w:t>NTAKEN</w:t>
            </w:r>
            <w:proofErr w:type="spellEnd"/>
            <w:r w:rsidR="00B249A4" w:rsidRPr="005A03F9">
              <w:t>) 'Not to be taken'.</w:t>
            </w:r>
          </w:p>
          <w:p w:rsidR="00B249A4" w:rsidRPr="005A03F9" w:rsidRDefault="00B249A4" w:rsidP="00B26115">
            <w:pPr>
              <w:spacing w:after="200" w:line="276" w:lineRule="auto"/>
            </w:pPr>
            <w:r w:rsidRPr="005A03F9">
              <w:t>In essential oil preparations, if the concentration of camphor is more than 10%, and the nominal capacity of the container is less than 15 millilitres, the medicine must have a restricted flow insert fitted on the container and include the following warning statements on the medicine label:</w:t>
            </w:r>
          </w:p>
          <w:p w:rsidR="00B249A4" w:rsidRPr="005A03F9" w:rsidRDefault="005A03F9" w:rsidP="00B26115">
            <w:pPr>
              <w:spacing w:after="200" w:line="276" w:lineRule="auto"/>
            </w:pPr>
            <w:r>
              <w:rPr>
                <w:rFonts w:cs="Times New Roman"/>
              </w:rPr>
              <w:noBreakHyphen/>
            </w:r>
            <w:r w:rsidR="00B249A4" w:rsidRPr="005A03F9">
              <w:rPr>
                <w:rFonts w:cs="Times New Roman"/>
              </w:rPr>
              <w:t xml:space="preserve"> </w:t>
            </w:r>
            <w:r w:rsidR="00B249A4" w:rsidRPr="005A03F9">
              <w:t>(CHILD) 'Keep out of reach of children' (or words to that effect); and</w:t>
            </w:r>
          </w:p>
          <w:p w:rsidR="00B249A4" w:rsidRPr="005A03F9" w:rsidRDefault="005A03F9" w:rsidP="00B26115">
            <w:pPr>
              <w:spacing w:after="200" w:line="276" w:lineRule="auto"/>
            </w:pPr>
            <w:r>
              <w:rPr>
                <w:rFonts w:cs="Times New Roman"/>
              </w:rPr>
              <w:noBreakHyphen/>
            </w:r>
            <w:r w:rsidR="00B249A4" w:rsidRPr="005A03F9">
              <w:rPr>
                <w:rFonts w:cs="Times New Roman"/>
              </w:rPr>
              <w:t xml:space="preserve"> </w:t>
            </w:r>
            <w:r w:rsidR="00B249A4" w:rsidRPr="005A03F9">
              <w:t>(</w:t>
            </w:r>
            <w:proofErr w:type="spellStart"/>
            <w:r w:rsidR="00B249A4" w:rsidRPr="005A03F9">
              <w:t>NTAKEN</w:t>
            </w:r>
            <w:proofErr w:type="spellEnd"/>
            <w:r w:rsidR="00B249A4" w:rsidRPr="005A03F9">
              <w:t>) 'Not to be taken'.</w:t>
            </w:r>
          </w:p>
          <w:p w:rsidR="00B249A4" w:rsidRPr="005A03F9" w:rsidRDefault="00B249A4" w:rsidP="00B26115">
            <w:pPr>
              <w:spacing w:after="200" w:line="276" w:lineRule="auto"/>
            </w:pPr>
            <w:r w:rsidRPr="005A03F9">
              <w:t>In essential oil preparations, if the concentration of camphor is more than 10%, and the nominal capacity of the container is more than 15 millilitres but less than or equal to 25 millilitres, the medicine must have a restricted flow insert and child resistant closure fitted on the container and include the following warning statements on the medicine label:</w:t>
            </w:r>
          </w:p>
          <w:p w:rsidR="00B249A4" w:rsidRPr="005A03F9" w:rsidRDefault="005A03F9" w:rsidP="00B26115">
            <w:pPr>
              <w:spacing w:after="200" w:line="276" w:lineRule="auto"/>
            </w:pPr>
            <w:r>
              <w:rPr>
                <w:rFonts w:cs="Times New Roman"/>
              </w:rPr>
              <w:noBreakHyphen/>
            </w:r>
            <w:r w:rsidR="00B249A4" w:rsidRPr="005A03F9">
              <w:rPr>
                <w:rFonts w:cs="Times New Roman"/>
              </w:rPr>
              <w:t xml:space="preserve"> </w:t>
            </w:r>
            <w:r w:rsidR="00B249A4" w:rsidRPr="005A03F9">
              <w:t>(CHILD) 'Keep out of reach of children' (or words to that effect); and</w:t>
            </w:r>
          </w:p>
          <w:p w:rsidR="00B249A4" w:rsidRPr="005A03F9" w:rsidRDefault="005A03F9" w:rsidP="00B26115">
            <w:pPr>
              <w:spacing w:after="200" w:line="276" w:lineRule="auto"/>
            </w:pPr>
            <w:r>
              <w:rPr>
                <w:rFonts w:cs="Times New Roman"/>
              </w:rPr>
              <w:noBreakHyphen/>
            </w:r>
            <w:r w:rsidR="00B249A4" w:rsidRPr="005A03F9">
              <w:rPr>
                <w:rFonts w:cs="Times New Roman"/>
              </w:rPr>
              <w:t xml:space="preserve"> </w:t>
            </w:r>
            <w:r w:rsidR="00B249A4" w:rsidRPr="005A03F9">
              <w:t>(</w:t>
            </w:r>
            <w:proofErr w:type="spellStart"/>
            <w:r w:rsidR="00B249A4" w:rsidRPr="005A03F9">
              <w:t>NTAKEN</w:t>
            </w:r>
            <w:proofErr w:type="spellEnd"/>
            <w:r w:rsidR="00B249A4" w:rsidRPr="005A03F9">
              <w:t>) 'Not to be taken'.</w:t>
            </w:r>
          </w:p>
        </w:tc>
      </w:tr>
    </w:tbl>
    <w:p w:rsidR="001E5A7E" w:rsidRPr="005A03F9" w:rsidRDefault="001E5A7E" w:rsidP="001E5A7E">
      <w:pPr>
        <w:pStyle w:val="ItemHead"/>
      </w:pPr>
      <w:r w:rsidRPr="005A03F9">
        <w:t>1</w:t>
      </w:r>
      <w:r w:rsidR="005578FA" w:rsidRPr="005A03F9">
        <w:t>3</w:t>
      </w:r>
      <w:r w:rsidRPr="005A03F9">
        <w:t xml:space="preserve">  Table 1 in Part</w:t>
      </w:r>
      <w:r w:rsidR="005A03F9" w:rsidRPr="005A03F9">
        <w:t> </w:t>
      </w:r>
      <w:r w:rsidRPr="005A03F9">
        <w:t>2 of Schedule</w:t>
      </w:r>
      <w:r w:rsidR="005A03F9" w:rsidRPr="005A03F9">
        <w:t> </w:t>
      </w:r>
      <w:r w:rsidRPr="005A03F9">
        <w:t>1 (cell at table item</w:t>
      </w:r>
      <w:r w:rsidR="005A03F9" w:rsidRPr="005A03F9">
        <w:t> </w:t>
      </w:r>
      <w:r w:rsidRPr="005A03F9">
        <w:t>1085, column 4)</w:t>
      </w:r>
    </w:p>
    <w:p w:rsidR="001E5A7E" w:rsidRPr="005A03F9" w:rsidRDefault="001E5A7E" w:rsidP="001E5A7E">
      <w:pPr>
        <w:pStyle w:val="Item"/>
      </w:pPr>
      <w:r w:rsidRPr="005A03F9">
        <w:t>Repeal the cell, substitute:</w:t>
      </w:r>
    </w:p>
    <w:p w:rsidR="00575AFE" w:rsidRPr="005A03F9" w:rsidRDefault="00575AFE" w:rsidP="00575AFE">
      <w:pPr>
        <w:pStyle w:val="Tabletext"/>
      </w:pPr>
    </w:p>
    <w:tbl>
      <w:tblPr>
        <w:tblW w:w="0" w:type="auto"/>
        <w:tblInd w:w="817" w:type="dxa"/>
        <w:tblBorders>
          <w:insideH w:val="single" w:sz="4" w:space="0" w:color="auto"/>
        </w:tblBorders>
        <w:tblLayout w:type="fixed"/>
        <w:tblLook w:val="0000" w:firstRow="0" w:lastRow="0" w:firstColumn="0" w:lastColumn="0" w:noHBand="0" w:noVBand="0"/>
      </w:tblPr>
      <w:tblGrid>
        <w:gridCol w:w="3799"/>
      </w:tblGrid>
      <w:tr w:rsidR="00B078F8" w:rsidRPr="005A03F9" w:rsidTr="00B078F8">
        <w:tc>
          <w:tcPr>
            <w:tcW w:w="3799" w:type="dxa"/>
            <w:shd w:val="clear" w:color="auto" w:fill="auto"/>
          </w:tcPr>
          <w:p w:rsidR="00B078F8" w:rsidRPr="005A03F9" w:rsidRDefault="00B078F8" w:rsidP="00B26115">
            <w:pPr>
              <w:spacing w:after="200" w:line="276" w:lineRule="auto"/>
            </w:pPr>
            <w:r w:rsidRPr="005A03F9">
              <w:t xml:space="preserve">Camphor, cineole and </w:t>
            </w:r>
            <w:proofErr w:type="spellStart"/>
            <w:r w:rsidRPr="005A03F9">
              <w:t>safrole</w:t>
            </w:r>
            <w:proofErr w:type="spellEnd"/>
            <w:r w:rsidRPr="005A03F9">
              <w:t xml:space="preserve"> are mandatory components of Camphor oil brown.</w:t>
            </w:r>
          </w:p>
          <w:p w:rsidR="00B078F8" w:rsidRPr="005A03F9" w:rsidRDefault="00B078F8" w:rsidP="00B26115">
            <w:pPr>
              <w:spacing w:after="200" w:line="276" w:lineRule="auto"/>
            </w:pPr>
            <w:r w:rsidRPr="005A03F9">
              <w:t>In solid and semi solid preparations, the concentration of camphor must be no more than 12.5%.</w:t>
            </w:r>
          </w:p>
          <w:p w:rsidR="00B078F8" w:rsidRPr="005A03F9" w:rsidRDefault="00B078F8" w:rsidP="00B26115">
            <w:pPr>
              <w:spacing w:after="200" w:line="276" w:lineRule="auto"/>
            </w:pPr>
            <w:r w:rsidRPr="005A03F9">
              <w:t>In liquid preparations other than essential oils, the concentration of camphor must be no more than 2.5%.</w:t>
            </w:r>
          </w:p>
          <w:p w:rsidR="00B078F8" w:rsidRPr="005A03F9" w:rsidRDefault="00B078F8" w:rsidP="00B26115">
            <w:pPr>
              <w:spacing w:after="200" w:line="276" w:lineRule="auto"/>
            </w:pPr>
            <w:r w:rsidRPr="005A03F9">
              <w:t>In essential oil preparations, if the concentration of camphor is more than 2.5% but less than or equal to 10%, and the nominal capacity of the container is less than 25 millilitres, the medicine must have a restricted flow insert fitted on the container and include the following warning statements on the medicine label:</w:t>
            </w:r>
          </w:p>
          <w:p w:rsidR="00B078F8" w:rsidRPr="005A03F9" w:rsidRDefault="005A03F9" w:rsidP="00B26115">
            <w:pPr>
              <w:spacing w:after="200" w:line="276" w:lineRule="auto"/>
            </w:pPr>
            <w:r>
              <w:rPr>
                <w:rFonts w:cs="Times New Roman"/>
              </w:rPr>
              <w:noBreakHyphen/>
            </w:r>
            <w:r w:rsidR="00B078F8" w:rsidRPr="005A03F9">
              <w:rPr>
                <w:rFonts w:cs="Times New Roman"/>
              </w:rPr>
              <w:t xml:space="preserve"> </w:t>
            </w:r>
            <w:r w:rsidR="00B078F8" w:rsidRPr="005A03F9">
              <w:t>(CHILD) 'Keep out of reach of children' (or words to that effect); and</w:t>
            </w:r>
          </w:p>
          <w:p w:rsidR="00B078F8" w:rsidRPr="005A03F9" w:rsidRDefault="005A03F9" w:rsidP="00B26115">
            <w:pPr>
              <w:spacing w:after="200" w:line="276" w:lineRule="auto"/>
            </w:pPr>
            <w:r>
              <w:rPr>
                <w:rFonts w:cs="Times New Roman"/>
              </w:rPr>
              <w:noBreakHyphen/>
            </w:r>
            <w:r w:rsidR="00B078F8" w:rsidRPr="005A03F9">
              <w:rPr>
                <w:rFonts w:cs="Times New Roman"/>
              </w:rPr>
              <w:t xml:space="preserve"> </w:t>
            </w:r>
            <w:r w:rsidR="00B078F8" w:rsidRPr="005A03F9">
              <w:t>(</w:t>
            </w:r>
            <w:proofErr w:type="spellStart"/>
            <w:r w:rsidR="00B078F8" w:rsidRPr="005A03F9">
              <w:t>NTAKEN</w:t>
            </w:r>
            <w:proofErr w:type="spellEnd"/>
            <w:r w:rsidR="00B078F8" w:rsidRPr="005A03F9">
              <w:t>) 'Not to be taken'.</w:t>
            </w:r>
          </w:p>
          <w:p w:rsidR="00B078F8" w:rsidRPr="005A03F9" w:rsidRDefault="00B078F8" w:rsidP="00B26115">
            <w:pPr>
              <w:spacing w:after="200" w:line="276" w:lineRule="auto"/>
            </w:pPr>
            <w:r w:rsidRPr="005A03F9">
              <w:t>In essential oil preparations, if the concentration of camphor is more than 10%, and the nominal capacity of the container is less than 15 millilitres, the medicine must have a restricted flow insert fitted on the container and include the following warning statements on the medicine label:</w:t>
            </w:r>
          </w:p>
          <w:p w:rsidR="00B078F8" w:rsidRPr="005A03F9" w:rsidRDefault="005A03F9" w:rsidP="00B26115">
            <w:pPr>
              <w:spacing w:after="200" w:line="276" w:lineRule="auto"/>
            </w:pPr>
            <w:r>
              <w:rPr>
                <w:rFonts w:cs="Times New Roman"/>
              </w:rPr>
              <w:noBreakHyphen/>
            </w:r>
            <w:r w:rsidR="00B078F8" w:rsidRPr="005A03F9">
              <w:rPr>
                <w:rFonts w:cs="Times New Roman"/>
              </w:rPr>
              <w:t xml:space="preserve"> </w:t>
            </w:r>
            <w:r w:rsidR="00B078F8" w:rsidRPr="005A03F9">
              <w:t>(CHILD) 'Keep out of reach of children' (or words to that effect); and</w:t>
            </w:r>
          </w:p>
          <w:p w:rsidR="00B078F8" w:rsidRPr="005A03F9" w:rsidRDefault="005A03F9" w:rsidP="00B26115">
            <w:pPr>
              <w:spacing w:after="200" w:line="276" w:lineRule="auto"/>
            </w:pPr>
            <w:r>
              <w:rPr>
                <w:rFonts w:cs="Times New Roman"/>
              </w:rPr>
              <w:noBreakHyphen/>
            </w:r>
            <w:r w:rsidR="00B078F8" w:rsidRPr="005A03F9">
              <w:rPr>
                <w:rFonts w:cs="Times New Roman"/>
              </w:rPr>
              <w:t xml:space="preserve"> </w:t>
            </w:r>
            <w:r w:rsidR="00B078F8" w:rsidRPr="005A03F9">
              <w:t>(</w:t>
            </w:r>
            <w:proofErr w:type="spellStart"/>
            <w:r w:rsidR="00B078F8" w:rsidRPr="005A03F9">
              <w:t>NTAKEN</w:t>
            </w:r>
            <w:proofErr w:type="spellEnd"/>
            <w:r w:rsidR="00B078F8" w:rsidRPr="005A03F9">
              <w:t>) 'Not to be taken'.</w:t>
            </w:r>
          </w:p>
          <w:p w:rsidR="00B078F8" w:rsidRPr="005A03F9" w:rsidRDefault="00B078F8" w:rsidP="00B26115">
            <w:pPr>
              <w:spacing w:after="200" w:line="276" w:lineRule="auto"/>
            </w:pPr>
            <w:r w:rsidRPr="005A03F9">
              <w:t>In essential oil preparations, if the concentration of camphor is more than 10%, and the nominal capacity of the container is more than 15 millilitres but less than or equal to 25 millilitres, the medicine must have a restricted flow insert and child resistant closure fitted on the container and include the following warning statements on the medicine label:</w:t>
            </w:r>
          </w:p>
          <w:p w:rsidR="00B078F8" w:rsidRPr="005A03F9" w:rsidRDefault="005A03F9" w:rsidP="00B26115">
            <w:pPr>
              <w:spacing w:after="200" w:line="276" w:lineRule="auto"/>
            </w:pPr>
            <w:r>
              <w:rPr>
                <w:rFonts w:cs="Times New Roman"/>
              </w:rPr>
              <w:noBreakHyphen/>
            </w:r>
            <w:r w:rsidR="00B078F8" w:rsidRPr="005A03F9">
              <w:rPr>
                <w:rFonts w:cs="Times New Roman"/>
              </w:rPr>
              <w:t xml:space="preserve"> </w:t>
            </w:r>
            <w:r w:rsidR="00B078F8" w:rsidRPr="005A03F9">
              <w:t>(CHILD) 'Keep out of reach of children' (or words to that effect); and</w:t>
            </w:r>
          </w:p>
          <w:p w:rsidR="00B078F8" w:rsidRPr="005A03F9" w:rsidRDefault="005A03F9" w:rsidP="00B26115">
            <w:pPr>
              <w:spacing w:after="200" w:line="276" w:lineRule="auto"/>
            </w:pPr>
            <w:r>
              <w:rPr>
                <w:rFonts w:cs="Times New Roman"/>
              </w:rPr>
              <w:noBreakHyphen/>
            </w:r>
            <w:r w:rsidR="00B078F8" w:rsidRPr="005A03F9">
              <w:rPr>
                <w:rFonts w:cs="Times New Roman"/>
              </w:rPr>
              <w:t xml:space="preserve"> </w:t>
            </w:r>
            <w:r w:rsidR="00B078F8" w:rsidRPr="005A03F9">
              <w:t>(</w:t>
            </w:r>
            <w:proofErr w:type="spellStart"/>
            <w:r w:rsidR="00B078F8" w:rsidRPr="005A03F9">
              <w:t>NTAKEN</w:t>
            </w:r>
            <w:proofErr w:type="spellEnd"/>
            <w:r w:rsidR="00B078F8" w:rsidRPr="005A03F9">
              <w:t>) 'Not to be taken'.</w:t>
            </w:r>
          </w:p>
          <w:p w:rsidR="00B078F8" w:rsidRPr="005A03F9" w:rsidRDefault="00B078F8" w:rsidP="00B26115">
            <w:pPr>
              <w:spacing w:after="200" w:line="276" w:lineRule="auto"/>
            </w:pPr>
            <w:r w:rsidRPr="005A03F9">
              <w:t>When the concentration of cineole in the preparation is more than 25%, the nominal capacity of the container must not be more than 25 millilitres.</w:t>
            </w:r>
          </w:p>
          <w:p w:rsidR="00B078F8" w:rsidRPr="005A03F9" w:rsidRDefault="00B078F8" w:rsidP="00B26115">
            <w:pPr>
              <w:spacing w:after="200" w:line="276" w:lineRule="auto"/>
            </w:pPr>
            <w:r w:rsidRPr="005A03F9">
              <w:t>When the concentration of cineole in the preparation is more than 25% and the nominal capacity of the container is more than 15 millilitres but less than or equal to 25 millilitres, the medicine must have a child resistant closure and restricted flow insert fitted on the container and include the following warning statements on the medicine label:</w:t>
            </w:r>
          </w:p>
          <w:p w:rsidR="00B078F8" w:rsidRPr="005A03F9" w:rsidRDefault="005A03F9" w:rsidP="00B26115">
            <w:pPr>
              <w:spacing w:after="200" w:line="276" w:lineRule="auto"/>
            </w:pPr>
            <w:r>
              <w:rPr>
                <w:rFonts w:cs="Times New Roman"/>
              </w:rPr>
              <w:noBreakHyphen/>
            </w:r>
            <w:r w:rsidR="00B078F8" w:rsidRPr="005A03F9">
              <w:rPr>
                <w:rFonts w:cs="Times New Roman"/>
              </w:rPr>
              <w:t xml:space="preserve"> </w:t>
            </w:r>
            <w:r w:rsidR="00B078F8" w:rsidRPr="005A03F9">
              <w:t>(CHILD) 'Keep out of reach of children' (or words to that effect); and</w:t>
            </w:r>
          </w:p>
          <w:p w:rsidR="00B078F8" w:rsidRPr="005A03F9" w:rsidRDefault="005A03F9" w:rsidP="00B26115">
            <w:pPr>
              <w:spacing w:after="200" w:line="276" w:lineRule="auto"/>
            </w:pPr>
            <w:r>
              <w:rPr>
                <w:rFonts w:cs="Times New Roman"/>
              </w:rPr>
              <w:noBreakHyphen/>
            </w:r>
            <w:r w:rsidR="00B078F8" w:rsidRPr="005A03F9">
              <w:rPr>
                <w:rFonts w:cs="Times New Roman"/>
              </w:rPr>
              <w:t xml:space="preserve"> </w:t>
            </w:r>
            <w:r w:rsidR="00B078F8" w:rsidRPr="005A03F9">
              <w:t>(</w:t>
            </w:r>
            <w:proofErr w:type="spellStart"/>
            <w:r w:rsidR="00B078F8" w:rsidRPr="005A03F9">
              <w:t>NTAKEN</w:t>
            </w:r>
            <w:proofErr w:type="spellEnd"/>
            <w:r w:rsidR="00B078F8" w:rsidRPr="005A03F9">
              <w:t>) 'Not to be taken'.</w:t>
            </w:r>
          </w:p>
          <w:p w:rsidR="00B078F8" w:rsidRPr="005A03F9" w:rsidRDefault="00B078F8" w:rsidP="00B26115">
            <w:pPr>
              <w:spacing w:after="200" w:line="276" w:lineRule="auto"/>
            </w:pPr>
            <w:r w:rsidRPr="005A03F9">
              <w:t>When the concentration of cineole in the preparation is more than 25% and the nominal capacity of the container is no more than 15 millilitres, the medicine must have the restricted flow insert fitted on the container and include the following warning statements on the medicine label:</w:t>
            </w:r>
          </w:p>
          <w:p w:rsidR="00B078F8" w:rsidRPr="005A03F9" w:rsidRDefault="005A03F9" w:rsidP="00B26115">
            <w:pPr>
              <w:spacing w:after="200" w:line="276" w:lineRule="auto"/>
            </w:pPr>
            <w:r>
              <w:rPr>
                <w:rFonts w:cs="Times New Roman"/>
              </w:rPr>
              <w:noBreakHyphen/>
            </w:r>
            <w:r w:rsidR="00B078F8" w:rsidRPr="005A03F9">
              <w:rPr>
                <w:rFonts w:cs="Times New Roman"/>
              </w:rPr>
              <w:t xml:space="preserve"> </w:t>
            </w:r>
            <w:r w:rsidR="00B078F8" w:rsidRPr="005A03F9">
              <w:t>(CHILD) 'Keep out of reach of children' (or words to that effect); and</w:t>
            </w:r>
          </w:p>
          <w:p w:rsidR="00B078F8" w:rsidRPr="005A03F9" w:rsidRDefault="005A03F9" w:rsidP="00B26115">
            <w:pPr>
              <w:spacing w:after="200" w:line="276" w:lineRule="auto"/>
            </w:pPr>
            <w:r>
              <w:rPr>
                <w:rFonts w:cs="Times New Roman"/>
              </w:rPr>
              <w:noBreakHyphen/>
            </w:r>
            <w:r w:rsidR="00B078F8" w:rsidRPr="005A03F9">
              <w:rPr>
                <w:rFonts w:cs="Times New Roman"/>
              </w:rPr>
              <w:t xml:space="preserve"> </w:t>
            </w:r>
            <w:r w:rsidR="00B078F8" w:rsidRPr="005A03F9">
              <w:t>(</w:t>
            </w:r>
            <w:proofErr w:type="spellStart"/>
            <w:r w:rsidR="00B078F8" w:rsidRPr="005A03F9">
              <w:t>NTAKEN</w:t>
            </w:r>
            <w:proofErr w:type="spellEnd"/>
            <w:r w:rsidR="00B078F8" w:rsidRPr="005A03F9">
              <w:t>) 'Not to be taken'.</w:t>
            </w:r>
          </w:p>
          <w:p w:rsidR="00B078F8" w:rsidRPr="005A03F9" w:rsidRDefault="00B078F8" w:rsidP="00B26115">
            <w:pPr>
              <w:spacing w:after="200" w:line="276" w:lineRule="auto"/>
            </w:pPr>
            <w:r w:rsidRPr="005A03F9">
              <w:t xml:space="preserve">When for internal use then the concentration of </w:t>
            </w:r>
            <w:proofErr w:type="spellStart"/>
            <w:r w:rsidRPr="005A03F9">
              <w:t>safrole</w:t>
            </w:r>
            <w:proofErr w:type="spellEnd"/>
            <w:r w:rsidRPr="005A03F9">
              <w:t xml:space="preserve"> in a medicine must be no more than 0.1%.</w:t>
            </w:r>
          </w:p>
          <w:p w:rsidR="00B078F8" w:rsidRPr="005A03F9" w:rsidRDefault="00B078F8" w:rsidP="0010308C">
            <w:pPr>
              <w:spacing w:after="200" w:line="276" w:lineRule="auto"/>
            </w:pPr>
            <w:r w:rsidRPr="005A03F9">
              <w:t xml:space="preserve">When for topical use then the concentration of </w:t>
            </w:r>
            <w:proofErr w:type="spellStart"/>
            <w:r w:rsidRPr="005A03F9">
              <w:t>safrole</w:t>
            </w:r>
            <w:proofErr w:type="spellEnd"/>
            <w:r w:rsidRPr="005A03F9">
              <w:t xml:space="preserve"> in a medicine must be no more than 1.0%.</w:t>
            </w:r>
          </w:p>
        </w:tc>
      </w:tr>
    </w:tbl>
    <w:p w:rsidR="00102152" w:rsidRPr="005A03F9" w:rsidRDefault="005578FA" w:rsidP="00102152">
      <w:pPr>
        <w:pStyle w:val="ItemHead"/>
      </w:pPr>
      <w:r w:rsidRPr="005A03F9">
        <w:t>14</w:t>
      </w:r>
      <w:r w:rsidR="00102152" w:rsidRPr="005A03F9">
        <w:t xml:space="preserve">  Table 1 in Part</w:t>
      </w:r>
      <w:r w:rsidR="005A03F9" w:rsidRPr="005A03F9">
        <w:t> </w:t>
      </w:r>
      <w:r w:rsidR="00102152" w:rsidRPr="005A03F9">
        <w:t>2 of Schedule</w:t>
      </w:r>
      <w:r w:rsidR="005A03F9" w:rsidRPr="005A03F9">
        <w:t> </w:t>
      </w:r>
      <w:r w:rsidR="00102152" w:rsidRPr="005A03F9">
        <w:t>1 (cell at table item</w:t>
      </w:r>
      <w:r w:rsidR="005A03F9" w:rsidRPr="005A03F9">
        <w:t> </w:t>
      </w:r>
      <w:r w:rsidR="00102152" w:rsidRPr="005A03F9">
        <w:t>1086, column 4)</w:t>
      </w:r>
    </w:p>
    <w:p w:rsidR="00102152" w:rsidRPr="005A03F9" w:rsidRDefault="00102152" w:rsidP="00102152">
      <w:pPr>
        <w:pStyle w:val="Item"/>
      </w:pPr>
      <w:r w:rsidRPr="005A03F9">
        <w:t>Repeal the cell, substitute:</w:t>
      </w:r>
    </w:p>
    <w:p w:rsidR="00575AFE" w:rsidRPr="005A03F9" w:rsidRDefault="00575AFE" w:rsidP="00575AFE">
      <w:pPr>
        <w:pStyle w:val="Tabletext"/>
      </w:pPr>
    </w:p>
    <w:tbl>
      <w:tblPr>
        <w:tblW w:w="0" w:type="auto"/>
        <w:tblInd w:w="817" w:type="dxa"/>
        <w:tblBorders>
          <w:insideH w:val="single" w:sz="4" w:space="0" w:color="auto"/>
        </w:tblBorders>
        <w:tblLayout w:type="fixed"/>
        <w:tblLook w:val="0000" w:firstRow="0" w:lastRow="0" w:firstColumn="0" w:lastColumn="0" w:noHBand="0" w:noVBand="0"/>
      </w:tblPr>
      <w:tblGrid>
        <w:gridCol w:w="3799"/>
      </w:tblGrid>
      <w:tr w:rsidR="00B078F8" w:rsidRPr="005A03F9" w:rsidTr="00B078F8">
        <w:tc>
          <w:tcPr>
            <w:tcW w:w="3799" w:type="dxa"/>
            <w:shd w:val="clear" w:color="auto" w:fill="auto"/>
          </w:tcPr>
          <w:p w:rsidR="00B078F8" w:rsidRPr="005A03F9" w:rsidRDefault="00B078F8" w:rsidP="00B26115">
            <w:pPr>
              <w:spacing w:after="200" w:line="276" w:lineRule="auto"/>
            </w:pPr>
            <w:r w:rsidRPr="005A03F9">
              <w:t xml:space="preserve">Camphor and </w:t>
            </w:r>
            <w:proofErr w:type="spellStart"/>
            <w:r w:rsidRPr="005A03F9">
              <w:t>safrole</w:t>
            </w:r>
            <w:proofErr w:type="spellEnd"/>
            <w:r w:rsidRPr="005A03F9">
              <w:t xml:space="preserve"> are mandatory components of camphor oil white.</w:t>
            </w:r>
          </w:p>
          <w:p w:rsidR="00B078F8" w:rsidRPr="005A03F9" w:rsidRDefault="00B078F8" w:rsidP="00B26115">
            <w:pPr>
              <w:spacing w:after="200" w:line="276" w:lineRule="auto"/>
            </w:pPr>
            <w:r w:rsidRPr="005A03F9">
              <w:t>In solid and semi solid preparations, the concentration of camphor must be no more than 12.5%.</w:t>
            </w:r>
          </w:p>
          <w:p w:rsidR="00B078F8" w:rsidRPr="005A03F9" w:rsidRDefault="00B078F8" w:rsidP="00B26115">
            <w:pPr>
              <w:spacing w:after="200" w:line="276" w:lineRule="auto"/>
            </w:pPr>
            <w:r w:rsidRPr="005A03F9">
              <w:t>In liquid preparations other than essential oils, the concentration of camphor must be no more than 2.5%.</w:t>
            </w:r>
          </w:p>
          <w:p w:rsidR="00B078F8" w:rsidRPr="005A03F9" w:rsidRDefault="00B078F8" w:rsidP="00B26115">
            <w:pPr>
              <w:spacing w:after="200" w:line="276" w:lineRule="auto"/>
            </w:pPr>
            <w:r w:rsidRPr="005A03F9">
              <w:t>In essential oil preparations, if the concentration of camphor is more than 2.5% but less than or equal to 10%, and the nominal capacity of the container is less than 25 millilitres, the medicine must have a restricted flow insert fitted on the container and include the following warning statements on the medicine label:</w:t>
            </w:r>
          </w:p>
          <w:p w:rsidR="00B078F8" w:rsidRPr="005A03F9" w:rsidRDefault="005A03F9" w:rsidP="00B26115">
            <w:pPr>
              <w:spacing w:after="200" w:line="276" w:lineRule="auto"/>
            </w:pPr>
            <w:r>
              <w:rPr>
                <w:rFonts w:cs="Times New Roman"/>
              </w:rPr>
              <w:noBreakHyphen/>
            </w:r>
            <w:r w:rsidR="00B078F8" w:rsidRPr="005A03F9">
              <w:rPr>
                <w:rFonts w:cs="Times New Roman"/>
              </w:rPr>
              <w:t xml:space="preserve"> </w:t>
            </w:r>
            <w:r w:rsidR="00B078F8" w:rsidRPr="005A03F9">
              <w:t>(CHILD) 'Keep out of reach of children' (or words to that effect); and</w:t>
            </w:r>
          </w:p>
          <w:p w:rsidR="00B078F8" w:rsidRPr="005A03F9" w:rsidRDefault="005A03F9" w:rsidP="00B26115">
            <w:pPr>
              <w:spacing w:after="200" w:line="276" w:lineRule="auto"/>
            </w:pPr>
            <w:r>
              <w:rPr>
                <w:rFonts w:cs="Times New Roman"/>
              </w:rPr>
              <w:noBreakHyphen/>
            </w:r>
            <w:r w:rsidR="00B078F8" w:rsidRPr="005A03F9">
              <w:rPr>
                <w:rFonts w:cs="Times New Roman"/>
              </w:rPr>
              <w:t xml:space="preserve"> </w:t>
            </w:r>
            <w:r w:rsidR="00B078F8" w:rsidRPr="005A03F9">
              <w:t>(</w:t>
            </w:r>
            <w:proofErr w:type="spellStart"/>
            <w:r w:rsidR="00B078F8" w:rsidRPr="005A03F9">
              <w:t>NTAKEN</w:t>
            </w:r>
            <w:proofErr w:type="spellEnd"/>
            <w:r w:rsidR="00B078F8" w:rsidRPr="005A03F9">
              <w:t>) 'Not to be taken'.</w:t>
            </w:r>
          </w:p>
          <w:p w:rsidR="00B078F8" w:rsidRPr="005A03F9" w:rsidRDefault="00B078F8" w:rsidP="00B26115">
            <w:pPr>
              <w:spacing w:after="200" w:line="276" w:lineRule="auto"/>
            </w:pPr>
            <w:r w:rsidRPr="005A03F9">
              <w:t>In essential oil preparations, if the concentration of camphor is more than 10%, and the nominal capacity of the container is less than 15 millilitres, the medicine must have a restricted flow insert fitted on the container and include the following warning statements on the medicine label:</w:t>
            </w:r>
          </w:p>
          <w:p w:rsidR="00B078F8" w:rsidRPr="005A03F9" w:rsidRDefault="005A03F9" w:rsidP="00B26115">
            <w:pPr>
              <w:spacing w:after="200" w:line="276" w:lineRule="auto"/>
            </w:pPr>
            <w:r>
              <w:rPr>
                <w:rFonts w:cs="Times New Roman"/>
              </w:rPr>
              <w:noBreakHyphen/>
            </w:r>
            <w:r w:rsidR="00B078F8" w:rsidRPr="005A03F9">
              <w:rPr>
                <w:rFonts w:cs="Times New Roman"/>
              </w:rPr>
              <w:t xml:space="preserve"> </w:t>
            </w:r>
            <w:r w:rsidR="00B078F8" w:rsidRPr="005A03F9">
              <w:t>(CHILD) 'Keep out of reach of children' (or words to that effect); and</w:t>
            </w:r>
          </w:p>
          <w:p w:rsidR="00B078F8" w:rsidRPr="005A03F9" w:rsidRDefault="005A03F9" w:rsidP="00B26115">
            <w:pPr>
              <w:spacing w:after="200" w:line="276" w:lineRule="auto"/>
            </w:pPr>
            <w:r>
              <w:rPr>
                <w:rFonts w:cs="Times New Roman"/>
              </w:rPr>
              <w:noBreakHyphen/>
            </w:r>
            <w:r w:rsidR="00B078F8" w:rsidRPr="005A03F9">
              <w:rPr>
                <w:rFonts w:cs="Times New Roman"/>
              </w:rPr>
              <w:t xml:space="preserve"> </w:t>
            </w:r>
            <w:r w:rsidR="00B078F8" w:rsidRPr="005A03F9">
              <w:t>(</w:t>
            </w:r>
            <w:proofErr w:type="spellStart"/>
            <w:r w:rsidR="00B078F8" w:rsidRPr="005A03F9">
              <w:t>NTAKEN</w:t>
            </w:r>
            <w:proofErr w:type="spellEnd"/>
            <w:r w:rsidR="00B078F8" w:rsidRPr="005A03F9">
              <w:t>) 'Not to be taken'.</w:t>
            </w:r>
          </w:p>
          <w:p w:rsidR="00B078F8" w:rsidRPr="005A03F9" w:rsidRDefault="00B078F8" w:rsidP="00B26115">
            <w:pPr>
              <w:spacing w:after="200" w:line="276" w:lineRule="auto"/>
            </w:pPr>
            <w:r w:rsidRPr="005A03F9">
              <w:t>In essential oil preparations, if the concentration of camphor is more than 10%, and the nominal capacity of the container is more than 15 millilitres but less than or equal to 25 millilitres, the medicine must have a restricted flow insert and child resistant closure fitted on the container and include the following warning statements on the medicine label:</w:t>
            </w:r>
          </w:p>
          <w:p w:rsidR="00B078F8" w:rsidRPr="005A03F9" w:rsidRDefault="005A03F9" w:rsidP="00B26115">
            <w:pPr>
              <w:spacing w:after="200" w:line="276" w:lineRule="auto"/>
            </w:pPr>
            <w:r>
              <w:rPr>
                <w:rFonts w:cs="Times New Roman"/>
              </w:rPr>
              <w:noBreakHyphen/>
            </w:r>
            <w:r w:rsidR="00B078F8" w:rsidRPr="005A03F9">
              <w:rPr>
                <w:rFonts w:cs="Times New Roman"/>
              </w:rPr>
              <w:t xml:space="preserve"> </w:t>
            </w:r>
            <w:r w:rsidR="00B078F8" w:rsidRPr="005A03F9">
              <w:t>(CHILD) 'Keep out of reach of children' (or words to that effect); and</w:t>
            </w:r>
          </w:p>
          <w:p w:rsidR="00B078F8" w:rsidRPr="005A03F9" w:rsidRDefault="005A03F9" w:rsidP="00B26115">
            <w:pPr>
              <w:spacing w:after="200" w:line="276" w:lineRule="auto"/>
            </w:pPr>
            <w:r>
              <w:rPr>
                <w:rFonts w:cs="Times New Roman"/>
              </w:rPr>
              <w:noBreakHyphen/>
            </w:r>
            <w:r w:rsidR="00B078F8" w:rsidRPr="005A03F9">
              <w:rPr>
                <w:rFonts w:cs="Times New Roman"/>
              </w:rPr>
              <w:t xml:space="preserve"> </w:t>
            </w:r>
            <w:r w:rsidR="00B078F8" w:rsidRPr="005A03F9">
              <w:t>(</w:t>
            </w:r>
            <w:proofErr w:type="spellStart"/>
            <w:r w:rsidR="00B078F8" w:rsidRPr="005A03F9">
              <w:t>NTAKEN</w:t>
            </w:r>
            <w:proofErr w:type="spellEnd"/>
            <w:r w:rsidR="00B078F8" w:rsidRPr="005A03F9">
              <w:t>) 'Not to be taken'.</w:t>
            </w:r>
          </w:p>
          <w:p w:rsidR="00B078F8" w:rsidRPr="005A03F9" w:rsidRDefault="00B078F8" w:rsidP="00B26115">
            <w:pPr>
              <w:spacing w:after="200" w:line="276" w:lineRule="auto"/>
            </w:pPr>
            <w:r w:rsidRPr="005A03F9">
              <w:t xml:space="preserve">When for internal use then the concentration of </w:t>
            </w:r>
            <w:proofErr w:type="spellStart"/>
            <w:r w:rsidRPr="005A03F9">
              <w:t>safrole</w:t>
            </w:r>
            <w:proofErr w:type="spellEnd"/>
            <w:r w:rsidRPr="005A03F9">
              <w:t xml:space="preserve"> in a medicine must be no more than 0.1%.</w:t>
            </w:r>
          </w:p>
          <w:p w:rsidR="00B078F8" w:rsidRPr="005A03F9" w:rsidRDefault="00B078F8" w:rsidP="0010308C">
            <w:pPr>
              <w:spacing w:after="200" w:line="276" w:lineRule="auto"/>
            </w:pPr>
            <w:r w:rsidRPr="005A03F9">
              <w:t xml:space="preserve">When for topical use then the concentration of </w:t>
            </w:r>
            <w:proofErr w:type="spellStart"/>
            <w:r w:rsidRPr="005A03F9">
              <w:t>safrole</w:t>
            </w:r>
            <w:proofErr w:type="spellEnd"/>
            <w:r w:rsidRPr="005A03F9">
              <w:t xml:space="preserve"> in a medicine must be no more than 1.0%.</w:t>
            </w:r>
          </w:p>
        </w:tc>
      </w:tr>
    </w:tbl>
    <w:p w:rsidR="00077269" w:rsidRPr="005A03F9" w:rsidRDefault="005578FA" w:rsidP="00077269">
      <w:pPr>
        <w:pStyle w:val="ItemHead"/>
      </w:pPr>
      <w:r w:rsidRPr="005A03F9">
        <w:t>15</w:t>
      </w:r>
      <w:r w:rsidR="00077269" w:rsidRPr="005A03F9">
        <w:t xml:space="preserve">  Table 1 in Part</w:t>
      </w:r>
      <w:r w:rsidR="005A03F9" w:rsidRPr="005A03F9">
        <w:t> </w:t>
      </w:r>
      <w:r w:rsidR="00077269" w:rsidRPr="005A03F9">
        <w:t>2 of Schedule</w:t>
      </w:r>
      <w:r w:rsidR="005A03F9" w:rsidRPr="005A03F9">
        <w:t> </w:t>
      </w:r>
      <w:r w:rsidR="00077269" w:rsidRPr="005A03F9">
        <w:t>1 (cell at table item</w:t>
      </w:r>
      <w:r w:rsidR="005A03F9" w:rsidRPr="005A03F9">
        <w:t> </w:t>
      </w:r>
      <w:r w:rsidR="00077269" w:rsidRPr="005A03F9">
        <w:t>1349, column 4)</w:t>
      </w:r>
    </w:p>
    <w:p w:rsidR="00077269" w:rsidRPr="005A03F9" w:rsidRDefault="00077269" w:rsidP="00077269">
      <w:pPr>
        <w:pStyle w:val="Item"/>
      </w:pPr>
      <w:r w:rsidRPr="005A03F9">
        <w:t>Repeal the cell, substitute:</w:t>
      </w:r>
    </w:p>
    <w:p w:rsidR="00575AFE" w:rsidRPr="005A03F9" w:rsidRDefault="00575AFE" w:rsidP="00575AFE">
      <w:pPr>
        <w:pStyle w:val="Tabletext"/>
      </w:pPr>
    </w:p>
    <w:tbl>
      <w:tblPr>
        <w:tblW w:w="0" w:type="auto"/>
        <w:tblInd w:w="817" w:type="dxa"/>
        <w:tblBorders>
          <w:insideH w:val="single" w:sz="4" w:space="0" w:color="auto"/>
        </w:tblBorders>
        <w:tblLayout w:type="fixed"/>
        <w:tblLook w:val="0000" w:firstRow="0" w:lastRow="0" w:firstColumn="0" w:lastColumn="0" w:noHBand="0" w:noVBand="0"/>
      </w:tblPr>
      <w:tblGrid>
        <w:gridCol w:w="3799"/>
      </w:tblGrid>
      <w:tr w:rsidR="00B078F8" w:rsidRPr="005A03F9" w:rsidTr="00B078F8">
        <w:tc>
          <w:tcPr>
            <w:tcW w:w="3799" w:type="dxa"/>
            <w:shd w:val="clear" w:color="auto" w:fill="auto"/>
          </w:tcPr>
          <w:p w:rsidR="00B078F8" w:rsidRPr="005A03F9" w:rsidRDefault="00B078F8" w:rsidP="00B26115">
            <w:pPr>
              <w:spacing w:after="200" w:line="276" w:lineRule="auto"/>
            </w:pPr>
            <w:r w:rsidRPr="005A03F9">
              <w:t xml:space="preserve">Camphor, cineole and </w:t>
            </w:r>
            <w:proofErr w:type="spellStart"/>
            <w:r w:rsidRPr="005A03F9">
              <w:t>safrole</w:t>
            </w:r>
            <w:proofErr w:type="spellEnd"/>
            <w:r w:rsidRPr="005A03F9">
              <w:t xml:space="preserve"> are mandatory components of </w:t>
            </w:r>
            <w:proofErr w:type="spellStart"/>
            <w:r w:rsidRPr="005A03F9">
              <w:t>Cinnamomum</w:t>
            </w:r>
            <w:proofErr w:type="spellEnd"/>
            <w:r w:rsidRPr="005A03F9">
              <w:t xml:space="preserve"> </w:t>
            </w:r>
            <w:proofErr w:type="spellStart"/>
            <w:r w:rsidRPr="005A03F9">
              <w:t>camphora</w:t>
            </w:r>
            <w:proofErr w:type="spellEnd"/>
            <w:r w:rsidRPr="005A03F9">
              <w:t>.</w:t>
            </w:r>
          </w:p>
          <w:p w:rsidR="00B078F8" w:rsidRPr="005A03F9" w:rsidRDefault="00B078F8" w:rsidP="00B26115">
            <w:pPr>
              <w:spacing w:after="200" w:line="276" w:lineRule="auto"/>
            </w:pPr>
            <w:r w:rsidRPr="005A03F9">
              <w:t>In solid and semi solid preparations, the concentration of camphor must be no more than 12.5%.</w:t>
            </w:r>
          </w:p>
          <w:p w:rsidR="00B078F8" w:rsidRPr="005A03F9" w:rsidRDefault="00B078F8" w:rsidP="00B26115">
            <w:pPr>
              <w:spacing w:after="200" w:line="276" w:lineRule="auto"/>
            </w:pPr>
            <w:r w:rsidRPr="005A03F9">
              <w:t>In liquid preparations other than essential oils, the concentration of camphor must be no more than 2.5%.</w:t>
            </w:r>
          </w:p>
          <w:p w:rsidR="00B078F8" w:rsidRPr="005A03F9" w:rsidRDefault="00B078F8" w:rsidP="00B26115">
            <w:pPr>
              <w:spacing w:after="200" w:line="276" w:lineRule="auto"/>
            </w:pPr>
            <w:r w:rsidRPr="005A03F9">
              <w:t>In essential oil preparations, if the concentration of camphor is more than 2.5% but less than or equal to 10%, and the nominal capacity of the container is less than 25 millilitres, the medicine must have a restricted flow insert fitted on the container and include the following warning statements on the medicine label:</w:t>
            </w:r>
          </w:p>
          <w:p w:rsidR="00B078F8" w:rsidRPr="005A03F9" w:rsidRDefault="005A03F9" w:rsidP="00B26115">
            <w:pPr>
              <w:spacing w:after="200" w:line="276" w:lineRule="auto"/>
            </w:pPr>
            <w:r>
              <w:rPr>
                <w:rFonts w:cs="Times New Roman"/>
              </w:rPr>
              <w:noBreakHyphen/>
            </w:r>
            <w:r w:rsidR="00B078F8" w:rsidRPr="005A03F9">
              <w:rPr>
                <w:rFonts w:cs="Times New Roman"/>
              </w:rPr>
              <w:t xml:space="preserve"> </w:t>
            </w:r>
            <w:r w:rsidR="00B078F8" w:rsidRPr="005A03F9">
              <w:t>(CHILD) 'Keep out of reach of children' (or words to that effect); and</w:t>
            </w:r>
          </w:p>
          <w:p w:rsidR="00B078F8" w:rsidRPr="005A03F9" w:rsidRDefault="005A03F9" w:rsidP="00B26115">
            <w:pPr>
              <w:spacing w:after="200" w:line="276" w:lineRule="auto"/>
            </w:pPr>
            <w:r>
              <w:rPr>
                <w:rFonts w:cs="Times New Roman"/>
              </w:rPr>
              <w:noBreakHyphen/>
            </w:r>
            <w:r w:rsidR="00B078F8" w:rsidRPr="005A03F9">
              <w:rPr>
                <w:rFonts w:cs="Times New Roman"/>
              </w:rPr>
              <w:t xml:space="preserve"> </w:t>
            </w:r>
            <w:r w:rsidR="00B078F8" w:rsidRPr="005A03F9">
              <w:t>(</w:t>
            </w:r>
            <w:proofErr w:type="spellStart"/>
            <w:r w:rsidR="00B078F8" w:rsidRPr="005A03F9">
              <w:t>NTAKEN</w:t>
            </w:r>
            <w:proofErr w:type="spellEnd"/>
            <w:r w:rsidR="00B078F8" w:rsidRPr="005A03F9">
              <w:t>) 'Not to be taken'.</w:t>
            </w:r>
          </w:p>
          <w:p w:rsidR="00B078F8" w:rsidRPr="005A03F9" w:rsidRDefault="00B078F8" w:rsidP="00B26115">
            <w:pPr>
              <w:spacing w:after="200" w:line="276" w:lineRule="auto"/>
            </w:pPr>
            <w:r w:rsidRPr="005A03F9">
              <w:t>In essential oil preparations, if the concentration of camphor is more than 10%, and the nominal capacity of the container is less than 15 millilitres, the medicine must have a restricted flow insert fitted on the container and include the following warning statements on the medicine label:</w:t>
            </w:r>
          </w:p>
          <w:p w:rsidR="00B078F8" w:rsidRPr="005A03F9" w:rsidRDefault="005A03F9" w:rsidP="00B26115">
            <w:pPr>
              <w:spacing w:after="200" w:line="276" w:lineRule="auto"/>
            </w:pPr>
            <w:r>
              <w:rPr>
                <w:rFonts w:cs="Times New Roman"/>
              </w:rPr>
              <w:noBreakHyphen/>
            </w:r>
            <w:r w:rsidR="00B078F8" w:rsidRPr="005A03F9">
              <w:rPr>
                <w:rFonts w:cs="Times New Roman"/>
              </w:rPr>
              <w:t xml:space="preserve"> </w:t>
            </w:r>
            <w:r w:rsidR="00B078F8" w:rsidRPr="005A03F9">
              <w:t>(CHILD) 'Keep out of reach of children' (or words to that effect); and</w:t>
            </w:r>
          </w:p>
          <w:p w:rsidR="00B078F8" w:rsidRPr="005A03F9" w:rsidRDefault="005A03F9" w:rsidP="00B26115">
            <w:pPr>
              <w:spacing w:after="200" w:line="276" w:lineRule="auto"/>
            </w:pPr>
            <w:r>
              <w:rPr>
                <w:rFonts w:cs="Times New Roman"/>
              </w:rPr>
              <w:noBreakHyphen/>
            </w:r>
            <w:r w:rsidR="00B078F8" w:rsidRPr="005A03F9">
              <w:rPr>
                <w:rFonts w:cs="Times New Roman"/>
              </w:rPr>
              <w:t xml:space="preserve"> </w:t>
            </w:r>
            <w:r w:rsidR="00B078F8" w:rsidRPr="005A03F9">
              <w:t>(</w:t>
            </w:r>
            <w:proofErr w:type="spellStart"/>
            <w:r w:rsidR="00B078F8" w:rsidRPr="005A03F9">
              <w:t>NTAKEN</w:t>
            </w:r>
            <w:proofErr w:type="spellEnd"/>
            <w:r w:rsidR="00B078F8" w:rsidRPr="005A03F9">
              <w:t>) 'Not to be taken'.</w:t>
            </w:r>
          </w:p>
          <w:p w:rsidR="00B078F8" w:rsidRPr="005A03F9" w:rsidRDefault="00B078F8" w:rsidP="00B26115">
            <w:pPr>
              <w:spacing w:after="200" w:line="276" w:lineRule="auto"/>
            </w:pPr>
            <w:r w:rsidRPr="005A03F9">
              <w:t>In essential oil preparations, if the concentration of camphor is more than 10%, and the nominal capacity of the container is more than 15 millilitres but less than or equal to 25 millilitres, the medicine must have a restricted flow insert and child resistant closure fitted on the container and include the following warning statements on the medicine label:</w:t>
            </w:r>
          </w:p>
          <w:p w:rsidR="00B078F8" w:rsidRPr="005A03F9" w:rsidRDefault="005A03F9" w:rsidP="00B26115">
            <w:pPr>
              <w:spacing w:after="200" w:line="276" w:lineRule="auto"/>
            </w:pPr>
            <w:r>
              <w:rPr>
                <w:rFonts w:cs="Times New Roman"/>
              </w:rPr>
              <w:noBreakHyphen/>
            </w:r>
            <w:r w:rsidR="00B078F8" w:rsidRPr="005A03F9">
              <w:rPr>
                <w:rFonts w:cs="Times New Roman"/>
              </w:rPr>
              <w:t xml:space="preserve"> </w:t>
            </w:r>
            <w:r w:rsidR="00B078F8" w:rsidRPr="005A03F9">
              <w:t>(CHILD) 'Keep out of reach of children' (or words to that effect); and</w:t>
            </w:r>
          </w:p>
          <w:p w:rsidR="00B078F8" w:rsidRPr="005A03F9" w:rsidRDefault="005A03F9" w:rsidP="00B26115">
            <w:pPr>
              <w:spacing w:after="200" w:line="276" w:lineRule="auto"/>
            </w:pPr>
            <w:r>
              <w:rPr>
                <w:rFonts w:cs="Times New Roman"/>
              </w:rPr>
              <w:noBreakHyphen/>
            </w:r>
            <w:r w:rsidR="00B078F8" w:rsidRPr="005A03F9">
              <w:rPr>
                <w:rFonts w:cs="Times New Roman"/>
              </w:rPr>
              <w:t xml:space="preserve"> </w:t>
            </w:r>
            <w:r w:rsidR="00B078F8" w:rsidRPr="005A03F9">
              <w:t>(</w:t>
            </w:r>
            <w:proofErr w:type="spellStart"/>
            <w:r w:rsidR="00B078F8" w:rsidRPr="005A03F9">
              <w:t>NTAKEN</w:t>
            </w:r>
            <w:proofErr w:type="spellEnd"/>
            <w:r w:rsidR="00B078F8" w:rsidRPr="005A03F9">
              <w:t>) 'Not to be taken'.</w:t>
            </w:r>
          </w:p>
          <w:p w:rsidR="00B078F8" w:rsidRPr="005A03F9" w:rsidRDefault="00B078F8" w:rsidP="00B26115">
            <w:pPr>
              <w:spacing w:after="200" w:line="276" w:lineRule="auto"/>
            </w:pPr>
            <w:r w:rsidRPr="005A03F9">
              <w:t>When the concentration of cineole in the preparation is more than 25%, the nominal capacity of the container must not be more than 25 millilitres.</w:t>
            </w:r>
          </w:p>
          <w:p w:rsidR="00B078F8" w:rsidRPr="005A03F9" w:rsidRDefault="00B078F8" w:rsidP="00B26115">
            <w:pPr>
              <w:spacing w:after="200" w:line="276" w:lineRule="auto"/>
            </w:pPr>
            <w:r w:rsidRPr="005A03F9">
              <w:t>When the concentration of cineole in the preparation is more than 25% and the nominal capacity of the container is more than 15 millilitres but less than or equal to 25 millilitres, the medicine must have a child resistant closure and restricted flow insert fitted on the container and include the following warning statements on the medicine label:</w:t>
            </w:r>
          </w:p>
          <w:p w:rsidR="00B078F8" w:rsidRPr="005A03F9" w:rsidRDefault="005A03F9" w:rsidP="00B26115">
            <w:pPr>
              <w:spacing w:after="200" w:line="276" w:lineRule="auto"/>
            </w:pPr>
            <w:r>
              <w:rPr>
                <w:rFonts w:cs="Times New Roman"/>
              </w:rPr>
              <w:noBreakHyphen/>
            </w:r>
            <w:r w:rsidR="00B078F8" w:rsidRPr="005A03F9">
              <w:rPr>
                <w:rFonts w:cs="Times New Roman"/>
              </w:rPr>
              <w:t xml:space="preserve"> </w:t>
            </w:r>
            <w:r w:rsidR="00B078F8" w:rsidRPr="005A03F9">
              <w:t>(CHILD) 'Keep out of reach of children' (or words to that effect); and</w:t>
            </w:r>
          </w:p>
          <w:p w:rsidR="00B078F8" w:rsidRPr="005A03F9" w:rsidRDefault="005A03F9" w:rsidP="00B26115">
            <w:pPr>
              <w:spacing w:after="200" w:line="276" w:lineRule="auto"/>
            </w:pPr>
            <w:r>
              <w:rPr>
                <w:rFonts w:cs="Times New Roman"/>
              </w:rPr>
              <w:noBreakHyphen/>
            </w:r>
            <w:r w:rsidR="00B078F8" w:rsidRPr="005A03F9">
              <w:rPr>
                <w:rFonts w:cs="Times New Roman"/>
              </w:rPr>
              <w:t xml:space="preserve"> </w:t>
            </w:r>
            <w:r w:rsidR="00B078F8" w:rsidRPr="005A03F9">
              <w:t>(</w:t>
            </w:r>
            <w:proofErr w:type="spellStart"/>
            <w:r w:rsidR="00B078F8" w:rsidRPr="005A03F9">
              <w:t>NTAKEN</w:t>
            </w:r>
            <w:proofErr w:type="spellEnd"/>
            <w:r w:rsidR="00B078F8" w:rsidRPr="005A03F9">
              <w:t>) 'Not to be taken'.</w:t>
            </w:r>
          </w:p>
          <w:p w:rsidR="00B078F8" w:rsidRPr="005A03F9" w:rsidRDefault="00B078F8" w:rsidP="00B26115">
            <w:pPr>
              <w:spacing w:after="200" w:line="276" w:lineRule="auto"/>
            </w:pPr>
            <w:r w:rsidRPr="005A03F9">
              <w:t>When the concentration of cineole in the preparation is more than 25% and the nominal capacity of the container is no more than 15 millilitres, the medicine must have the restricted flow insert fitted on the container and include the following warning statements on the medicine label:</w:t>
            </w:r>
          </w:p>
          <w:p w:rsidR="00B078F8" w:rsidRPr="005A03F9" w:rsidRDefault="005A03F9" w:rsidP="00B26115">
            <w:pPr>
              <w:spacing w:after="200" w:line="276" w:lineRule="auto"/>
            </w:pPr>
            <w:r>
              <w:rPr>
                <w:rFonts w:cs="Times New Roman"/>
              </w:rPr>
              <w:noBreakHyphen/>
            </w:r>
            <w:r w:rsidR="00B078F8" w:rsidRPr="005A03F9">
              <w:rPr>
                <w:rFonts w:cs="Times New Roman"/>
              </w:rPr>
              <w:t xml:space="preserve"> </w:t>
            </w:r>
            <w:r w:rsidR="00B078F8" w:rsidRPr="005A03F9">
              <w:t>(CHILD) 'Keep out of reach of children' (or words to that effect); and</w:t>
            </w:r>
          </w:p>
          <w:p w:rsidR="00B078F8" w:rsidRPr="005A03F9" w:rsidRDefault="005A03F9" w:rsidP="00B26115">
            <w:pPr>
              <w:spacing w:after="200" w:line="276" w:lineRule="auto"/>
            </w:pPr>
            <w:r>
              <w:rPr>
                <w:rFonts w:cs="Times New Roman"/>
              </w:rPr>
              <w:noBreakHyphen/>
            </w:r>
            <w:r w:rsidR="00B078F8" w:rsidRPr="005A03F9">
              <w:rPr>
                <w:rFonts w:cs="Times New Roman"/>
              </w:rPr>
              <w:t xml:space="preserve"> </w:t>
            </w:r>
            <w:r w:rsidR="00B078F8" w:rsidRPr="005A03F9">
              <w:t>(</w:t>
            </w:r>
            <w:proofErr w:type="spellStart"/>
            <w:r w:rsidR="00B078F8" w:rsidRPr="005A03F9">
              <w:t>NTAKEN</w:t>
            </w:r>
            <w:proofErr w:type="spellEnd"/>
            <w:r w:rsidR="00B078F8" w:rsidRPr="005A03F9">
              <w:t>) 'Not to be taken'.</w:t>
            </w:r>
          </w:p>
          <w:p w:rsidR="00B078F8" w:rsidRPr="005A03F9" w:rsidRDefault="00B078F8" w:rsidP="00B26115">
            <w:pPr>
              <w:spacing w:after="200" w:line="276" w:lineRule="auto"/>
            </w:pPr>
            <w:r w:rsidRPr="005A03F9">
              <w:t xml:space="preserve">When for internal use then the concentration of </w:t>
            </w:r>
            <w:proofErr w:type="spellStart"/>
            <w:r w:rsidRPr="005A03F9">
              <w:t>safrole</w:t>
            </w:r>
            <w:proofErr w:type="spellEnd"/>
            <w:r w:rsidRPr="005A03F9">
              <w:t xml:space="preserve"> in a medicine must be no more than 0.1%.</w:t>
            </w:r>
          </w:p>
          <w:p w:rsidR="00B078F8" w:rsidRPr="005A03F9" w:rsidRDefault="00B078F8" w:rsidP="00B26115">
            <w:pPr>
              <w:spacing w:after="200" w:line="276" w:lineRule="auto"/>
            </w:pPr>
            <w:r w:rsidRPr="005A03F9">
              <w:t xml:space="preserve">When for topical use then the concentration of </w:t>
            </w:r>
            <w:proofErr w:type="spellStart"/>
            <w:r w:rsidRPr="005A03F9">
              <w:t>safrole</w:t>
            </w:r>
            <w:proofErr w:type="spellEnd"/>
            <w:r w:rsidRPr="005A03F9">
              <w:t xml:space="preserve"> in a medicine must be no more than 1.0%.</w:t>
            </w:r>
          </w:p>
          <w:p w:rsidR="00B078F8" w:rsidRPr="005A03F9" w:rsidRDefault="00B078F8" w:rsidP="00B26115">
            <w:pPr>
              <w:spacing w:after="200" w:line="276" w:lineRule="auto"/>
            </w:pPr>
            <w:r w:rsidRPr="005A03F9">
              <w:t xml:space="preserve">When used as an active ingredient, the maximum daily dose of the medicine must contain no more than 0.001% of </w:t>
            </w:r>
            <w:proofErr w:type="spellStart"/>
            <w:r w:rsidRPr="005A03F9">
              <w:t>coumarin</w:t>
            </w:r>
            <w:proofErr w:type="spellEnd"/>
            <w:r w:rsidRPr="005A03F9">
              <w:t>.</w:t>
            </w:r>
          </w:p>
        </w:tc>
      </w:tr>
    </w:tbl>
    <w:p w:rsidR="001D577B" w:rsidRPr="005A03F9" w:rsidRDefault="005578FA" w:rsidP="001D577B">
      <w:pPr>
        <w:pStyle w:val="ItemHead"/>
      </w:pPr>
      <w:r w:rsidRPr="005A03F9">
        <w:t>16</w:t>
      </w:r>
      <w:r w:rsidR="001D577B" w:rsidRPr="005A03F9">
        <w:t xml:space="preserve">  Table 1 in Part</w:t>
      </w:r>
      <w:r w:rsidR="005A03F9" w:rsidRPr="005A03F9">
        <w:t> </w:t>
      </w:r>
      <w:r w:rsidR="001D577B" w:rsidRPr="005A03F9">
        <w:t>2 of Schedule</w:t>
      </w:r>
      <w:r w:rsidR="005A03F9" w:rsidRPr="005A03F9">
        <w:t> </w:t>
      </w:r>
      <w:r w:rsidR="001D577B" w:rsidRPr="005A03F9">
        <w:t>1 (cell at table item</w:t>
      </w:r>
      <w:r w:rsidR="005A03F9" w:rsidRPr="005A03F9">
        <w:t> </w:t>
      </w:r>
      <w:r w:rsidR="001D577B" w:rsidRPr="005A03F9">
        <w:t>1385, column 4)</w:t>
      </w:r>
    </w:p>
    <w:p w:rsidR="00CA52AA" w:rsidRPr="005A03F9" w:rsidRDefault="001D577B" w:rsidP="001D577B">
      <w:pPr>
        <w:pStyle w:val="Item"/>
      </w:pPr>
      <w:r w:rsidRPr="005A03F9">
        <w:t>Repeal the cell.</w:t>
      </w:r>
    </w:p>
    <w:p w:rsidR="001D577B" w:rsidRPr="005A03F9" w:rsidRDefault="005578FA" w:rsidP="001D577B">
      <w:pPr>
        <w:pStyle w:val="ItemHead"/>
      </w:pPr>
      <w:r w:rsidRPr="005A03F9">
        <w:t>17</w:t>
      </w:r>
      <w:r w:rsidR="001D577B" w:rsidRPr="005A03F9">
        <w:t xml:space="preserve">  Table 1 in Part</w:t>
      </w:r>
      <w:r w:rsidR="005A03F9" w:rsidRPr="005A03F9">
        <w:t> </w:t>
      </w:r>
      <w:r w:rsidR="001D577B" w:rsidRPr="005A03F9">
        <w:t>2 of Schedule</w:t>
      </w:r>
      <w:r w:rsidR="005A03F9" w:rsidRPr="005A03F9">
        <w:t> </w:t>
      </w:r>
      <w:r w:rsidR="001D577B" w:rsidRPr="005A03F9">
        <w:t>1 (cell at table item</w:t>
      </w:r>
      <w:r w:rsidR="005A03F9" w:rsidRPr="005A03F9">
        <w:t> </w:t>
      </w:r>
      <w:r w:rsidR="001D577B" w:rsidRPr="005A03F9">
        <w:t>1386, column 4)</w:t>
      </w:r>
    </w:p>
    <w:p w:rsidR="001D577B" w:rsidRPr="005A03F9" w:rsidRDefault="001D577B" w:rsidP="001D577B">
      <w:pPr>
        <w:pStyle w:val="Item"/>
      </w:pPr>
      <w:r w:rsidRPr="005A03F9">
        <w:t>Repeal the cell.</w:t>
      </w:r>
    </w:p>
    <w:p w:rsidR="001D577B" w:rsidRPr="005A03F9" w:rsidRDefault="00C046F1" w:rsidP="001D577B">
      <w:pPr>
        <w:pStyle w:val="ItemHead"/>
      </w:pPr>
      <w:r w:rsidRPr="005A03F9">
        <w:t>1</w:t>
      </w:r>
      <w:r w:rsidR="005578FA" w:rsidRPr="005A03F9">
        <w:t>8</w:t>
      </w:r>
      <w:r w:rsidR="001D577B" w:rsidRPr="005A03F9">
        <w:t xml:space="preserve">  Table 1 in Part</w:t>
      </w:r>
      <w:r w:rsidR="005A03F9" w:rsidRPr="005A03F9">
        <w:t> </w:t>
      </w:r>
      <w:r w:rsidR="001D577B" w:rsidRPr="005A03F9">
        <w:t>2 of Sc</w:t>
      </w:r>
      <w:r w:rsidRPr="005A03F9">
        <w:t>hedule</w:t>
      </w:r>
      <w:r w:rsidR="005A03F9" w:rsidRPr="005A03F9">
        <w:t> </w:t>
      </w:r>
      <w:r w:rsidRPr="005A03F9">
        <w:t>1 (cell at table item</w:t>
      </w:r>
      <w:r w:rsidR="005A03F9" w:rsidRPr="005A03F9">
        <w:t> </w:t>
      </w:r>
      <w:r w:rsidRPr="005A03F9">
        <w:t>1617</w:t>
      </w:r>
      <w:r w:rsidR="001D577B" w:rsidRPr="005A03F9">
        <w:t>, column 4)</w:t>
      </w:r>
    </w:p>
    <w:p w:rsidR="001D577B" w:rsidRPr="005A03F9" w:rsidRDefault="001D577B" w:rsidP="001D577B">
      <w:pPr>
        <w:pStyle w:val="Item"/>
      </w:pPr>
      <w:r w:rsidRPr="005A03F9">
        <w:t>Repeal the cell, substitute:</w:t>
      </w:r>
    </w:p>
    <w:p w:rsidR="00575AFE" w:rsidRPr="005A03F9" w:rsidRDefault="00575AFE" w:rsidP="00575AFE">
      <w:pPr>
        <w:pStyle w:val="Tabletext"/>
      </w:pPr>
    </w:p>
    <w:tbl>
      <w:tblPr>
        <w:tblW w:w="0" w:type="auto"/>
        <w:tblInd w:w="817" w:type="dxa"/>
        <w:tblBorders>
          <w:insideH w:val="single" w:sz="4" w:space="0" w:color="auto"/>
        </w:tblBorders>
        <w:tblLayout w:type="fixed"/>
        <w:tblLook w:val="0000" w:firstRow="0" w:lastRow="0" w:firstColumn="0" w:lastColumn="0" w:noHBand="0" w:noVBand="0"/>
      </w:tblPr>
      <w:tblGrid>
        <w:gridCol w:w="3799"/>
      </w:tblGrid>
      <w:tr w:rsidR="00B078F8" w:rsidRPr="005A03F9" w:rsidTr="00B078F8">
        <w:tc>
          <w:tcPr>
            <w:tcW w:w="3799" w:type="dxa"/>
            <w:shd w:val="clear" w:color="auto" w:fill="auto"/>
          </w:tcPr>
          <w:p w:rsidR="00B078F8" w:rsidRPr="005A03F9" w:rsidRDefault="00B078F8" w:rsidP="00B26115">
            <w:pPr>
              <w:spacing w:after="200" w:line="276" w:lineRule="auto"/>
            </w:pPr>
            <w:r w:rsidRPr="005A03F9">
              <w:t>When for excipient use, only permitted for use as a colour in topical and oral medicines.</w:t>
            </w:r>
          </w:p>
        </w:tc>
      </w:tr>
    </w:tbl>
    <w:p w:rsidR="00C046F1" w:rsidRPr="005A03F9" w:rsidRDefault="00C046F1" w:rsidP="00C046F1">
      <w:pPr>
        <w:pStyle w:val="ItemHead"/>
      </w:pPr>
      <w:r w:rsidRPr="005A03F9">
        <w:t>1</w:t>
      </w:r>
      <w:r w:rsidR="005578FA" w:rsidRPr="005A03F9">
        <w:t>9</w:t>
      </w:r>
      <w:r w:rsidRPr="005A03F9">
        <w:t xml:space="preserve">  Table 1 in Part</w:t>
      </w:r>
      <w:r w:rsidR="005A03F9" w:rsidRPr="005A03F9">
        <w:t> </w:t>
      </w:r>
      <w:r w:rsidRPr="005A03F9">
        <w:t>2 of Schedule</w:t>
      </w:r>
      <w:r w:rsidR="005A03F9" w:rsidRPr="005A03F9">
        <w:t> </w:t>
      </w:r>
      <w:r w:rsidRPr="005A03F9">
        <w:t>1 (cell at table item</w:t>
      </w:r>
      <w:r w:rsidR="005A03F9" w:rsidRPr="005A03F9">
        <w:t> </w:t>
      </w:r>
      <w:r w:rsidRPr="005A03F9">
        <w:t>1700, column 4)</w:t>
      </w:r>
    </w:p>
    <w:p w:rsidR="00C046F1" w:rsidRPr="005A03F9" w:rsidRDefault="00C046F1" w:rsidP="00C046F1">
      <w:pPr>
        <w:pStyle w:val="Item"/>
      </w:pPr>
      <w:r w:rsidRPr="005A03F9">
        <w:t>Repeal the cell, substitute:</w:t>
      </w:r>
    </w:p>
    <w:p w:rsidR="00575AFE" w:rsidRPr="005A03F9" w:rsidRDefault="00575AFE" w:rsidP="00575AFE">
      <w:pPr>
        <w:pStyle w:val="Tabletext"/>
      </w:pPr>
    </w:p>
    <w:tbl>
      <w:tblPr>
        <w:tblW w:w="0" w:type="auto"/>
        <w:tblInd w:w="817" w:type="dxa"/>
        <w:tblBorders>
          <w:insideH w:val="single" w:sz="4" w:space="0" w:color="auto"/>
        </w:tblBorders>
        <w:tblLayout w:type="fixed"/>
        <w:tblLook w:val="0000" w:firstRow="0" w:lastRow="0" w:firstColumn="0" w:lastColumn="0" w:noHBand="0" w:noVBand="0"/>
      </w:tblPr>
      <w:tblGrid>
        <w:gridCol w:w="3799"/>
      </w:tblGrid>
      <w:tr w:rsidR="00B078F8" w:rsidRPr="005A03F9" w:rsidTr="00B078F8">
        <w:tc>
          <w:tcPr>
            <w:tcW w:w="3799" w:type="dxa"/>
            <w:shd w:val="clear" w:color="auto" w:fill="auto"/>
          </w:tcPr>
          <w:p w:rsidR="00B078F8" w:rsidRPr="005A03F9" w:rsidRDefault="00B078F8" w:rsidP="00B26115">
            <w:pPr>
              <w:spacing w:after="200" w:line="276" w:lineRule="auto"/>
            </w:pPr>
            <w:r w:rsidRPr="005A03F9">
              <w:t>Medicines that contain 'deer velvet antler powder' as the therapeutically active ingredient are subject to the following conditions:</w:t>
            </w:r>
          </w:p>
          <w:p w:rsidR="00B078F8" w:rsidRPr="005A03F9" w:rsidRDefault="00B078F8" w:rsidP="00B26115">
            <w:pPr>
              <w:spacing w:after="200" w:line="276" w:lineRule="auto"/>
            </w:pPr>
            <w:r w:rsidRPr="005A03F9">
              <w:t>a) the medicines are for oral use only;</w:t>
            </w:r>
          </w:p>
          <w:p w:rsidR="00B078F8" w:rsidRPr="005A03F9" w:rsidRDefault="00B078F8" w:rsidP="00B26115">
            <w:pPr>
              <w:spacing w:after="200" w:line="276" w:lineRule="auto"/>
            </w:pPr>
            <w:r w:rsidRPr="005A03F9">
              <w:t>b) the antlers (including the velvet) are sourced only from red deer (</w:t>
            </w:r>
            <w:proofErr w:type="spellStart"/>
            <w:r w:rsidRPr="005A03F9">
              <w:t>Cervus</w:t>
            </w:r>
            <w:proofErr w:type="spellEnd"/>
            <w:r w:rsidRPr="005A03F9">
              <w:t xml:space="preserve"> </w:t>
            </w:r>
            <w:proofErr w:type="spellStart"/>
            <w:r w:rsidRPr="005A03F9">
              <w:t>elaphus</w:t>
            </w:r>
            <w:proofErr w:type="spellEnd"/>
            <w:r w:rsidRPr="005A03F9">
              <w:t>), elk/wapiti (</w:t>
            </w:r>
            <w:proofErr w:type="spellStart"/>
            <w:r w:rsidRPr="005A03F9">
              <w:t>Cervus</w:t>
            </w:r>
            <w:proofErr w:type="spellEnd"/>
            <w:r w:rsidRPr="005A03F9">
              <w:t xml:space="preserve"> </w:t>
            </w:r>
            <w:proofErr w:type="spellStart"/>
            <w:r w:rsidRPr="005A03F9">
              <w:t>canadensis</w:t>
            </w:r>
            <w:proofErr w:type="spellEnd"/>
            <w:r w:rsidRPr="005A03F9">
              <w:t>), or a crossbreed of these species;</w:t>
            </w:r>
          </w:p>
          <w:p w:rsidR="00B078F8" w:rsidRPr="005A03F9" w:rsidRDefault="00B078F8" w:rsidP="00B26115">
            <w:pPr>
              <w:spacing w:after="200" w:line="276" w:lineRule="auto"/>
            </w:pPr>
            <w:r w:rsidRPr="005A03F9">
              <w:t>c) the deer are sourced only from farmed stock bred and raised in New Zealand;</w:t>
            </w:r>
          </w:p>
          <w:p w:rsidR="00B078F8" w:rsidRPr="005A03F9" w:rsidRDefault="00B078F8" w:rsidP="00B26115">
            <w:pPr>
              <w:spacing w:after="200" w:line="276" w:lineRule="auto"/>
            </w:pPr>
            <w:r w:rsidRPr="005A03F9">
              <w:t>d) the deer are sourced only from herds farmed for food in accordance with the Animal Products Act 1999 (New Zealand) and the regulations made under that Act, as in force or existing from time to time;</w:t>
            </w:r>
          </w:p>
          <w:p w:rsidR="00B078F8" w:rsidRPr="005A03F9" w:rsidRDefault="00B078F8" w:rsidP="00B26115">
            <w:pPr>
              <w:spacing w:after="200" w:line="276" w:lineRule="auto"/>
            </w:pPr>
            <w:r w:rsidRPr="005A03F9">
              <w:t>e) the antlers are removed from the deer only according to the Animal Welfare Act 1999 (New Zealand) and the regulations made under that Act, as in force or existing from time to time.</w:t>
            </w:r>
          </w:p>
        </w:tc>
      </w:tr>
    </w:tbl>
    <w:p w:rsidR="00C046F1" w:rsidRPr="005A03F9" w:rsidRDefault="005578FA" w:rsidP="00C046F1">
      <w:pPr>
        <w:pStyle w:val="ItemHead"/>
      </w:pPr>
      <w:r w:rsidRPr="005A03F9">
        <w:t>20</w:t>
      </w:r>
      <w:r w:rsidR="00C046F1" w:rsidRPr="005A03F9">
        <w:t xml:space="preserve">  Table 1 in Part</w:t>
      </w:r>
      <w:r w:rsidR="005A03F9" w:rsidRPr="005A03F9">
        <w:t> </w:t>
      </w:r>
      <w:r w:rsidR="00C046F1" w:rsidRPr="005A03F9">
        <w:t>2 of Schedule</w:t>
      </w:r>
      <w:r w:rsidR="005A03F9" w:rsidRPr="005A03F9">
        <w:t> </w:t>
      </w:r>
      <w:r w:rsidR="00C046F1" w:rsidRPr="005A03F9">
        <w:t>1 (cell at table item</w:t>
      </w:r>
      <w:r w:rsidR="005A03F9" w:rsidRPr="005A03F9">
        <w:t> </w:t>
      </w:r>
      <w:r w:rsidR="00C046F1" w:rsidRPr="005A03F9">
        <w:t>1701, column 4)</w:t>
      </w:r>
    </w:p>
    <w:p w:rsidR="00C046F1" w:rsidRPr="005A03F9" w:rsidRDefault="00C046F1" w:rsidP="00C046F1">
      <w:pPr>
        <w:pStyle w:val="Item"/>
      </w:pPr>
      <w:r w:rsidRPr="005A03F9">
        <w:t>Repeal the cell, substitute:</w:t>
      </w:r>
    </w:p>
    <w:p w:rsidR="00575AFE" w:rsidRPr="005A03F9" w:rsidRDefault="00575AFE" w:rsidP="00575AFE">
      <w:pPr>
        <w:pStyle w:val="Tabletext"/>
      </w:pPr>
    </w:p>
    <w:tbl>
      <w:tblPr>
        <w:tblW w:w="0" w:type="auto"/>
        <w:tblInd w:w="817" w:type="dxa"/>
        <w:tblBorders>
          <w:insideH w:val="single" w:sz="4" w:space="0" w:color="auto"/>
        </w:tblBorders>
        <w:tblLayout w:type="fixed"/>
        <w:tblLook w:val="0000" w:firstRow="0" w:lastRow="0" w:firstColumn="0" w:lastColumn="0" w:noHBand="0" w:noVBand="0"/>
      </w:tblPr>
      <w:tblGrid>
        <w:gridCol w:w="3799"/>
      </w:tblGrid>
      <w:tr w:rsidR="000967A9" w:rsidRPr="005A03F9" w:rsidTr="000967A9">
        <w:tc>
          <w:tcPr>
            <w:tcW w:w="3799" w:type="dxa"/>
            <w:shd w:val="clear" w:color="auto" w:fill="auto"/>
          </w:tcPr>
          <w:p w:rsidR="000967A9" w:rsidRPr="005A03F9" w:rsidRDefault="000967A9" w:rsidP="00B26115">
            <w:pPr>
              <w:spacing w:after="200" w:line="276" w:lineRule="auto"/>
            </w:pPr>
            <w:r w:rsidRPr="005A03F9">
              <w:t>Medicines that contain 'deer velvet antler slice' as the therapeutically active ingredient are subject to the following conditions:</w:t>
            </w:r>
          </w:p>
          <w:p w:rsidR="000967A9" w:rsidRPr="005A03F9" w:rsidRDefault="000967A9" w:rsidP="00B26115">
            <w:pPr>
              <w:spacing w:after="200" w:line="276" w:lineRule="auto"/>
            </w:pPr>
            <w:r w:rsidRPr="005A03F9">
              <w:t>a) the medicines are for oral use only;</w:t>
            </w:r>
          </w:p>
          <w:p w:rsidR="000967A9" w:rsidRPr="005A03F9" w:rsidRDefault="000967A9" w:rsidP="00B26115">
            <w:pPr>
              <w:spacing w:after="200" w:line="276" w:lineRule="auto"/>
            </w:pPr>
            <w:r w:rsidRPr="005A03F9">
              <w:t>b) the antlers (including the velvet) are sourced only from red deer (</w:t>
            </w:r>
            <w:proofErr w:type="spellStart"/>
            <w:r w:rsidRPr="005A03F9">
              <w:t>Cervus</w:t>
            </w:r>
            <w:proofErr w:type="spellEnd"/>
            <w:r w:rsidRPr="005A03F9">
              <w:t xml:space="preserve"> </w:t>
            </w:r>
            <w:proofErr w:type="spellStart"/>
            <w:r w:rsidRPr="005A03F9">
              <w:t>elaphus</w:t>
            </w:r>
            <w:proofErr w:type="spellEnd"/>
            <w:r w:rsidRPr="005A03F9">
              <w:t>), elk/wapiti (</w:t>
            </w:r>
            <w:proofErr w:type="spellStart"/>
            <w:r w:rsidRPr="005A03F9">
              <w:t>Cervus</w:t>
            </w:r>
            <w:proofErr w:type="spellEnd"/>
            <w:r w:rsidRPr="005A03F9">
              <w:t xml:space="preserve"> </w:t>
            </w:r>
            <w:proofErr w:type="spellStart"/>
            <w:r w:rsidRPr="005A03F9">
              <w:t>canadensis</w:t>
            </w:r>
            <w:proofErr w:type="spellEnd"/>
            <w:r w:rsidRPr="005A03F9">
              <w:t>), or a crossbreed of these species;</w:t>
            </w:r>
          </w:p>
          <w:p w:rsidR="000967A9" w:rsidRPr="005A03F9" w:rsidRDefault="000967A9" w:rsidP="00B26115">
            <w:pPr>
              <w:spacing w:after="200" w:line="276" w:lineRule="auto"/>
            </w:pPr>
            <w:r w:rsidRPr="005A03F9">
              <w:t>c) the deer are sourced only from farmed stock bred and raised in New Zealand;</w:t>
            </w:r>
          </w:p>
          <w:p w:rsidR="000967A9" w:rsidRPr="005A03F9" w:rsidRDefault="000967A9" w:rsidP="00B26115">
            <w:pPr>
              <w:spacing w:after="200" w:line="276" w:lineRule="auto"/>
            </w:pPr>
            <w:r w:rsidRPr="005A03F9">
              <w:t>d) the deer are sourced only from herds farmed for food in accordance with the Animal Products Act 1999 (New Zealand) and the regulations made under that Act, as in force or existing from time to time;</w:t>
            </w:r>
          </w:p>
          <w:p w:rsidR="000967A9" w:rsidRPr="005A03F9" w:rsidRDefault="000967A9" w:rsidP="00B26115">
            <w:pPr>
              <w:spacing w:after="200" w:line="276" w:lineRule="auto"/>
            </w:pPr>
            <w:r w:rsidRPr="005A03F9">
              <w:t>e) the antlers are removed from the deer only according to the Animal Welfare Act 1999 (New Zealand) and the regulations made under that Act, as in force or existing from time to time.</w:t>
            </w:r>
          </w:p>
        </w:tc>
      </w:tr>
    </w:tbl>
    <w:p w:rsidR="00C046F1" w:rsidRPr="005A03F9" w:rsidRDefault="00E15854" w:rsidP="00C046F1">
      <w:pPr>
        <w:pStyle w:val="ItemHead"/>
      </w:pPr>
      <w:r w:rsidRPr="005A03F9">
        <w:t>2</w:t>
      </w:r>
      <w:r w:rsidR="005578FA" w:rsidRPr="005A03F9">
        <w:t>1</w:t>
      </w:r>
      <w:r w:rsidR="00C046F1" w:rsidRPr="005A03F9">
        <w:t xml:space="preserve">  Table 1 in Part</w:t>
      </w:r>
      <w:r w:rsidR="005A03F9" w:rsidRPr="005A03F9">
        <w:t> </w:t>
      </w:r>
      <w:r w:rsidR="00C046F1" w:rsidRPr="005A03F9">
        <w:t>2 of Sc</w:t>
      </w:r>
      <w:r w:rsidRPr="005A03F9">
        <w:t>hedule</w:t>
      </w:r>
      <w:r w:rsidR="005A03F9" w:rsidRPr="005A03F9">
        <w:t> </w:t>
      </w:r>
      <w:r w:rsidRPr="005A03F9">
        <w:t>1 (cell at table item</w:t>
      </w:r>
      <w:r w:rsidR="005A03F9" w:rsidRPr="005A03F9">
        <w:t> </w:t>
      </w:r>
      <w:r w:rsidRPr="005A03F9">
        <w:t>1821</w:t>
      </w:r>
      <w:r w:rsidR="00C046F1" w:rsidRPr="005A03F9">
        <w:t>, column 4)</w:t>
      </w:r>
    </w:p>
    <w:p w:rsidR="00C046F1" w:rsidRPr="005A03F9" w:rsidRDefault="00C046F1" w:rsidP="00C046F1">
      <w:pPr>
        <w:pStyle w:val="Item"/>
      </w:pPr>
      <w:r w:rsidRPr="005A03F9">
        <w:t>Repeal the cell, substitute:</w:t>
      </w:r>
    </w:p>
    <w:p w:rsidR="00575AFE" w:rsidRPr="005A03F9" w:rsidRDefault="00575AFE" w:rsidP="00575AFE">
      <w:pPr>
        <w:pStyle w:val="Tabletext"/>
      </w:pPr>
    </w:p>
    <w:tbl>
      <w:tblPr>
        <w:tblW w:w="0" w:type="auto"/>
        <w:tblInd w:w="817" w:type="dxa"/>
        <w:tblBorders>
          <w:insideH w:val="single" w:sz="4" w:space="0" w:color="auto"/>
        </w:tblBorders>
        <w:tblLayout w:type="fixed"/>
        <w:tblLook w:val="0000" w:firstRow="0" w:lastRow="0" w:firstColumn="0" w:lastColumn="0" w:noHBand="0" w:noVBand="0"/>
      </w:tblPr>
      <w:tblGrid>
        <w:gridCol w:w="3799"/>
      </w:tblGrid>
      <w:tr w:rsidR="000967A9" w:rsidRPr="005A03F9" w:rsidTr="000967A9">
        <w:tc>
          <w:tcPr>
            <w:tcW w:w="3799" w:type="dxa"/>
            <w:shd w:val="clear" w:color="auto" w:fill="auto"/>
          </w:tcPr>
          <w:p w:rsidR="000967A9" w:rsidRPr="005A03F9" w:rsidRDefault="000967A9" w:rsidP="00E56F45">
            <w:pPr>
              <w:spacing w:after="200" w:line="276" w:lineRule="auto"/>
            </w:pPr>
            <w:r w:rsidRPr="005A03F9">
              <w:t>Only for use in oral and topical medicines.</w:t>
            </w:r>
          </w:p>
        </w:tc>
      </w:tr>
    </w:tbl>
    <w:p w:rsidR="00E15854" w:rsidRPr="005A03F9" w:rsidRDefault="005578FA" w:rsidP="00E15854">
      <w:pPr>
        <w:pStyle w:val="ItemHead"/>
      </w:pPr>
      <w:r w:rsidRPr="005A03F9">
        <w:t>22</w:t>
      </w:r>
      <w:r w:rsidR="00E15854" w:rsidRPr="005A03F9">
        <w:t xml:space="preserve">  Table 1 in Part</w:t>
      </w:r>
      <w:r w:rsidR="005A03F9" w:rsidRPr="005A03F9">
        <w:t> </w:t>
      </w:r>
      <w:r w:rsidR="00E15854" w:rsidRPr="005A03F9">
        <w:t>2 of Schedule</w:t>
      </w:r>
      <w:r w:rsidR="005A03F9" w:rsidRPr="005A03F9">
        <w:t> </w:t>
      </w:r>
      <w:r w:rsidR="00E15854" w:rsidRPr="005A03F9">
        <w:t>1 (cell at table item</w:t>
      </w:r>
      <w:r w:rsidR="005A03F9" w:rsidRPr="005A03F9">
        <w:t> </w:t>
      </w:r>
      <w:r w:rsidR="00E15854" w:rsidRPr="005A03F9">
        <w:t>1864, column 4)</w:t>
      </w:r>
    </w:p>
    <w:p w:rsidR="00E15854" w:rsidRPr="005A03F9" w:rsidRDefault="00E15854" w:rsidP="00E15854">
      <w:pPr>
        <w:pStyle w:val="Item"/>
      </w:pPr>
      <w:r w:rsidRPr="005A03F9">
        <w:t>Repeal the cell, substitute:</w:t>
      </w:r>
    </w:p>
    <w:p w:rsidR="00575AFE" w:rsidRPr="005A03F9" w:rsidRDefault="00575AFE" w:rsidP="00575AFE">
      <w:pPr>
        <w:pStyle w:val="Tabletext"/>
      </w:pPr>
    </w:p>
    <w:tbl>
      <w:tblPr>
        <w:tblW w:w="0" w:type="auto"/>
        <w:tblInd w:w="817" w:type="dxa"/>
        <w:tblBorders>
          <w:insideH w:val="single" w:sz="4" w:space="0" w:color="auto"/>
        </w:tblBorders>
        <w:tblLayout w:type="fixed"/>
        <w:tblLook w:val="0000" w:firstRow="0" w:lastRow="0" w:firstColumn="0" w:lastColumn="0" w:noHBand="0" w:noVBand="0"/>
      </w:tblPr>
      <w:tblGrid>
        <w:gridCol w:w="3799"/>
      </w:tblGrid>
      <w:tr w:rsidR="000967A9" w:rsidRPr="005A03F9" w:rsidTr="000967A9">
        <w:tc>
          <w:tcPr>
            <w:tcW w:w="3799" w:type="dxa"/>
            <w:shd w:val="clear" w:color="auto" w:fill="auto"/>
          </w:tcPr>
          <w:p w:rsidR="000967A9" w:rsidRPr="005A03F9" w:rsidRDefault="000967A9" w:rsidP="00B26115">
            <w:pPr>
              <w:spacing w:after="200" w:line="276" w:lineRule="auto"/>
            </w:pPr>
            <w:r w:rsidRPr="005A03F9">
              <w:t>Only for use as an active ingredient in sunscreens for dermal application.</w:t>
            </w:r>
          </w:p>
          <w:p w:rsidR="000967A9" w:rsidRPr="005A03F9" w:rsidRDefault="000967A9" w:rsidP="00B26115">
            <w:pPr>
              <w:spacing w:after="200" w:line="276" w:lineRule="auto"/>
            </w:pPr>
            <w:r w:rsidRPr="005A03F9">
              <w:t>The concentration in a medicine must be no more than 3%.</w:t>
            </w:r>
          </w:p>
          <w:p w:rsidR="000967A9" w:rsidRPr="005A03F9" w:rsidRDefault="000967A9" w:rsidP="00B26115">
            <w:pPr>
              <w:spacing w:after="200" w:line="276" w:lineRule="auto"/>
            </w:pPr>
            <w:r w:rsidRPr="005A03F9">
              <w:t>When used in primary sunscreen products, the medicine requires the following warning statements on the label:</w:t>
            </w:r>
          </w:p>
          <w:p w:rsidR="000967A9" w:rsidRPr="005A03F9" w:rsidRDefault="005A03F9" w:rsidP="00B26115">
            <w:pPr>
              <w:spacing w:after="200" w:line="276" w:lineRule="auto"/>
            </w:pPr>
            <w:r>
              <w:rPr>
                <w:rFonts w:cs="Times New Roman"/>
              </w:rPr>
              <w:noBreakHyphen/>
            </w:r>
            <w:r w:rsidR="000967A9" w:rsidRPr="005A03F9">
              <w:rPr>
                <w:rFonts w:cs="Times New Roman"/>
              </w:rPr>
              <w:t xml:space="preserve"> </w:t>
            </w:r>
            <w:r w:rsidR="000967A9" w:rsidRPr="005A03F9">
              <w:t>(AVOID) 'Avoid prolonged exposure in the sun' (or words to this effect); and</w:t>
            </w:r>
          </w:p>
          <w:p w:rsidR="000967A9" w:rsidRPr="005A03F9" w:rsidRDefault="005A03F9" w:rsidP="001810DD">
            <w:pPr>
              <w:spacing w:after="200" w:line="276" w:lineRule="auto"/>
            </w:pPr>
            <w:r>
              <w:rPr>
                <w:rFonts w:cs="Times New Roman"/>
              </w:rPr>
              <w:noBreakHyphen/>
            </w:r>
            <w:r w:rsidR="000967A9" w:rsidRPr="005A03F9">
              <w:rPr>
                <w:rFonts w:cs="Times New Roman"/>
              </w:rPr>
              <w:t xml:space="preserve"> </w:t>
            </w:r>
            <w:r w:rsidR="000967A9" w:rsidRPr="005A03F9">
              <w:t>(</w:t>
            </w:r>
            <w:proofErr w:type="spellStart"/>
            <w:r w:rsidR="000967A9" w:rsidRPr="005A03F9">
              <w:t>SUNPRO</w:t>
            </w:r>
            <w:proofErr w:type="spellEnd"/>
            <w:r w:rsidR="000967A9" w:rsidRPr="005A03F9">
              <w:t>) 'Wear protective clothing</w:t>
            </w:r>
            <w:r w:rsidR="000967A9" w:rsidRPr="005A03F9">
              <w:rPr>
                <w:rFonts w:cs="Times New Roman"/>
              </w:rPr>
              <w:t xml:space="preserve"> </w:t>
            </w:r>
            <w:r>
              <w:rPr>
                <w:rFonts w:cs="Times New Roman"/>
              </w:rPr>
              <w:noBreakHyphen/>
            </w:r>
            <w:r w:rsidR="000967A9" w:rsidRPr="005A03F9">
              <w:rPr>
                <w:rFonts w:cs="Times New Roman"/>
              </w:rPr>
              <w:t xml:space="preserve"> </w:t>
            </w:r>
            <w:r w:rsidR="000967A9" w:rsidRPr="005A03F9">
              <w:t>hats and eyewear when exposed to the sun' (or words to this effect).</w:t>
            </w:r>
          </w:p>
        </w:tc>
      </w:tr>
    </w:tbl>
    <w:p w:rsidR="00E15854" w:rsidRPr="005A03F9" w:rsidRDefault="000130C3" w:rsidP="00E15854">
      <w:pPr>
        <w:pStyle w:val="ItemHead"/>
      </w:pPr>
      <w:r w:rsidRPr="005A03F9">
        <w:t>2</w:t>
      </w:r>
      <w:r w:rsidR="005578FA" w:rsidRPr="005A03F9">
        <w:t>3</w:t>
      </w:r>
      <w:r w:rsidR="00E15854" w:rsidRPr="005A03F9">
        <w:t xml:space="preserve">  Table 1 in Part</w:t>
      </w:r>
      <w:r w:rsidR="005A03F9" w:rsidRPr="005A03F9">
        <w:t> </w:t>
      </w:r>
      <w:r w:rsidR="00E15854" w:rsidRPr="005A03F9">
        <w:t>2 of Sc</w:t>
      </w:r>
      <w:r w:rsidRPr="005A03F9">
        <w:t>hedule</w:t>
      </w:r>
      <w:r w:rsidR="005A03F9" w:rsidRPr="005A03F9">
        <w:t> </w:t>
      </w:r>
      <w:r w:rsidRPr="005A03F9">
        <w:t>1 (cell at table item</w:t>
      </w:r>
      <w:r w:rsidR="005A03F9" w:rsidRPr="005A03F9">
        <w:t> </w:t>
      </w:r>
      <w:r w:rsidRPr="005A03F9">
        <w:t>1890</w:t>
      </w:r>
      <w:r w:rsidR="00E15854" w:rsidRPr="005A03F9">
        <w:t>, column 4)</w:t>
      </w:r>
    </w:p>
    <w:p w:rsidR="00E15854" w:rsidRPr="005A03F9" w:rsidRDefault="00E15854" w:rsidP="00E15854">
      <w:pPr>
        <w:pStyle w:val="Item"/>
      </w:pPr>
      <w:r w:rsidRPr="005A03F9">
        <w:t>Repeal the cell, substitute:</w:t>
      </w:r>
    </w:p>
    <w:p w:rsidR="00575AFE" w:rsidRPr="005A03F9" w:rsidRDefault="00575AFE" w:rsidP="00575AFE">
      <w:pPr>
        <w:pStyle w:val="Tabletext"/>
      </w:pPr>
    </w:p>
    <w:tbl>
      <w:tblPr>
        <w:tblW w:w="0" w:type="auto"/>
        <w:tblInd w:w="817" w:type="dxa"/>
        <w:tblBorders>
          <w:insideH w:val="single" w:sz="4" w:space="0" w:color="auto"/>
        </w:tblBorders>
        <w:tblLayout w:type="fixed"/>
        <w:tblLook w:val="0000" w:firstRow="0" w:lastRow="0" w:firstColumn="0" w:lastColumn="0" w:noHBand="0" w:noVBand="0"/>
      </w:tblPr>
      <w:tblGrid>
        <w:gridCol w:w="3799"/>
      </w:tblGrid>
      <w:tr w:rsidR="000967A9" w:rsidRPr="005A03F9" w:rsidTr="000967A9">
        <w:tc>
          <w:tcPr>
            <w:tcW w:w="3799" w:type="dxa"/>
            <w:shd w:val="clear" w:color="auto" w:fill="auto"/>
          </w:tcPr>
          <w:p w:rsidR="000967A9" w:rsidRPr="005A03F9" w:rsidRDefault="000967A9" w:rsidP="00B26115">
            <w:pPr>
              <w:spacing w:after="200" w:line="276" w:lineRule="auto"/>
            </w:pPr>
            <w:r w:rsidRPr="005A03F9">
              <w:t>Only for use as an active ingredient in sunscreens for dermal application.</w:t>
            </w:r>
          </w:p>
          <w:p w:rsidR="000967A9" w:rsidRPr="005A03F9" w:rsidRDefault="000967A9" w:rsidP="00B26115">
            <w:pPr>
              <w:spacing w:after="200" w:line="276" w:lineRule="auto"/>
            </w:pPr>
            <w:r w:rsidRPr="005A03F9">
              <w:t>The concentration in a medicine must be no more than 10%.</w:t>
            </w:r>
          </w:p>
          <w:p w:rsidR="000967A9" w:rsidRPr="005A03F9" w:rsidRDefault="000967A9" w:rsidP="00B26115">
            <w:pPr>
              <w:spacing w:after="200" w:line="276" w:lineRule="auto"/>
            </w:pPr>
            <w:r w:rsidRPr="005A03F9">
              <w:t>When used in primary sunscreen products, the medicine requires the following warning statements on the label:</w:t>
            </w:r>
          </w:p>
          <w:p w:rsidR="000967A9" w:rsidRPr="005A03F9" w:rsidRDefault="005A03F9" w:rsidP="00B26115">
            <w:pPr>
              <w:spacing w:after="200" w:line="276" w:lineRule="auto"/>
            </w:pPr>
            <w:r>
              <w:rPr>
                <w:rFonts w:cs="Times New Roman"/>
              </w:rPr>
              <w:noBreakHyphen/>
            </w:r>
            <w:r w:rsidR="000967A9" w:rsidRPr="005A03F9">
              <w:rPr>
                <w:rFonts w:cs="Times New Roman"/>
              </w:rPr>
              <w:t xml:space="preserve"> </w:t>
            </w:r>
            <w:r w:rsidR="000967A9" w:rsidRPr="005A03F9">
              <w:t>(AVOID) 'Avoid prolonged exposure in the sun' (or words to this effect); and</w:t>
            </w:r>
          </w:p>
          <w:p w:rsidR="000967A9" w:rsidRPr="005A03F9" w:rsidRDefault="005A03F9" w:rsidP="00B26115">
            <w:pPr>
              <w:spacing w:after="200" w:line="276" w:lineRule="auto"/>
            </w:pPr>
            <w:r>
              <w:rPr>
                <w:rFonts w:cs="Times New Roman"/>
              </w:rPr>
              <w:noBreakHyphen/>
            </w:r>
            <w:r w:rsidR="000967A9" w:rsidRPr="005A03F9">
              <w:rPr>
                <w:rFonts w:cs="Times New Roman"/>
              </w:rPr>
              <w:t xml:space="preserve"> </w:t>
            </w:r>
            <w:r w:rsidR="000967A9" w:rsidRPr="005A03F9">
              <w:t>(</w:t>
            </w:r>
            <w:proofErr w:type="spellStart"/>
            <w:r w:rsidR="000967A9" w:rsidRPr="005A03F9">
              <w:t>SUNPRO</w:t>
            </w:r>
            <w:proofErr w:type="spellEnd"/>
            <w:r w:rsidR="000967A9" w:rsidRPr="005A03F9">
              <w:t xml:space="preserve">) 'Wear protective clothing </w:t>
            </w:r>
            <w:r>
              <w:noBreakHyphen/>
            </w:r>
            <w:r w:rsidR="000967A9" w:rsidRPr="005A03F9">
              <w:t xml:space="preserve"> hats and eyewear when exposed to the sun' (or words to this effect).</w:t>
            </w:r>
          </w:p>
        </w:tc>
      </w:tr>
    </w:tbl>
    <w:p w:rsidR="00E15854" w:rsidRPr="005A03F9" w:rsidRDefault="005578FA" w:rsidP="00E15854">
      <w:pPr>
        <w:pStyle w:val="ItemHead"/>
      </w:pPr>
      <w:r w:rsidRPr="005A03F9">
        <w:t>24</w:t>
      </w:r>
      <w:r w:rsidR="00E15854" w:rsidRPr="005A03F9">
        <w:t xml:space="preserve">  Table 1 in Part</w:t>
      </w:r>
      <w:r w:rsidR="005A03F9" w:rsidRPr="005A03F9">
        <w:t> </w:t>
      </w:r>
      <w:r w:rsidR="00E15854" w:rsidRPr="005A03F9">
        <w:t>2 of Sc</w:t>
      </w:r>
      <w:r w:rsidR="000130C3" w:rsidRPr="005A03F9">
        <w:t>hedule</w:t>
      </w:r>
      <w:r w:rsidR="005A03F9" w:rsidRPr="005A03F9">
        <w:t> </w:t>
      </w:r>
      <w:r w:rsidR="000130C3" w:rsidRPr="005A03F9">
        <w:t>1 (cell at table item</w:t>
      </w:r>
      <w:r w:rsidR="005A03F9" w:rsidRPr="005A03F9">
        <w:t> </w:t>
      </w:r>
      <w:r w:rsidR="000130C3" w:rsidRPr="005A03F9">
        <w:t>1920</w:t>
      </w:r>
      <w:r w:rsidR="00E15854" w:rsidRPr="005A03F9">
        <w:t>, column 4)</w:t>
      </w:r>
    </w:p>
    <w:p w:rsidR="00E15854" w:rsidRPr="005A03F9" w:rsidRDefault="00E15854" w:rsidP="00E15854">
      <w:pPr>
        <w:pStyle w:val="Item"/>
      </w:pPr>
      <w:r w:rsidRPr="005A03F9">
        <w:t>Repeal the cell, substitute:</w:t>
      </w:r>
    </w:p>
    <w:p w:rsidR="00575AFE" w:rsidRPr="005A03F9" w:rsidRDefault="00575AFE" w:rsidP="00575AFE">
      <w:pPr>
        <w:pStyle w:val="Tabletext"/>
      </w:pPr>
    </w:p>
    <w:tbl>
      <w:tblPr>
        <w:tblW w:w="0" w:type="auto"/>
        <w:tblInd w:w="817" w:type="dxa"/>
        <w:tblBorders>
          <w:insideH w:val="single" w:sz="4" w:space="0" w:color="auto"/>
        </w:tblBorders>
        <w:tblLayout w:type="fixed"/>
        <w:tblLook w:val="0000" w:firstRow="0" w:lastRow="0" w:firstColumn="0" w:lastColumn="0" w:noHBand="0" w:noVBand="0"/>
      </w:tblPr>
      <w:tblGrid>
        <w:gridCol w:w="3799"/>
      </w:tblGrid>
      <w:tr w:rsidR="000967A9" w:rsidRPr="005A03F9" w:rsidTr="000967A9">
        <w:tc>
          <w:tcPr>
            <w:tcW w:w="3799" w:type="dxa"/>
            <w:shd w:val="clear" w:color="auto" w:fill="auto"/>
          </w:tcPr>
          <w:p w:rsidR="000967A9" w:rsidRPr="005A03F9" w:rsidRDefault="000967A9" w:rsidP="00B26115">
            <w:pPr>
              <w:spacing w:after="200" w:line="276" w:lineRule="auto"/>
            </w:pPr>
            <w:r w:rsidRPr="005A03F9">
              <w:t>Only for use as an active ingredient in sunscreens for dermal application.</w:t>
            </w:r>
          </w:p>
          <w:p w:rsidR="000967A9" w:rsidRPr="005A03F9" w:rsidRDefault="000967A9" w:rsidP="00B26115">
            <w:pPr>
              <w:spacing w:after="200" w:line="276" w:lineRule="auto"/>
            </w:pPr>
            <w:r w:rsidRPr="005A03F9">
              <w:t>The concentration in a medicine must be no more than 10%.</w:t>
            </w:r>
          </w:p>
          <w:p w:rsidR="000967A9" w:rsidRPr="005A03F9" w:rsidRDefault="000967A9" w:rsidP="00B26115">
            <w:pPr>
              <w:spacing w:after="200" w:line="276" w:lineRule="auto"/>
            </w:pPr>
            <w:r w:rsidRPr="005A03F9">
              <w:t>When used in primary sunscreen products, the medicine requires the following warning statements on the label:</w:t>
            </w:r>
          </w:p>
          <w:p w:rsidR="000967A9" w:rsidRPr="005A03F9" w:rsidRDefault="005A03F9" w:rsidP="00B26115">
            <w:pPr>
              <w:spacing w:after="200" w:line="276" w:lineRule="auto"/>
            </w:pPr>
            <w:r>
              <w:rPr>
                <w:rFonts w:cs="Times New Roman"/>
              </w:rPr>
              <w:noBreakHyphen/>
            </w:r>
            <w:r w:rsidR="000967A9" w:rsidRPr="005A03F9">
              <w:rPr>
                <w:rFonts w:cs="Times New Roman"/>
              </w:rPr>
              <w:t xml:space="preserve"> </w:t>
            </w:r>
            <w:r w:rsidR="000967A9" w:rsidRPr="005A03F9">
              <w:t>(AVOID) 'Avoid prolonged exposure in the sun' (or words to this effect); and</w:t>
            </w:r>
          </w:p>
          <w:p w:rsidR="000967A9" w:rsidRPr="005A03F9" w:rsidRDefault="005A03F9" w:rsidP="00B26115">
            <w:pPr>
              <w:spacing w:after="200" w:line="276" w:lineRule="auto"/>
            </w:pPr>
            <w:r>
              <w:rPr>
                <w:rFonts w:cs="Times New Roman"/>
              </w:rPr>
              <w:noBreakHyphen/>
            </w:r>
            <w:r w:rsidR="000967A9" w:rsidRPr="005A03F9">
              <w:rPr>
                <w:rFonts w:cs="Times New Roman"/>
              </w:rPr>
              <w:t xml:space="preserve"> </w:t>
            </w:r>
            <w:r w:rsidR="000967A9" w:rsidRPr="005A03F9">
              <w:t>(</w:t>
            </w:r>
            <w:proofErr w:type="spellStart"/>
            <w:r w:rsidR="000967A9" w:rsidRPr="005A03F9">
              <w:t>SUNPRO</w:t>
            </w:r>
            <w:proofErr w:type="spellEnd"/>
            <w:r w:rsidR="000967A9" w:rsidRPr="005A03F9">
              <w:t xml:space="preserve">) 'Wear protective clothing </w:t>
            </w:r>
            <w:r>
              <w:noBreakHyphen/>
            </w:r>
            <w:r w:rsidR="000967A9" w:rsidRPr="005A03F9">
              <w:t xml:space="preserve"> hats and eyewear when exposed to the sun' (or words to this effect).</w:t>
            </w:r>
          </w:p>
        </w:tc>
      </w:tr>
    </w:tbl>
    <w:p w:rsidR="003D693D" w:rsidRPr="005A03F9" w:rsidRDefault="003D693D" w:rsidP="003D693D">
      <w:pPr>
        <w:pStyle w:val="ItemHead"/>
      </w:pPr>
      <w:r w:rsidRPr="005A03F9">
        <w:t>2</w:t>
      </w:r>
      <w:r w:rsidR="005578FA" w:rsidRPr="005A03F9">
        <w:t>5</w:t>
      </w:r>
      <w:r w:rsidRPr="005A03F9">
        <w:t xml:space="preserve">  Table 1 in Part</w:t>
      </w:r>
      <w:r w:rsidR="005A03F9" w:rsidRPr="005A03F9">
        <w:t> </w:t>
      </w:r>
      <w:r w:rsidRPr="005A03F9">
        <w:t>2 of Schedule</w:t>
      </w:r>
      <w:r w:rsidR="005A03F9" w:rsidRPr="005A03F9">
        <w:t> </w:t>
      </w:r>
      <w:r w:rsidRPr="005A03F9">
        <w:t>1 (after table item</w:t>
      </w:r>
      <w:r w:rsidR="005A03F9" w:rsidRPr="005A03F9">
        <w:t> </w:t>
      </w:r>
      <w:r w:rsidRPr="005A03F9">
        <w:t>1931)</w:t>
      </w:r>
    </w:p>
    <w:p w:rsidR="003D693D" w:rsidRPr="005A03F9" w:rsidRDefault="003D693D" w:rsidP="003D693D">
      <w:pPr>
        <w:pStyle w:val="Item"/>
      </w:pPr>
      <w:r w:rsidRPr="005A03F9">
        <w:t>Insert:</w:t>
      </w:r>
    </w:p>
    <w:p w:rsidR="00850B9A" w:rsidRPr="005A03F9" w:rsidRDefault="00850B9A" w:rsidP="00850B9A">
      <w:pPr>
        <w:pStyle w:val="Tabletext"/>
      </w:pPr>
    </w:p>
    <w:tbl>
      <w:tblPr>
        <w:tblStyle w:val="TableGrid"/>
        <w:tblW w:w="0" w:type="auto"/>
        <w:tblBorders>
          <w:top w:val="none" w:sz="0" w:space="0" w:color="auto"/>
          <w:bottom w:val="none" w:sz="0" w:space="0" w:color="auto"/>
        </w:tblBorders>
        <w:tblLook w:val="04A0" w:firstRow="1" w:lastRow="0" w:firstColumn="1" w:lastColumn="0" w:noHBand="0" w:noVBand="1"/>
      </w:tblPr>
      <w:tblGrid>
        <w:gridCol w:w="1311"/>
        <w:gridCol w:w="2495"/>
        <w:gridCol w:w="1032"/>
        <w:gridCol w:w="3691"/>
      </w:tblGrid>
      <w:tr w:rsidR="003D693D" w:rsidRPr="005A03F9" w:rsidTr="000967A9">
        <w:tc>
          <w:tcPr>
            <w:tcW w:w="1384" w:type="dxa"/>
          </w:tcPr>
          <w:p w:rsidR="003D693D" w:rsidRPr="005A03F9" w:rsidRDefault="003D693D" w:rsidP="00B26115">
            <w:pPr>
              <w:spacing w:after="200" w:line="276" w:lineRule="auto"/>
            </w:pPr>
            <w:r w:rsidRPr="005A03F9">
              <w:t>1931A</w:t>
            </w:r>
          </w:p>
        </w:tc>
        <w:tc>
          <w:tcPr>
            <w:tcW w:w="2693" w:type="dxa"/>
          </w:tcPr>
          <w:p w:rsidR="003D693D" w:rsidRPr="005A03F9" w:rsidRDefault="003D693D" w:rsidP="00B26115">
            <w:pPr>
              <w:spacing w:after="200" w:line="276" w:lineRule="auto"/>
            </w:pPr>
            <w:proofErr w:type="spellStart"/>
            <w:r w:rsidRPr="005A03F9">
              <w:t>DUPICAL</w:t>
            </w:r>
            <w:proofErr w:type="spellEnd"/>
          </w:p>
        </w:tc>
        <w:tc>
          <w:tcPr>
            <w:tcW w:w="1134" w:type="dxa"/>
          </w:tcPr>
          <w:p w:rsidR="003D693D" w:rsidRPr="005A03F9" w:rsidRDefault="003D693D" w:rsidP="00B26115">
            <w:pPr>
              <w:spacing w:after="200" w:line="276" w:lineRule="auto"/>
            </w:pPr>
            <w:r w:rsidRPr="005A03F9">
              <w:t>E</w:t>
            </w:r>
          </w:p>
        </w:tc>
        <w:tc>
          <w:tcPr>
            <w:tcW w:w="4031" w:type="dxa"/>
          </w:tcPr>
          <w:p w:rsidR="003D693D" w:rsidRPr="005A03F9" w:rsidRDefault="003D693D" w:rsidP="00B26115">
            <w:pPr>
              <w:spacing w:after="200" w:line="276" w:lineRule="auto"/>
            </w:pPr>
            <w:r w:rsidRPr="005A03F9">
              <w:t>Permitted for use only in combination with other permitted ingredients as a flavour.</w:t>
            </w:r>
          </w:p>
          <w:p w:rsidR="003D693D" w:rsidRPr="005A03F9" w:rsidRDefault="003D693D" w:rsidP="0010308C">
            <w:pPr>
              <w:spacing w:after="200" w:line="276" w:lineRule="auto"/>
            </w:pPr>
            <w:r w:rsidRPr="005A03F9">
              <w:t xml:space="preserve">If used in a flavour the total flavour concentration in </w:t>
            </w:r>
            <w:r w:rsidR="0010308C" w:rsidRPr="005A03F9">
              <w:t>a</w:t>
            </w:r>
            <w:r w:rsidRPr="005A03F9">
              <w:t xml:space="preserve"> medicine must be no more than 5%.</w:t>
            </w:r>
          </w:p>
        </w:tc>
      </w:tr>
    </w:tbl>
    <w:p w:rsidR="000130C3" w:rsidRPr="005A03F9" w:rsidRDefault="005578FA" w:rsidP="000130C3">
      <w:pPr>
        <w:pStyle w:val="ItemHead"/>
      </w:pPr>
      <w:r w:rsidRPr="005A03F9">
        <w:t>26</w:t>
      </w:r>
      <w:r w:rsidR="000130C3" w:rsidRPr="005A03F9">
        <w:t xml:space="preserve">  Table 1 in Part</w:t>
      </w:r>
      <w:r w:rsidR="005A03F9" w:rsidRPr="005A03F9">
        <w:t> </w:t>
      </w:r>
      <w:r w:rsidR="000130C3" w:rsidRPr="005A03F9">
        <w:t>2 of Schedule</w:t>
      </w:r>
      <w:r w:rsidR="005A03F9" w:rsidRPr="005A03F9">
        <w:t> </w:t>
      </w:r>
      <w:r w:rsidR="000130C3" w:rsidRPr="005A03F9">
        <w:t>1 (cell at table item</w:t>
      </w:r>
      <w:r w:rsidR="005A03F9" w:rsidRPr="005A03F9">
        <w:t> </w:t>
      </w:r>
      <w:r w:rsidR="003D693D" w:rsidRPr="005A03F9">
        <w:t>1935</w:t>
      </w:r>
      <w:r w:rsidR="000130C3" w:rsidRPr="005A03F9">
        <w:t>, column 4)</w:t>
      </w:r>
    </w:p>
    <w:p w:rsidR="000130C3" w:rsidRPr="005A03F9" w:rsidRDefault="000130C3" w:rsidP="000130C3">
      <w:pPr>
        <w:pStyle w:val="Item"/>
      </w:pPr>
      <w:r w:rsidRPr="005A03F9">
        <w:t>Repeal the cell, substitute:</w:t>
      </w:r>
    </w:p>
    <w:p w:rsidR="00575AFE" w:rsidRPr="005A03F9" w:rsidRDefault="00575AFE" w:rsidP="00575AFE">
      <w:pPr>
        <w:pStyle w:val="Tabletext"/>
      </w:pPr>
    </w:p>
    <w:tbl>
      <w:tblPr>
        <w:tblW w:w="0" w:type="auto"/>
        <w:tblInd w:w="817" w:type="dxa"/>
        <w:tblBorders>
          <w:insideH w:val="single" w:sz="4" w:space="0" w:color="auto"/>
        </w:tblBorders>
        <w:tblLayout w:type="fixed"/>
        <w:tblLook w:val="0000" w:firstRow="0" w:lastRow="0" w:firstColumn="0" w:lastColumn="0" w:noHBand="0" w:noVBand="0"/>
      </w:tblPr>
      <w:tblGrid>
        <w:gridCol w:w="3799"/>
      </w:tblGrid>
      <w:tr w:rsidR="000967A9" w:rsidRPr="005A03F9" w:rsidTr="000967A9">
        <w:tc>
          <w:tcPr>
            <w:tcW w:w="3799" w:type="dxa"/>
            <w:shd w:val="clear" w:color="auto" w:fill="auto"/>
          </w:tcPr>
          <w:p w:rsidR="000967A9" w:rsidRPr="005A03F9" w:rsidRDefault="000967A9" w:rsidP="00B26115">
            <w:pPr>
              <w:spacing w:after="200" w:line="276" w:lineRule="auto"/>
            </w:pPr>
            <w:r w:rsidRPr="005A03F9">
              <w:t>Only for use as an active ingredient in sunscreens for dermal application.</w:t>
            </w:r>
          </w:p>
          <w:p w:rsidR="000967A9" w:rsidRPr="005A03F9" w:rsidRDefault="000967A9" w:rsidP="00B26115">
            <w:pPr>
              <w:spacing w:after="200" w:line="276" w:lineRule="auto"/>
            </w:pPr>
            <w:r w:rsidRPr="005A03F9">
              <w:t>The concentration in a medicine must be no more than 10%.</w:t>
            </w:r>
          </w:p>
          <w:p w:rsidR="000967A9" w:rsidRPr="005A03F9" w:rsidRDefault="000967A9" w:rsidP="00B26115">
            <w:pPr>
              <w:spacing w:after="200" w:line="276" w:lineRule="auto"/>
            </w:pPr>
            <w:r w:rsidRPr="005A03F9">
              <w:t>When used in primary sunscreen products, the medicine requires the following warning statements on the label:</w:t>
            </w:r>
          </w:p>
          <w:p w:rsidR="000967A9" w:rsidRPr="005A03F9" w:rsidRDefault="005A03F9" w:rsidP="00B26115">
            <w:pPr>
              <w:spacing w:after="200" w:line="276" w:lineRule="auto"/>
            </w:pPr>
            <w:r>
              <w:rPr>
                <w:rFonts w:cs="Times New Roman"/>
              </w:rPr>
              <w:noBreakHyphen/>
            </w:r>
            <w:r w:rsidR="000967A9" w:rsidRPr="005A03F9">
              <w:rPr>
                <w:rFonts w:cs="Times New Roman"/>
              </w:rPr>
              <w:t xml:space="preserve"> </w:t>
            </w:r>
            <w:r w:rsidR="000967A9" w:rsidRPr="005A03F9">
              <w:t>(AVOID) 'Avoid prolonged exposure in the sun' (or words to this effect); and</w:t>
            </w:r>
          </w:p>
          <w:p w:rsidR="000967A9" w:rsidRPr="005A03F9" w:rsidRDefault="005A03F9" w:rsidP="00B26115">
            <w:pPr>
              <w:spacing w:after="200" w:line="276" w:lineRule="auto"/>
            </w:pPr>
            <w:r>
              <w:rPr>
                <w:rFonts w:cs="Times New Roman"/>
              </w:rPr>
              <w:noBreakHyphen/>
            </w:r>
            <w:r w:rsidR="000967A9" w:rsidRPr="005A03F9">
              <w:rPr>
                <w:rFonts w:cs="Times New Roman"/>
              </w:rPr>
              <w:t xml:space="preserve"> </w:t>
            </w:r>
            <w:r w:rsidR="000967A9" w:rsidRPr="005A03F9">
              <w:t>(</w:t>
            </w:r>
            <w:proofErr w:type="spellStart"/>
            <w:r w:rsidR="000967A9" w:rsidRPr="005A03F9">
              <w:t>SUNPRO</w:t>
            </w:r>
            <w:proofErr w:type="spellEnd"/>
            <w:r w:rsidR="000967A9" w:rsidRPr="005A03F9">
              <w:t xml:space="preserve">) 'Wear protective clothing </w:t>
            </w:r>
            <w:r>
              <w:noBreakHyphen/>
            </w:r>
            <w:r w:rsidR="000967A9" w:rsidRPr="005A03F9">
              <w:t xml:space="preserve"> hats and eyewear when exposed to the sun' (or words to this effect).</w:t>
            </w:r>
          </w:p>
        </w:tc>
      </w:tr>
    </w:tbl>
    <w:p w:rsidR="003D693D" w:rsidRPr="005A03F9" w:rsidRDefault="003D693D" w:rsidP="003D693D">
      <w:pPr>
        <w:pStyle w:val="ItemHead"/>
      </w:pPr>
      <w:r w:rsidRPr="005A03F9">
        <w:t>2</w:t>
      </w:r>
      <w:r w:rsidR="005578FA" w:rsidRPr="005A03F9">
        <w:t>7</w:t>
      </w:r>
      <w:r w:rsidRPr="005A03F9">
        <w:t xml:space="preserve">  Table 1 in Part</w:t>
      </w:r>
      <w:r w:rsidR="005A03F9" w:rsidRPr="005A03F9">
        <w:t> </w:t>
      </w:r>
      <w:r w:rsidRPr="005A03F9">
        <w:t>2 of Schedule</w:t>
      </w:r>
      <w:r w:rsidR="005A03F9" w:rsidRPr="005A03F9">
        <w:t> </w:t>
      </w:r>
      <w:r w:rsidRPr="005A03F9">
        <w:t>1 (table item</w:t>
      </w:r>
      <w:r w:rsidR="005A03F9" w:rsidRPr="005A03F9">
        <w:t> </w:t>
      </w:r>
      <w:r w:rsidRPr="005A03F9">
        <w:t>2022)</w:t>
      </w:r>
    </w:p>
    <w:p w:rsidR="003D693D" w:rsidRPr="005A03F9" w:rsidRDefault="006D3C5E" w:rsidP="003D693D">
      <w:pPr>
        <w:pStyle w:val="Item"/>
      </w:pPr>
      <w:r w:rsidRPr="005A03F9">
        <w:t>Repeal the item.</w:t>
      </w:r>
    </w:p>
    <w:p w:rsidR="000130C3" w:rsidRPr="005A03F9" w:rsidRDefault="00797607" w:rsidP="000130C3">
      <w:pPr>
        <w:pStyle w:val="ItemHead"/>
      </w:pPr>
      <w:r w:rsidRPr="005A03F9">
        <w:t>2</w:t>
      </w:r>
      <w:r w:rsidR="005578FA" w:rsidRPr="005A03F9">
        <w:t>8</w:t>
      </w:r>
      <w:r w:rsidR="000130C3" w:rsidRPr="005A03F9">
        <w:t xml:space="preserve">  Table 1 in Part</w:t>
      </w:r>
      <w:r w:rsidR="005A03F9" w:rsidRPr="005A03F9">
        <w:t> </w:t>
      </w:r>
      <w:r w:rsidR="000130C3" w:rsidRPr="005A03F9">
        <w:t>2 of Sc</w:t>
      </w:r>
      <w:r w:rsidRPr="005A03F9">
        <w:t>hedule</w:t>
      </w:r>
      <w:r w:rsidR="005A03F9" w:rsidRPr="005A03F9">
        <w:t> </w:t>
      </w:r>
      <w:r w:rsidRPr="005A03F9">
        <w:t>1 (cell at table item</w:t>
      </w:r>
      <w:r w:rsidR="005A03F9" w:rsidRPr="005A03F9">
        <w:t> </w:t>
      </w:r>
      <w:r w:rsidRPr="005A03F9">
        <w:t>2328</w:t>
      </w:r>
      <w:r w:rsidR="000130C3" w:rsidRPr="005A03F9">
        <w:t>, column 4)</w:t>
      </w:r>
    </w:p>
    <w:p w:rsidR="000130C3" w:rsidRPr="005A03F9" w:rsidRDefault="000130C3" w:rsidP="000130C3">
      <w:pPr>
        <w:pStyle w:val="Item"/>
      </w:pPr>
      <w:r w:rsidRPr="005A03F9">
        <w:t>Repeal the cell, substitute:</w:t>
      </w:r>
    </w:p>
    <w:p w:rsidR="00575AFE" w:rsidRPr="005A03F9" w:rsidRDefault="00575AFE" w:rsidP="00575AFE">
      <w:pPr>
        <w:pStyle w:val="Tabletext"/>
      </w:pPr>
    </w:p>
    <w:tbl>
      <w:tblPr>
        <w:tblW w:w="0" w:type="auto"/>
        <w:tblInd w:w="817" w:type="dxa"/>
        <w:tblBorders>
          <w:insideH w:val="single" w:sz="4" w:space="0" w:color="auto"/>
        </w:tblBorders>
        <w:tblLayout w:type="fixed"/>
        <w:tblLook w:val="0000" w:firstRow="0" w:lastRow="0" w:firstColumn="0" w:lastColumn="0" w:noHBand="0" w:noVBand="0"/>
      </w:tblPr>
      <w:tblGrid>
        <w:gridCol w:w="3799"/>
      </w:tblGrid>
      <w:tr w:rsidR="000967A9" w:rsidRPr="005A03F9" w:rsidTr="000967A9">
        <w:tc>
          <w:tcPr>
            <w:tcW w:w="3799" w:type="dxa"/>
            <w:shd w:val="clear" w:color="auto" w:fill="auto"/>
          </w:tcPr>
          <w:p w:rsidR="000967A9" w:rsidRPr="005A03F9" w:rsidRDefault="000967A9" w:rsidP="00B26115">
            <w:pPr>
              <w:spacing w:after="200" w:line="276" w:lineRule="auto"/>
            </w:pPr>
            <w:r w:rsidRPr="005A03F9">
              <w:t>Only for use when the dosage form is 'chewing gum'.</w:t>
            </w:r>
          </w:p>
          <w:p w:rsidR="000967A9" w:rsidRPr="005A03F9" w:rsidRDefault="000967A9" w:rsidP="00B26115">
            <w:pPr>
              <w:spacing w:after="200" w:line="276" w:lineRule="auto"/>
            </w:pPr>
            <w:r w:rsidRPr="005A03F9">
              <w:t>Must comply with:</w:t>
            </w:r>
          </w:p>
          <w:p w:rsidR="000967A9" w:rsidRPr="005A03F9" w:rsidRDefault="000967A9" w:rsidP="00AA0740">
            <w:pPr>
              <w:spacing w:after="200" w:line="276" w:lineRule="auto"/>
            </w:pPr>
            <w:r w:rsidRPr="005A03F9">
              <w:t xml:space="preserve">a) the Glycerol Ester of Partially Hydrogenated Gum Rosin monograph in the Food Chemicals Codex published by the United States </w:t>
            </w:r>
            <w:proofErr w:type="spellStart"/>
            <w:r w:rsidRPr="005A03F9">
              <w:t>Pharmacopeial</w:t>
            </w:r>
            <w:proofErr w:type="spellEnd"/>
            <w:r w:rsidRPr="005A03F9">
              <w:t xml:space="preserve"> Convention, as in force or existing from time to time; and</w:t>
            </w:r>
          </w:p>
          <w:p w:rsidR="000967A9" w:rsidRPr="005A03F9" w:rsidRDefault="000967A9" w:rsidP="006C3E7C">
            <w:pPr>
              <w:spacing w:after="200" w:line="276" w:lineRule="auto"/>
            </w:pPr>
            <w:r w:rsidRPr="005A03F9">
              <w:t>b) the requirements for residual solvents and catalysts in the British Pharmacopeia or the United States Pharmacopeia</w:t>
            </w:r>
            <w:r w:rsidR="005A03F9">
              <w:noBreakHyphen/>
            </w:r>
            <w:r w:rsidRPr="005A03F9">
              <w:t>National Formulary.</w:t>
            </w:r>
          </w:p>
        </w:tc>
      </w:tr>
    </w:tbl>
    <w:p w:rsidR="00797607" w:rsidRPr="005A03F9" w:rsidRDefault="005578FA" w:rsidP="00797607">
      <w:pPr>
        <w:pStyle w:val="ItemHead"/>
      </w:pPr>
      <w:r w:rsidRPr="005A03F9">
        <w:t>29</w:t>
      </w:r>
      <w:r w:rsidR="00797607" w:rsidRPr="005A03F9">
        <w:t xml:space="preserve">  Table 1 in Part</w:t>
      </w:r>
      <w:r w:rsidR="005A03F9" w:rsidRPr="005A03F9">
        <w:t> </w:t>
      </w:r>
      <w:r w:rsidR="00797607" w:rsidRPr="005A03F9">
        <w:t>2 of Schedule</w:t>
      </w:r>
      <w:r w:rsidR="005A03F9" w:rsidRPr="005A03F9">
        <w:t> </w:t>
      </w:r>
      <w:r w:rsidR="00797607" w:rsidRPr="005A03F9">
        <w:t>1 (cell at table item</w:t>
      </w:r>
      <w:r w:rsidR="005A03F9" w:rsidRPr="005A03F9">
        <w:t> </w:t>
      </w:r>
      <w:r w:rsidR="00797607" w:rsidRPr="005A03F9">
        <w:t>2329, column 4)</w:t>
      </w:r>
    </w:p>
    <w:p w:rsidR="00797607" w:rsidRPr="005A03F9" w:rsidRDefault="00797607" w:rsidP="00797607">
      <w:pPr>
        <w:pStyle w:val="Item"/>
      </w:pPr>
      <w:r w:rsidRPr="005A03F9">
        <w:t>Repeal the cell, substitute:</w:t>
      </w:r>
    </w:p>
    <w:p w:rsidR="00575AFE" w:rsidRPr="005A03F9" w:rsidRDefault="00575AFE" w:rsidP="00575AFE">
      <w:pPr>
        <w:pStyle w:val="Tabletext"/>
      </w:pPr>
    </w:p>
    <w:tbl>
      <w:tblPr>
        <w:tblW w:w="0" w:type="auto"/>
        <w:tblInd w:w="817" w:type="dxa"/>
        <w:tblBorders>
          <w:insideH w:val="single" w:sz="4" w:space="0" w:color="auto"/>
        </w:tblBorders>
        <w:tblLayout w:type="fixed"/>
        <w:tblLook w:val="0000" w:firstRow="0" w:lastRow="0" w:firstColumn="0" w:lastColumn="0" w:noHBand="0" w:noVBand="0"/>
      </w:tblPr>
      <w:tblGrid>
        <w:gridCol w:w="3799"/>
      </w:tblGrid>
      <w:tr w:rsidR="000967A9" w:rsidRPr="005A03F9" w:rsidTr="000967A9">
        <w:tc>
          <w:tcPr>
            <w:tcW w:w="3799" w:type="dxa"/>
            <w:shd w:val="clear" w:color="auto" w:fill="auto"/>
          </w:tcPr>
          <w:p w:rsidR="000967A9" w:rsidRPr="005A03F9" w:rsidRDefault="000967A9" w:rsidP="00B26115">
            <w:pPr>
              <w:spacing w:after="200" w:line="276" w:lineRule="auto"/>
            </w:pPr>
            <w:proofErr w:type="spellStart"/>
            <w:r w:rsidRPr="005A03F9">
              <w:t>Behenic</w:t>
            </w:r>
            <w:proofErr w:type="spellEnd"/>
            <w:r w:rsidRPr="005A03F9">
              <w:t xml:space="preserve"> acid is a mandatory component of calcium </w:t>
            </w:r>
            <w:proofErr w:type="spellStart"/>
            <w:r w:rsidRPr="005A03F9">
              <w:t>behenate</w:t>
            </w:r>
            <w:proofErr w:type="spellEnd"/>
            <w:r w:rsidRPr="005A03F9">
              <w:t>.</w:t>
            </w:r>
          </w:p>
          <w:p w:rsidR="000967A9" w:rsidRPr="005A03F9" w:rsidRDefault="000967A9" w:rsidP="00B26115">
            <w:pPr>
              <w:spacing w:after="200" w:line="276" w:lineRule="auto"/>
            </w:pPr>
            <w:r w:rsidRPr="005A03F9">
              <w:t xml:space="preserve">When for oral ingestion, the maximum recommended daily dose must not provide more than 383.5 milligrams of </w:t>
            </w:r>
            <w:proofErr w:type="spellStart"/>
            <w:r w:rsidRPr="005A03F9">
              <w:t>behenic</w:t>
            </w:r>
            <w:proofErr w:type="spellEnd"/>
            <w:r w:rsidRPr="005A03F9">
              <w:t xml:space="preserve"> acid.</w:t>
            </w:r>
          </w:p>
          <w:p w:rsidR="000967A9" w:rsidRPr="005A03F9" w:rsidRDefault="000967A9" w:rsidP="00B26115">
            <w:pPr>
              <w:spacing w:after="200" w:line="276" w:lineRule="auto"/>
            </w:pPr>
            <w:r w:rsidRPr="005A03F9">
              <w:t xml:space="preserve">In medicines for topical use, the concentration of glyceryl </w:t>
            </w:r>
            <w:proofErr w:type="spellStart"/>
            <w:r w:rsidRPr="005A03F9">
              <w:t>behenate</w:t>
            </w:r>
            <w:proofErr w:type="spellEnd"/>
            <w:r w:rsidRPr="005A03F9">
              <w:t xml:space="preserve"> must be no more than 5%.</w:t>
            </w:r>
          </w:p>
        </w:tc>
      </w:tr>
    </w:tbl>
    <w:p w:rsidR="00797607" w:rsidRPr="005A03F9" w:rsidRDefault="005578FA" w:rsidP="00797607">
      <w:pPr>
        <w:pStyle w:val="ItemHead"/>
      </w:pPr>
      <w:r w:rsidRPr="005A03F9">
        <w:t>30</w:t>
      </w:r>
      <w:r w:rsidR="00797607" w:rsidRPr="005A03F9">
        <w:t xml:space="preserve">  Table 1 in Part</w:t>
      </w:r>
      <w:r w:rsidR="005A03F9" w:rsidRPr="005A03F9">
        <w:t> </w:t>
      </w:r>
      <w:r w:rsidR="00797607" w:rsidRPr="005A03F9">
        <w:t>2 of Schedule</w:t>
      </w:r>
      <w:r w:rsidR="005A03F9" w:rsidRPr="005A03F9">
        <w:t> </w:t>
      </w:r>
      <w:r w:rsidR="00797607" w:rsidRPr="005A03F9">
        <w:t>1 (cell at table item</w:t>
      </w:r>
      <w:r w:rsidR="005A03F9" w:rsidRPr="005A03F9">
        <w:t> </w:t>
      </w:r>
      <w:r w:rsidR="00797607" w:rsidRPr="005A03F9">
        <w:t>2349, column 4)</w:t>
      </w:r>
    </w:p>
    <w:p w:rsidR="00797607" w:rsidRPr="005A03F9" w:rsidRDefault="00797607" w:rsidP="00797607">
      <w:pPr>
        <w:pStyle w:val="Item"/>
      </w:pPr>
      <w:r w:rsidRPr="005A03F9">
        <w:t>Repeal the cell, substitute:</w:t>
      </w:r>
    </w:p>
    <w:p w:rsidR="00575AFE" w:rsidRPr="005A03F9" w:rsidRDefault="00575AFE" w:rsidP="00575AFE">
      <w:pPr>
        <w:pStyle w:val="Tabletext"/>
      </w:pPr>
    </w:p>
    <w:tbl>
      <w:tblPr>
        <w:tblW w:w="0" w:type="auto"/>
        <w:tblInd w:w="817" w:type="dxa"/>
        <w:tblBorders>
          <w:insideH w:val="single" w:sz="4" w:space="0" w:color="auto"/>
        </w:tblBorders>
        <w:tblLayout w:type="fixed"/>
        <w:tblLook w:val="0000" w:firstRow="0" w:lastRow="0" w:firstColumn="0" w:lastColumn="0" w:noHBand="0" w:noVBand="0"/>
      </w:tblPr>
      <w:tblGrid>
        <w:gridCol w:w="3799"/>
      </w:tblGrid>
      <w:tr w:rsidR="000967A9" w:rsidRPr="005A03F9" w:rsidTr="000967A9">
        <w:tc>
          <w:tcPr>
            <w:tcW w:w="3799" w:type="dxa"/>
            <w:shd w:val="clear" w:color="auto" w:fill="auto"/>
          </w:tcPr>
          <w:p w:rsidR="000967A9" w:rsidRPr="005A03F9" w:rsidRDefault="000967A9" w:rsidP="006B687D">
            <w:pPr>
              <w:spacing w:after="200" w:line="276" w:lineRule="auto"/>
            </w:pPr>
            <w:r w:rsidRPr="005A03F9">
              <w:t>Only for use when the dosage form is 'chewing gum'.</w:t>
            </w:r>
          </w:p>
          <w:p w:rsidR="000967A9" w:rsidRPr="005A03F9" w:rsidRDefault="000967A9" w:rsidP="006B687D">
            <w:pPr>
              <w:spacing w:after="200" w:line="276" w:lineRule="auto"/>
            </w:pPr>
            <w:r w:rsidRPr="005A03F9">
              <w:t>Must comply with:</w:t>
            </w:r>
          </w:p>
          <w:p w:rsidR="000967A9" w:rsidRPr="005A03F9" w:rsidRDefault="000967A9" w:rsidP="006B687D">
            <w:pPr>
              <w:spacing w:after="200" w:line="276" w:lineRule="auto"/>
            </w:pPr>
            <w:r w:rsidRPr="005A03F9">
              <w:t xml:space="preserve">a) the Glycerol Ester of Gum Rosin monograph in the Food Chemicals Codex published by the United States </w:t>
            </w:r>
            <w:proofErr w:type="spellStart"/>
            <w:r w:rsidRPr="005A03F9">
              <w:t>Pharmacopeial</w:t>
            </w:r>
            <w:proofErr w:type="spellEnd"/>
            <w:r w:rsidRPr="005A03F9">
              <w:t xml:space="preserve"> Convention, as in force or existing from time to time; and</w:t>
            </w:r>
          </w:p>
          <w:p w:rsidR="000967A9" w:rsidRPr="005A03F9" w:rsidRDefault="000967A9" w:rsidP="006B687D">
            <w:pPr>
              <w:spacing w:after="200" w:line="276" w:lineRule="auto"/>
            </w:pPr>
            <w:r w:rsidRPr="005A03F9">
              <w:t>b) the requirements for residual solvents and catalysts in the British Pharmacopeia or the United States Pharmacopeia</w:t>
            </w:r>
            <w:r w:rsidR="005A03F9">
              <w:noBreakHyphen/>
            </w:r>
            <w:r w:rsidRPr="005A03F9">
              <w:t>National Formulary.</w:t>
            </w:r>
          </w:p>
        </w:tc>
      </w:tr>
    </w:tbl>
    <w:p w:rsidR="00797607" w:rsidRPr="005A03F9" w:rsidRDefault="005578FA" w:rsidP="00797607">
      <w:pPr>
        <w:pStyle w:val="ItemHead"/>
      </w:pPr>
      <w:r w:rsidRPr="005A03F9">
        <w:t>31</w:t>
      </w:r>
      <w:r w:rsidR="00797607" w:rsidRPr="005A03F9">
        <w:t xml:space="preserve">  Table 1 in Part</w:t>
      </w:r>
      <w:r w:rsidR="005A03F9" w:rsidRPr="005A03F9">
        <w:t> </w:t>
      </w:r>
      <w:r w:rsidR="00797607" w:rsidRPr="005A03F9">
        <w:t>2 of Schedule</w:t>
      </w:r>
      <w:r w:rsidR="005A03F9" w:rsidRPr="005A03F9">
        <w:t> </w:t>
      </w:r>
      <w:r w:rsidR="00797607" w:rsidRPr="005A03F9">
        <w:t>1 (after table item</w:t>
      </w:r>
      <w:r w:rsidR="005A03F9" w:rsidRPr="005A03F9">
        <w:t> </w:t>
      </w:r>
      <w:r w:rsidR="00797607" w:rsidRPr="005A03F9">
        <w:t>2355)</w:t>
      </w:r>
    </w:p>
    <w:p w:rsidR="00797607" w:rsidRPr="005A03F9" w:rsidRDefault="00797607" w:rsidP="00797607">
      <w:pPr>
        <w:pStyle w:val="Item"/>
      </w:pPr>
      <w:r w:rsidRPr="005A03F9">
        <w:t>Insert:</w:t>
      </w:r>
    </w:p>
    <w:p w:rsidR="00850B9A" w:rsidRPr="005A03F9" w:rsidRDefault="00850B9A" w:rsidP="00850B9A">
      <w:pPr>
        <w:pStyle w:val="Tabletext"/>
      </w:pPr>
    </w:p>
    <w:tbl>
      <w:tblPr>
        <w:tblStyle w:val="TableGrid"/>
        <w:tblW w:w="0" w:type="auto"/>
        <w:tblBorders>
          <w:top w:val="none" w:sz="0" w:space="0" w:color="auto"/>
          <w:bottom w:val="none" w:sz="0" w:space="0" w:color="auto"/>
        </w:tblBorders>
        <w:tblLook w:val="04A0" w:firstRow="1" w:lastRow="0" w:firstColumn="1" w:lastColumn="0" w:noHBand="0" w:noVBand="1"/>
      </w:tblPr>
      <w:tblGrid>
        <w:gridCol w:w="1297"/>
        <w:gridCol w:w="2585"/>
        <w:gridCol w:w="1015"/>
        <w:gridCol w:w="3632"/>
      </w:tblGrid>
      <w:tr w:rsidR="00797607" w:rsidRPr="005A03F9" w:rsidTr="00D3046A">
        <w:tc>
          <w:tcPr>
            <w:tcW w:w="1384" w:type="dxa"/>
          </w:tcPr>
          <w:p w:rsidR="00797607" w:rsidRPr="005A03F9" w:rsidRDefault="00797607" w:rsidP="00B26115">
            <w:pPr>
              <w:spacing w:after="200" w:line="276" w:lineRule="auto"/>
            </w:pPr>
            <w:r w:rsidRPr="005A03F9">
              <w:t>2355A</w:t>
            </w:r>
          </w:p>
        </w:tc>
        <w:tc>
          <w:tcPr>
            <w:tcW w:w="2693" w:type="dxa"/>
          </w:tcPr>
          <w:p w:rsidR="00797607" w:rsidRPr="005A03F9" w:rsidRDefault="00797607" w:rsidP="00B26115">
            <w:pPr>
              <w:spacing w:after="200" w:line="276" w:lineRule="auto"/>
            </w:pPr>
            <w:r w:rsidRPr="005A03F9">
              <w:t xml:space="preserve">GLYCERYL </w:t>
            </w:r>
            <w:proofErr w:type="spellStart"/>
            <w:r w:rsidRPr="005A03F9">
              <w:t>UNDECYLENATE</w:t>
            </w:r>
            <w:proofErr w:type="spellEnd"/>
          </w:p>
        </w:tc>
        <w:tc>
          <w:tcPr>
            <w:tcW w:w="1134" w:type="dxa"/>
          </w:tcPr>
          <w:p w:rsidR="00797607" w:rsidRPr="005A03F9" w:rsidRDefault="00797607" w:rsidP="00B26115">
            <w:pPr>
              <w:spacing w:after="200" w:line="276" w:lineRule="auto"/>
            </w:pPr>
            <w:r w:rsidRPr="005A03F9">
              <w:t>E</w:t>
            </w:r>
          </w:p>
        </w:tc>
        <w:tc>
          <w:tcPr>
            <w:tcW w:w="4031" w:type="dxa"/>
          </w:tcPr>
          <w:p w:rsidR="001408BE" w:rsidRPr="005A03F9" w:rsidRDefault="00797607" w:rsidP="00B26115">
            <w:pPr>
              <w:spacing w:after="200" w:line="276" w:lineRule="auto"/>
            </w:pPr>
            <w:r w:rsidRPr="005A03F9">
              <w:t>Only for use in topical medicines for dermal application and not to be included in medicines intended for use in the eye or on damaged skin.</w:t>
            </w:r>
          </w:p>
          <w:p w:rsidR="00797607" w:rsidRPr="005A03F9" w:rsidRDefault="00797607" w:rsidP="0010308C">
            <w:pPr>
              <w:spacing w:after="200" w:line="276" w:lineRule="auto"/>
            </w:pPr>
            <w:r w:rsidRPr="005A03F9">
              <w:t xml:space="preserve">The concentration of glyceryl </w:t>
            </w:r>
            <w:proofErr w:type="spellStart"/>
            <w:r w:rsidRPr="005A03F9">
              <w:t>undecylenate</w:t>
            </w:r>
            <w:proofErr w:type="spellEnd"/>
            <w:r w:rsidRPr="005A03F9">
              <w:t xml:space="preserve"> in </w:t>
            </w:r>
            <w:r w:rsidR="0010308C" w:rsidRPr="005A03F9">
              <w:t>a</w:t>
            </w:r>
            <w:r w:rsidRPr="005A03F9">
              <w:t xml:space="preserve"> medicine must be no more than 3%.</w:t>
            </w:r>
          </w:p>
        </w:tc>
      </w:tr>
    </w:tbl>
    <w:p w:rsidR="00797607" w:rsidRPr="005A03F9" w:rsidRDefault="00053F8F" w:rsidP="00797607">
      <w:pPr>
        <w:pStyle w:val="ItemHead"/>
      </w:pPr>
      <w:r w:rsidRPr="005A03F9">
        <w:t>3</w:t>
      </w:r>
      <w:r w:rsidR="005578FA" w:rsidRPr="005A03F9">
        <w:t>2</w:t>
      </w:r>
      <w:r w:rsidR="00797607" w:rsidRPr="005A03F9">
        <w:t xml:space="preserve">  Table 1 in Part</w:t>
      </w:r>
      <w:r w:rsidR="005A03F9" w:rsidRPr="005A03F9">
        <w:t> </w:t>
      </w:r>
      <w:r w:rsidR="00797607" w:rsidRPr="005A03F9">
        <w:t>2 of Sc</w:t>
      </w:r>
      <w:r w:rsidRPr="005A03F9">
        <w:t>hedule</w:t>
      </w:r>
      <w:r w:rsidR="005A03F9" w:rsidRPr="005A03F9">
        <w:t> </w:t>
      </w:r>
      <w:r w:rsidRPr="005A03F9">
        <w:t>1 (cell at table item</w:t>
      </w:r>
      <w:r w:rsidR="005A03F9" w:rsidRPr="005A03F9">
        <w:t> </w:t>
      </w:r>
      <w:r w:rsidRPr="005A03F9">
        <w:t>2874</w:t>
      </w:r>
      <w:r w:rsidR="00797607" w:rsidRPr="005A03F9">
        <w:t>, column 4)</w:t>
      </w:r>
    </w:p>
    <w:p w:rsidR="00797607" w:rsidRPr="005A03F9" w:rsidRDefault="00797607" w:rsidP="00797607">
      <w:pPr>
        <w:pStyle w:val="Item"/>
      </w:pPr>
      <w:r w:rsidRPr="005A03F9">
        <w:t>Repeal the cell, substitute:</w:t>
      </w:r>
    </w:p>
    <w:p w:rsidR="00575AFE" w:rsidRPr="005A03F9" w:rsidRDefault="00575AFE" w:rsidP="00575AFE">
      <w:pPr>
        <w:pStyle w:val="Tabletext"/>
      </w:pPr>
    </w:p>
    <w:tbl>
      <w:tblPr>
        <w:tblW w:w="0" w:type="auto"/>
        <w:tblInd w:w="817" w:type="dxa"/>
        <w:tblBorders>
          <w:insideH w:val="single" w:sz="4" w:space="0" w:color="auto"/>
        </w:tblBorders>
        <w:tblLayout w:type="fixed"/>
        <w:tblLook w:val="0000" w:firstRow="0" w:lastRow="0" w:firstColumn="0" w:lastColumn="0" w:noHBand="0" w:noVBand="0"/>
      </w:tblPr>
      <w:tblGrid>
        <w:gridCol w:w="3799"/>
      </w:tblGrid>
      <w:tr w:rsidR="00D3046A" w:rsidRPr="005A03F9" w:rsidTr="00D3046A">
        <w:tc>
          <w:tcPr>
            <w:tcW w:w="3799" w:type="dxa"/>
            <w:shd w:val="clear" w:color="auto" w:fill="auto"/>
          </w:tcPr>
          <w:p w:rsidR="00D3046A" w:rsidRPr="005A03F9" w:rsidRDefault="00D3046A" w:rsidP="00B26115">
            <w:pPr>
              <w:spacing w:after="200" w:line="276" w:lineRule="auto"/>
            </w:pPr>
            <w:r w:rsidRPr="005A03F9">
              <w:t xml:space="preserve">Camphor is a mandatory component of </w:t>
            </w:r>
            <w:proofErr w:type="spellStart"/>
            <w:r w:rsidRPr="005A03F9">
              <w:t>Lavandula</w:t>
            </w:r>
            <w:proofErr w:type="spellEnd"/>
            <w:r w:rsidRPr="005A03F9">
              <w:t xml:space="preserve"> </w:t>
            </w:r>
            <w:proofErr w:type="spellStart"/>
            <w:r w:rsidRPr="005A03F9">
              <w:t>angustifolia</w:t>
            </w:r>
            <w:proofErr w:type="spellEnd"/>
            <w:r w:rsidRPr="005A03F9">
              <w:t>.</w:t>
            </w:r>
          </w:p>
          <w:p w:rsidR="00D3046A" w:rsidRPr="005A03F9" w:rsidRDefault="00D3046A" w:rsidP="00B26115">
            <w:pPr>
              <w:spacing w:after="200" w:line="276" w:lineRule="auto"/>
            </w:pPr>
            <w:r w:rsidRPr="005A03F9">
              <w:t>In solid and semi solid preparations, the concentration of camphor must be no more than 12.5%.</w:t>
            </w:r>
          </w:p>
          <w:p w:rsidR="00D3046A" w:rsidRPr="005A03F9" w:rsidRDefault="00D3046A" w:rsidP="00B26115">
            <w:pPr>
              <w:spacing w:after="200" w:line="276" w:lineRule="auto"/>
            </w:pPr>
            <w:r w:rsidRPr="005A03F9">
              <w:t>In liquid preparations other than essential oils, the concentration of camphor must be no more than 2.5%.</w:t>
            </w:r>
          </w:p>
          <w:p w:rsidR="00D3046A" w:rsidRPr="005A03F9" w:rsidRDefault="00D3046A" w:rsidP="00B26115">
            <w:pPr>
              <w:spacing w:after="200" w:line="276" w:lineRule="auto"/>
            </w:pPr>
            <w:r w:rsidRPr="005A03F9">
              <w:t>In essential oil preparations, if the concentration of camphor is more than 2.5% but less than or equal to 10%, and the nominal capacity of the container is less than 25 millilitres, the medicine must have a restricted flow insert fitted on the container and include the following warning statements on the medicine label:</w:t>
            </w:r>
          </w:p>
          <w:p w:rsidR="00D3046A" w:rsidRPr="005A03F9" w:rsidRDefault="005A03F9" w:rsidP="00B26115">
            <w:pPr>
              <w:spacing w:after="200" w:line="276" w:lineRule="auto"/>
            </w:pPr>
            <w:r>
              <w:rPr>
                <w:rFonts w:cs="Times New Roman"/>
              </w:rPr>
              <w:noBreakHyphen/>
            </w:r>
            <w:r w:rsidR="00D3046A" w:rsidRPr="005A03F9">
              <w:rPr>
                <w:rFonts w:cs="Times New Roman"/>
              </w:rPr>
              <w:t xml:space="preserve"> </w:t>
            </w:r>
            <w:r w:rsidR="00D3046A" w:rsidRPr="005A03F9">
              <w:t>(CHILD) 'Keep out of reach of children' (or words to that effect); and</w:t>
            </w:r>
          </w:p>
          <w:p w:rsidR="00D3046A" w:rsidRPr="005A03F9" w:rsidRDefault="005A03F9" w:rsidP="00B26115">
            <w:pPr>
              <w:spacing w:after="200" w:line="276" w:lineRule="auto"/>
            </w:pPr>
            <w:r>
              <w:rPr>
                <w:rFonts w:cs="Times New Roman"/>
              </w:rPr>
              <w:noBreakHyphen/>
            </w:r>
            <w:r w:rsidR="00D3046A" w:rsidRPr="005A03F9">
              <w:rPr>
                <w:rFonts w:cs="Times New Roman"/>
              </w:rPr>
              <w:t xml:space="preserve"> </w:t>
            </w:r>
            <w:r w:rsidR="00D3046A" w:rsidRPr="005A03F9">
              <w:t>(</w:t>
            </w:r>
            <w:proofErr w:type="spellStart"/>
            <w:r w:rsidR="00D3046A" w:rsidRPr="005A03F9">
              <w:t>NTAKEN</w:t>
            </w:r>
            <w:proofErr w:type="spellEnd"/>
            <w:r w:rsidR="00D3046A" w:rsidRPr="005A03F9">
              <w:t>) 'Not to be taken'.</w:t>
            </w:r>
          </w:p>
          <w:p w:rsidR="00D3046A" w:rsidRPr="005A03F9" w:rsidRDefault="00D3046A" w:rsidP="00B26115">
            <w:pPr>
              <w:spacing w:after="200" w:line="276" w:lineRule="auto"/>
            </w:pPr>
            <w:r w:rsidRPr="005A03F9">
              <w:t>In essential oil preparations, if the concentration of camphor is more than 10%, and the nominal capacity of the container is less than 15 millilitres, the medicine must have a restricted flow insert fitted on the container and include the following warning statements on the medicine label:</w:t>
            </w:r>
          </w:p>
          <w:p w:rsidR="00D3046A" w:rsidRPr="005A03F9" w:rsidRDefault="005A03F9" w:rsidP="00B26115">
            <w:pPr>
              <w:spacing w:after="200" w:line="276" w:lineRule="auto"/>
            </w:pPr>
            <w:r>
              <w:rPr>
                <w:rFonts w:cs="Times New Roman"/>
              </w:rPr>
              <w:noBreakHyphen/>
            </w:r>
            <w:r w:rsidR="00D3046A" w:rsidRPr="005A03F9">
              <w:rPr>
                <w:rFonts w:cs="Times New Roman"/>
              </w:rPr>
              <w:t xml:space="preserve"> </w:t>
            </w:r>
            <w:r w:rsidR="00D3046A" w:rsidRPr="005A03F9">
              <w:t>(CHILD) 'Keep out of reach of children' (or words to that effect); and</w:t>
            </w:r>
          </w:p>
          <w:p w:rsidR="00D3046A" w:rsidRPr="005A03F9" w:rsidRDefault="005A03F9" w:rsidP="00B26115">
            <w:pPr>
              <w:spacing w:after="200" w:line="276" w:lineRule="auto"/>
            </w:pPr>
            <w:r>
              <w:rPr>
                <w:rFonts w:cs="Times New Roman"/>
              </w:rPr>
              <w:noBreakHyphen/>
            </w:r>
            <w:r w:rsidR="00D3046A" w:rsidRPr="005A03F9">
              <w:rPr>
                <w:rFonts w:cs="Times New Roman"/>
              </w:rPr>
              <w:t xml:space="preserve"> </w:t>
            </w:r>
            <w:r w:rsidR="00D3046A" w:rsidRPr="005A03F9">
              <w:t>(</w:t>
            </w:r>
            <w:proofErr w:type="spellStart"/>
            <w:r w:rsidR="00D3046A" w:rsidRPr="005A03F9">
              <w:t>NTAKEN</w:t>
            </w:r>
            <w:proofErr w:type="spellEnd"/>
            <w:r w:rsidR="00D3046A" w:rsidRPr="005A03F9">
              <w:t>) 'Not to be taken'.</w:t>
            </w:r>
          </w:p>
          <w:p w:rsidR="00D3046A" w:rsidRPr="005A03F9" w:rsidRDefault="00D3046A" w:rsidP="00B26115">
            <w:pPr>
              <w:spacing w:after="200" w:line="276" w:lineRule="auto"/>
            </w:pPr>
            <w:r w:rsidRPr="005A03F9">
              <w:t>In essential oil preparations, if the concentration of camphor is more than 10%, and the nominal capacity of the container is more than 15 millilitres but less than or equal to 25 millilitres, the medicine must have a restricted flow insert and child resistant closure fitted on the container and include the following warning statements on the medicine label:</w:t>
            </w:r>
          </w:p>
          <w:p w:rsidR="00D3046A" w:rsidRPr="005A03F9" w:rsidRDefault="005A03F9" w:rsidP="00B26115">
            <w:pPr>
              <w:spacing w:after="200" w:line="276" w:lineRule="auto"/>
            </w:pPr>
            <w:r>
              <w:rPr>
                <w:rFonts w:cs="Times New Roman"/>
              </w:rPr>
              <w:noBreakHyphen/>
            </w:r>
            <w:r w:rsidR="00D3046A" w:rsidRPr="005A03F9">
              <w:rPr>
                <w:rFonts w:cs="Times New Roman"/>
              </w:rPr>
              <w:t xml:space="preserve"> </w:t>
            </w:r>
            <w:r w:rsidR="00D3046A" w:rsidRPr="005A03F9">
              <w:t>(CHILD) 'Keep out of reach of children' (or words to that effect); and</w:t>
            </w:r>
          </w:p>
          <w:p w:rsidR="00D3046A" w:rsidRPr="005A03F9" w:rsidRDefault="005A03F9" w:rsidP="00B26115">
            <w:pPr>
              <w:spacing w:after="200" w:line="276" w:lineRule="auto"/>
            </w:pPr>
            <w:r>
              <w:rPr>
                <w:rFonts w:cs="Times New Roman"/>
              </w:rPr>
              <w:noBreakHyphen/>
            </w:r>
            <w:r w:rsidR="00D3046A" w:rsidRPr="005A03F9">
              <w:rPr>
                <w:rFonts w:cs="Times New Roman"/>
              </w:rPr>
              <w:t xml:space="preserve"> </w:t>
            </w:r>
            <w:r w:rsidR="00D3046A" w:rsidRPr="005A03F9">
              <w:t>(</w:t>
            </w:r>
            <w:proofErr w:type="spellStart"/>
            <w:r w:rsidR="00D3046A" w:rsidRPr="005A03F9">
              <w:t>NTAKEN</w:t>
            </w:r>
            <w:proofErr w:type="spellEnd"/>
            <w:r w:rsidR="00D3046A" w:rsidRPr="005A03F9">
              <w:t>) 'Not to be taken'.</w:t>
            </w:r>
          </w:p>
        </w:tc>
      </w:tr>
    </w:tbl>
    <w:p w:rsidR="00797607" w:rsidRPr="005A03F9" w:rsidRDefault="005578FA" w:rsidP="00797607">
      <w:pPr>
        <w:pStyle w:val="ItemHead"/>
      </w:pPr>
      <w:r w:rsidRPr="005A03F9">
        <w:t>33</w:t>
      </w:r>
      <w:r w:rsidR="00797607" w:rsidRPr="005A03F9">
        <w:t xml:space="preserve">  Table 1 in Part</w:t>
      </w:r>
      <w:r w:rsidR="005A03F9" w:rsidRPr="005A03F9">
        <w:t> </w:t>
      </w:r>
      <w:r w:rsidR="00797607" w:rsidRPr="005A03F9">
        <w:t>2 of Sc</w:t>
      </w:r>
      <w:r w:rsidR="00367D94" w:rsidRPr="005A03F9">
        <w:t>hedule</w:t>
      </w:r>
      <w:r w:rsidR="005A03F9" w:rsidRPr="005A03F9">
        <w:t> </w:t>
      </w:r>
      <w:r w:rsidR="00367D94" w:rsidRPr="005A03F9">
        <w:t>1 (cell at table item</w:t>
      </w:r>
      <w:r w:rsidR="005A03F9" w:rsidRPr="005A03F9">
        <w:t> </w:t>
      </w:r>
      <w:r w:rsidR="00367D94" w:rsidRPr="005A03F9">
        <w:t>2876</w:t>
      </w:r>
      <w:r w:rsidR="00797607" w:rsidRPr="005A03F9">
        <w:t>, column 4)</w:t>
      </w:r>
    </w:p>
    <w:p w:rsidR="00797607" w:rsidRPr="005A03F9" w:rsidRDefault="00797607" w:rsidP="00797607">
      <w:pPr>
        <w:pStyle w:val="Item"/>
      </w:pPr>
      <w:r w:rsidRPr="005A03F9">
        <w:t>Repeal the cell, substitute:</w:t>
      </w:r>
    </w:p>
    <w:p w:rsidR="00575AFE" w:rsidRPr="005A03F9" w:rsidRDefault="00575AFE" w:rsidP="00575AFE">
      <w:pPr>
        <w:pStyle w:val="Tabletext"/>
      </w:pPr>
    </w:p>
    <w:tbl>
      <w:tblPr>
        <w:tblW w:w="0" w:type="auto"/>
        <w:tblInd w:w="817" w:type="dxa"/>
        <w:tblBorders>
          <w:insideH w:val="single" w:sz="4" w:space="0" w:color="auto"/>
        </w:tblBorders>
        <w:tblLayout w:type="fixed"/>
        <w:tblLook w:val="0000" w:firstRow="0" w:lastRow="0" w:firstColumn="0" w:lastColumn="0" w:noHBand="0" w:noVBand="0"/>
      </w:tblPr>
      <w:tblGrid>
        <w:gridCol w:w="3799"/>
      </w:tblGrid>
      <w:tr w:rsidR="00D3046A" w:rsidRPr="005A03F9" w:rsidTr="00D3046A">
        <w:tc>
          <w:tcPr>
            <w:tcW w:w="3799" w:type="dxa"/>
            <w:shd w:val="clear" w:color="auto" w:fill="auto"/>
          </w:tcPr>
          <w:p w:rsidR="00D3046A" w:rsidRPr="005A03F9" w:rsidRDefault="00D3046A" w:rsidP="00B26115">
            <w:pPr>
              <w:spacing w:after="200" w:line="276" w:lineRule="auto"/>
            </w:pPr>
            <w:r w:rsidRPr="005A03F9">
              <w:t xml:space="preserve">Camphor is a mandatory component of </w:t>
            </w:r>
            <w:proofErr w:type="spellStart"/>
            <w:r w:rsidRPr="005A03F9">
              <w:t>Lavandula</w:t>
            </w:r>
            <w:proofErr w:type="spellEnd"/>
            <w:r w:rsidRPr="005A03F9">
              <w:t xml:space="preserve"> x intermedia.</w:t>
            </w:r>
          </w:p>
          <w:p w:rsidR="00D3046A" w:rsidRPr="005A03F9" w:rsidRDefault="00D3046A" w:rsidP="00B26115">
            <w:pPr>
              <w:spacing w:after="200" w:line="276" w:lineRule="auto"/>
            </w:pPr>
            <w:r w:rsidRPr="005A03F9">
              <w:t>In solid and semi solid preparations, the concentration of camphor must be no more than 12.5%.</w:t>
            </w:r>
          </w:p>
          <w:p w:rsidR="00D3046A" w:rsidRPr="005A03F9" w:rsidRDefault="00D3046A" w:rsidP="00B26115">
            <w:pPr>
              <w:spacing w:after="200" w:line="276" w:lineRule="auto"/>
            </w:pPr>
            <w:r w:rsidRPr="005A03F9">
              <w:t>In liquid preparations other than essential oils, the concentration of camphor must be no more than 2.5%.</w:t>
            </w:r>
          </w:p>
          <w:p w:rsidR="00D3046A" w:rsidRPr="005A03F9" w:rsidRDefault="00D3046A" w:rsidP="00B26115">
            <w:pPr>
              <w:spacing w:after="200" w:line="276" w:lineRule="auto"/>
            </w:pPr>
            <w:r w:rsidRPr="005A03F9">
              <w:t>In essential oil preparations, if the concentration of camphor is more than 2.5% but less than or equal to 10%, and the nominal capacity of the container is less than 25 millilitres, the medicine must have a restricted flow insert fitted on the container and include the following warning statements on the medicine label:</w:t>
            </w:r>
          </w:p>
          <w:p w:rsidR="00D3046A" w:rsidRPr="005A03F9" w:rsidRDefault="005A03F9" w:rsidP="00B26115">
            <w:pPr>
              <w:spacing w:after="200" w:line="276" w:lineRule="auto"/>
            </w:pPr>
            <w:r>
              <w:rPr>
                <w:rFonts w:cs="Times New Roman"/>
              </w:rPr>
              <w:noBreakHyphen/>
            </w:r>
            <w:r w:rsidR="00D3046A" w:rsidRPr="005A03F9">
              <w:rPr>
                <w:rFonts w:cs="Times New Roman"/>
              </w:rPr>
              <w:t xml:space="preserve"> </w:t>
            </w:r>
            <w:r w:rsidR="00D3046A" w:rsidRPr="005A03F9">
              <w:t>(CHILD) 'Keep out of reach of children' (or words to that effect); and</w:t>
            </w:r>
          </w:p>
          <w:p w:rsidR="00D3046A" w:rsidRPr="005A03F9" w:rsidRDefault="005A03F9" w:rsidP="00B26115">
            <w:pPr>
              <w:spacing w:after="200" w:line="276" w:lineRule="auto"/>
            </w:pPr>
            <w:r>
              <w:rPr>
                <w:rFonts w:cs="Times New Roman"/>
              </w:rPr>
              <w:noBreakHyphen/>
            </w:r>
            <w:r w:rsidR="00D3046A" w:rsidRPr="005A03F9">
              <w:rPr>
                <w:rFonts w:cs="Times New Roman"/>
              </w:rPr>
              <w:t xml:space="preserve"> </w:t>
            </w:r>
            <w:r w:rsidR="00D3046A" w:rsidRPr="005A03F9">
              <w:t>(</w:t>
            </w:r>
            <w:proofErr w:type="spellStart"/>
            <w:r w:rsidR="00D3046A" w:rsidRPr="005A03F9">
              <w:t>NTAKEN</w:t>
            </w:r>
            <w:proofErr w:type="spellEnd"/>
            <w:r w:rsidR="00D3046A" w:rsidRPr="005A03F9">
              <w:t>) 'Not to be taken'.</w:t>
            </w:r>
          </w:p>
          <w:p w:rsidR="00D3046A" w:rsidRPr="005A03F9" w:rsidRDefault="00D3046A" w:rsidP="00B26115">
            <w:pPr>
              <w:spacing w:after="200" w:line="276" w:lineRule="auto"/>
            </w:pPr>
            <w:r w:rsidRPr="005A03F9">
              <w:t>In essential oil preparations, if the concentration of camphor is more than 10%, and the nominal capacity of the container is less than 15 millilitres, the medicine must have a restricted flow insert fitted on the container and include the following warning statements on the medicine label:</w:t>
            </w:r>
          </w:p>
          <w:p w:rsidR="00D3046A" w:rsidRPr="005A03F9" w:rsidRDefault="005A03F9" w:rsidP="00B26115">
            <w:pPr>
              <w:spacing w:after="200" w:line="276" w:lineRule="auto"/>
            </w:pPr>
            <w:r>
              <w:rPr>
                <w:rFonts w:cs="Times New Roman"/>
              </w:rPr>
              <w:noBreakHyphen/>
            </w:r>
            <w:r w:rsidR="00D3046A" w:rsidRPr="005A03F9">
              <w:rPr>
                <w:rFonts w:cs="Times New Roman"/>
              </w:rPr>
              <w:t xml:space="preserve"> </w:t>
            </w:r>
            <w:r w:rsidR="00D3046A" w:rsidRPr="005A03F9">
              <w:t>(CHILD) 'Keep out of reach of children' (or words to that effect); and</w:t>
            </w:r>
          </w:p>
          <w:p w:rsidR="00D3046A" w:rsidRPr="005A03F9" w:rsidRDefault="005A03F9" w:rsidP="00B26115">
            <w:pPr>
              <w:spacing w:after="200" w:line="276" w:lineRule="auto"/>
            </w:pPr>
            <w:r>
              <w:rPr>
                <w:rFonts w:cs="Times New Roman"/>
              </w:rPr>
              <w:noBreakHyphen/>
            </w:r>
            <w:r w:rsidR="00D3046A" w:rsidRPr="005A03F9">
              <w:rPr>
                <w:rFonts w:cs="Times New Roman"/>
              </w:rPr>
              <w:t xml:space="preserve"> </w:t>
            </w:r>
            <w:r w:rsidR="00D3046A" w:rsidRPr="005A03F9">
              <w:t>(</w:t>
            </w:r>
            <w:proofErr w:type="spellStart"/>
            <w:r w:rsidR="00D3046A" w:rsidRPr="005A03F9">
              <w:t>NTAKEN</w:t>
            </w:r>
            <w:proofErr w:type="spellEnd"/>
            <w:r w:rsidR="00D3046A" w:rsidRPr="005A03F9">
              <w:t>) 'Not to be taken'.</w:t>
            </w:r>
          </w:p>
          <w:p w:rsidR="00D3046A" w:rsidRPr="005A03F9" w:rsidRDefault="00D3046A" w:rsidP="00B26115">
            <w:pPr>
              <w:spacing w:after="200" w:line="276" w:lineRule="auto"/>
            </w:pPr>
            <w:r w:rsidRPr="005A03F9">
              <w:t>In essential oil preparations, if the concentration of camphor is more than 10%, and the nominal capacity of the container is more than 15 millilitres but less than or equal to 25 millilitres, the medicine must have a restricted flow insert and child resistant closure fitted on the container and include the following warning statements on the medicine label:</w:t>
            </w:r>
          </w:p>
          <w:p w:rsidR="00D3046A" w:rsidRPr="005A03F9" w:rsidRDefault="005A03F9" w:rsidP="00B26115">
            <w:pPr>
              <w:spacing w:after="200" w:line="276" w:lineRule="auto"/>
            </w:pPr>
            <w:r>
              <w:rPr>
                <w:rFonts w:cs="Times New Roman"/>
              </w:rPr>
              <w:noBreakHyphen/>
            </w:r>
            <w:r w:rsidR="00D3046A" w:rsidRPr="005A03F9">
              <w:rPr>
                <w:rFonts w:cs="Times New Roman"/>
              </w:rPr>
              <w:t xml:space="preserve"> </w:t>
            </w:r>
            <w:r w:rsidR="00D3046A" w:rsidRPr="005A03F9">
              <w:t>(CHILD) 'Keep out of reach of children' (or words to that effect); and</w:t>
            </w:r>
          </w:p>
          <w:p w:rsidR="00D3046A" w:rsidRPr="005A03F9" w:rsidRDefault="005A03F9" w:rsidP="00B26115">
            <w:pPr>
              <w:spacing w:after="200" w:line="276" w:lineRule="auto"/>
            </w:pPr>
            <w:r>
              <w:rPr>
                <w:rFonts w:cs="Times New Roman"/>
              </w:rPr>
              <w:noBreakHyphen/>
            </w:r>
            <w:r w:rsidR="00D3046A" w:rsidRPr="005A03F9">
              <w:rPr>
                <w:rFonts w:cs="Times New Roman"/>
              </w:rPr>
              <w:t xml:space="preserve"> </w:t>
            </w:r>
            <w:r w:rsidR="00D3046A" w:rsidRPr="005A03F9">
              <w:t>(</w:t>
            </w:r>
            <w:proofErr w:type="spellStart"/>
            <w:r w:rsidR="00D3046A" w:rsidRPr="005A03F9">
              <w:t>NTAKEN</w:t>
            </w:r>
            <w:proofErr w:type="spellEnd"/>
            <w:r w:rsidR="00D3046A" w:rsidRPr="005A03F9">
              <w:t>) 'Not to be taken'.</w:t>
            </w:r>
          </w:p>
        </w:tc>
      </w:tr>
    </w:tbl>
    <w:p w:rsidR="00367D94" w:rsidRPr="005A03F9" w:rsidRDefault="00CF630A" w:rsidP="00367D94">
      <w:pPr>
        <w:pStyle w:val="ItemHead"/>
      </w:pPr>
      <w:r w:rsidRPr="005A03F9">
        <w:t>3</w:t>
      </w:r>
      <w:r w:rsidR="005578FA" w:rsidRPr="005A03F9">
        <w:t>4</w:t>
      </w:r>
      <w:r w:rsidR="00367D94" w:rsidRPr="005A03F9">
        <w:t xml:space="preserve">  Table 1 in Part</w:t>
      </w:r>
      <w:r w:rsidR="005A03F9" w:rsidRPr="005A03F9">
        <w:t> </w:t>
      </w:r>
      <w:r w:rsidR="00367D94" w:rsidRPr="005A03F9">
        <w:t>2 of Sc</w:t>
      </w:r>
      <w:r w:rsidRPr="005A03F9">
        <w:t>hedule</w:t>
      </w:r>
      <w:r w:rsidR="005A03F9" w:rsidRPr="005A03F9">
        <w:t> </w:t>
      </w:r>
      <w:r w:rsidRPr="005A03F9">
        <w:t>1 (cell at table item</w:t>
      </w:r>
      <w:r w:rsidR="005A03F9" w:rsidRPr="005A03F9">
        <w:t> </w:t>
      </w:r>
      <w:r w:rsidRPr="005A03F9">
        <w:t>2877</w:t>
      </w:r>
      <w:r w:rsidR="00367D94" w:rsidRPr="005A03F9">
        <w:t>, column 4)</w:t>
      </w:r>
    </w:p>
    <w:p w:rsidR="00367D94" w:rsidRPr="005A03F9" w:rsidRDefault="00367D94" w:rsidP="00367D94">
      <w:pPr>
        <w:pStyle w:val="Item"/>
      </w:pPr>
      <w:r w:rsidRPr="005A03F9">
        <w:t>Repeal the cell, substitute:</w:t>
      </w:r>
    </w:p>
    <w:p w:rsidR="00575AFE" w:rsidRPr="005A03F9" w:rsidRDefault="00575AFE" w:rsidP="00575AFE">
      <w:pPr>
        <w:pStyle w:val="Tabletext"/>
      </w:pPr>
    </w:p>
    <w:tbl>
      <w:tblPr>
        <w:tblW w:w="0" w:type="auto"/>
        <w:tblInd w:w="817" w:type="dxa"/>
        <w:tblBorders>
          <w:insideH w:val="single" w:sz="4" w:space="0" w:color="auto"/>
        </w:tblBorders>
        <w:tblLayout w:type="fixed"/>
        <w:tblLook w:val="0000" w:firstRow="0" w:lastRow="0" w:firstColumn="0" w:lastColumn="0" w:noHBand="0" w:noVBand="0"/>
      </w:tblPr>
      <w:tblGrid>
        <w:gridCol w:w="3799"/>
      </w:tblGrid>
      <w:tr w:rsidR="00D3046A" w:rsidRPr="005A03F9" w:rsidTr="00D3046A">
        <w:tc>
          <w:tcPr>
            <w:tcW w:w="3799" w:type="dxa"/>
            <w:shd w:val="clear" w:color="auto" w:fill="auto"/>
          </w:tcPr>
          <w:p w:rsidR="00D3046A" w:rsidRPr="005A03F9" w:rsidRDefault="00D3046A" w:rsidP="00B26115">
            <w:pPr>
              <w:spacing w:after="200" w:line="276" w:lineRule="auto"/>
            </w:pPr>
            <w:r w:rsidRPr="005A03F9">
              <w:t>Camphor is a mandatory component of lavender oil.</w:t>
            </w:r>
          </w:p>
          <w:p w:rsidR="00D3046A" w:rsidRPr="005A03F9" w:rsidRDefault="00D3046A" w:rsidP="00B26115">
            <w:pPr>
              <w:spacing w:after="200" w:line="276" w:lineRule="auto"/>
            </w:pPr>
            <w:r w:rsidRPr="005A03F9">
              <w:t>In solid and semi solid preparations, the concentration of camphor must be no more than 12.5%.</w:t>
            </w:r>
          </w:p>
          <w:p w:rsidR="00D3046A" w:rsidRPr="005A03F9" w:rsidRDefault="00D3046A" w:rsidP="00B26115">
            <w:pPr>
              <w:spacing w:after="200" w:line="276" w:lineRule="auto"/>
            </w:pPr>
            <w:r w:rsidRPr="005A03F9">
              <w:t>In liquid preparations other than essential oils, the concentration of camphor must be no more than 2.5%.</w:t>
            </w:r>
          </w:p>
          <w:p w:rsidR="00D3046A" w:rsidRPr="005A03F9" w:rsidRDefault="00D3046A" w:rsidP="00B26115">
            <w:pPr>
              <w:spacing w:after="200" w:line="276" w:lineRule="auto"/>
            </w:pPr>
            <w:r w:rsidRPr="005A03F9">
              <w:t>In essential oil preparations, if the concentration of camphor is more than 2.5% but less than or equal to 10%, and the nominal capacity of the container is less than 25 millilitres, the medicine must have a restricted flow insert fitted on the container and include the following warning statements on the medicine label:</w:t>
            </w:r>
          </w:p>
          <w:p w:rsidR="00D3046A" w:rsidRPr="005A03F9" w:rsidRDefault="005A03F9" w:rsidP="00B26115">
            <w:pPr>
              <w:spacing w:after="200" w:line="276" w:lineRule="auto"/>
            </w:pPr>
            <w:r>
              <w:rPr>
                <w:rFonts w:cs="Times New Roman"/>
              </w:rPr>
              <w:noBreakHyphen/>
            </w:r>
            <w:r w:rsidR="00D3046A" w:rsidRPr="005A03F9">
              <w:rPr>
                <w:rFonts w:cs="Times New Roman"/>
              </w:rPr>
              <w:t xml:space="preserve"> </w:t>
            </w:r>
            <w:r w:rsidR="00D3046A" w:rsidRPr="005A03F9">
              <w:t>(CHILD) 'Keep out of reach of children' (or words to that effect); and</w:t>
            </w:r>
          </w:p>
          <w:p w:rsidR="00D3046A" w:rsidRPr="005A03F9" w:rsidRDefault="005A03F9" w:rsidP="00B26115">
            <w:pPr>
              <w:spacing w:after="200" w:line="276" w:lineRule="auto"/>
            </w:pPr>
            <w:r>
              <w:rPr>
                <w:rFonts w:cs="Times New Roman"/>
              </w:rPr>
              <w:noBreakHyphen/>
            </w:r>
            <w:r w:rsidR="00D3046A" w:rsidRPr="005A03F9">
              <w:rPr>
                <w:rFonts w:cs="Times New Roman"/>
              </w:rPr>
              <w:t xml:space="preserve"> </w:t>
            </w:r>
            <w:r w:rsidR="00D3046A" w:rsidRPr="005A03F9">
              <w:t>(</w:t>
            </w:r>
            <w:proofErr w:type="spellStart"/>
            <w:r w:rsidR="00D3046A" w:rsidRPr="005A03F9">
              <w:t>NTAKEN</w:t>
            </w:r>
            <w:proofErr w:type="spellEnd"/>
            <w:r w:rsidR="00D3046A" w:rsidRPr="005A03F9">
              <w:t>) 'Not to be taken'.</w:t>
            </w:r>
          </w:p>
          <w:p w:rsidR="00D3046A" w:rsidRPr="005A03F9" w:rsidRDefault="00D3046A" w:rsidP="00B26115">
            <w:pPr>
              <w:spacing w:after="200" w:line="276" w:lineRule="auto"/>
            </w:pPr>
            <w:r w:rsidRPr="005A03F9">
              <w:t>In essential oil preparations, if the concentration of camphor is more than 10%, and the nominal capacity of the container is less than 15 millilitres, the medicine must have a restricted flow insert fitted on the container and include the following warning statements on the medicine label:</w:t>
            </w:r>
          </w:p>
          <w:p w:rsidR="00D3046A" w:rsidRPr="005A03F9" w:rsidRDefault="005A03F9" w:rsidP="00B26115">
            <w:pPr>
              <w:spacing w:after="200" w:line="276" w:lineRule="auto"/>
            </w:pPr>
            <w:r>
              <w:rPr>
                <w:rFonts w:cs="Times New Roman"/>
              </w:rPr>
              <w:noBreakHyphen/>
            </w:r>
            <w:r w:rsidR="00D3046A" w:rsidRPr="005A03F9">
              <w:rPr>
                <w:rFonts w:cs="Times New Roman"/>
              </w:rPr>
              <w:t xml:space="preserve"> </w:t>
            </w:r>
            <w:r w:rsidR="00D3046A" w:rsidRPr="005A03F9">
              <w:t>(CHILD) 'Keep out of reach of children' (or words to that effect); and</w:t>
            </w:r>
          </w:p>
          <w:p w:rsidR="00D3046A" w:rsidRPr="005A03F9" w:rsidRDefault="005A03F9" w:rsidP="00B26115">
            <w:pPr>
              <w:spacing w:after="200" w:line="276" w:lineRule="auto"/>
            </w:pPr>
            <w:r>
              <w:rPr>
                <w:rFonts w:cs="Times New Roman"/>
              </w:rPr>
              <w:noBreakHyphen/>
            </w:r>
            <w:r w:rsidR="00D3046A" w:rsidRPr="005A03F9">
              <w:rPr>
                <w:rFonts w:cs="Times New Roman"/>
              </w:rPr>
              <w:t xml:space="preserve"> </w:t>
            </w:r>
            <w:r w:rsidR="00D3046A" w:rsidRPr="005A03F9">
              <w:t>(</w:t>
            </w:r>
            <w:proofErr w:type="spellStart"/>
            <w:r w:rsidR="00D3046A" w:rsidRPr="005A03F9">
              <w:t>NTAKEN</w:t>
            </w:r>
            <w:proofErr w:type="spellEnd"/>
            <w:r w:rsidR="00D3046A" w:rsidRPr="005A03F9">
              <w:t>) 'Not to be taken'.</w:t>
            </w:r>
          </w:p>
          <w:p w:rsidR="00D3046A" w:rsidRPr="005A03F9" w:rsidRDefault="00D3046A" w:rsidP="00B26115">
            <w:pPr>
              <w:spacing w:after="200" w:line="276" w:lineRule="auto"/>
            </w:pPr>
            <w:r w:rsidRPr="005A03F9">
              <w:t>In essential oil preparations, if the concentration of camphor is more than 10%, and the nominal capacity of the container is more than 15 millilitres but less than or equal to 25 millilitres, the medicine must have a restricted flow insert and child resistant closure fitted on the container and include the following warning statements on the medicine label:</w:t>
            </w:r>
          </w:p>
          <w:p w:rsidR="00D3046A" w:rsidRPr="005A03F9" w:rsidRDefault="005A03F9" w:rsidP="00B26115">
            <w:pPr>
              <w:spacing w:after="200" w:line="276" w:lineRule="auto"/>
            </w:pPr>
            <w:r>
              <w:rPr>
                <w:rFonts w:cs="Times New Roman"/>
              </w:rPr>
              <w:noBreakHyphen/>
            </w:r>
            <w:r w:rsidR="00D3046A" w:rsidRPr="005A03F9">
              <w:rPr>
                <w:rFonts w:cs="Times New Roman"/>
              </w:rPr>
              <w:t xml:space="preserve"> </w:t>
            </w:r>
            <w:r w:rsidR="00D3046A" w:rsidRPr="005A03F9">
              <w:t>(CHILD) 'Keep out of reach of children' (or words to that effect); and</w:t>
            </w:r>
          </w:p>
          <w:p w:rsidR="00D3046A" w:rsidRPr="005A03F9" w:rsidRDefault="005A03F9" w:rsidP="00B26115">
            <w:pPr>
              <w:spacing w:after="200" w:line="276" w:lineRule="auto"/>
            </w:pPr>
            <w:r>
              <w:rPr>
                <w:rFonts w:cs="Times New Roman"/>
              </w:rPr>
              <w:noBreakHyphen/>
            </w:r>
            <w:r w:rsidR="00D3046A" w:rsidRPr="005A03F9">
              <w:rPr>
                <w:rFonts w:cs="Times New Roman"/>
              </w:rPr>
              <w:t xml:space="preserve"> </w:t>
            </w:r>
            <w:r w:rsidR="00D3046A" w:rsidRPr="005A03F9">
              <w:t>(</w:t>
            </w:r>
            <w:proofErr w:type="spellStart"/>
            <w:r w:rsidR="00D3046A" w:rsidRPr="005A03F9">
              <w:t>NTAKEN</w:t>
            </w:r>
            <w:proofErr w:type="spellEnd"/>
            <w:r w:rsidR="00D3046A" w:rsidRPr="005A03F9">
              <w:t>) 'Not to be taken'.</w:t>
            </w:r>
          </w:p>
        </w:tc>
      </w:tr>
    </w:tbl>
    <w:p w:rsidR="00367D94" w:rsidRPr="005A03F9" w:rsidRDefault="00604408" w:rsidP="00367D94">
      <w:pPr>
        <w:pStyle w:val="ItemHead"/>
      </w:pPr>
      <w:r w:rsidRPr="005A03F9">
        <w:t>3</w:t>
      </w:r>
      <w:r w:rsidR="005578FA" w:rsidRPr="005A03F9">
        <w:t>5</w:t>
      </w:r>
      <w:r w:rsidR="00367D94" w:rsidRPr="005A03F9">
        <w:t xml:space="preserve">  Table 1 in Part</w:t>
      </w:r>
      <w:r w:rsidR="005A03F9" w:rsidRPr="005A03F9">
        <w:t> </w:t>
      </w:r>
      <w:r w:rsidR="00367D94" w:rsidRPr="005A03F9">
        <w:t>2 of Sc</w:t>
      </w:r>
      <w:r w:rsidRPr="005A03F9">
        <w:t>hedule</w:t>
      </w:r>
      <w:r w:rsidR="005A03F9" w:rsidRPr="005A03F9">
        <w:t> </w:t>
      </w:r>
      <w:r w:rsidRPr="005A03F9">
        <w:t>1 (cell at table item</w:t>
      </w:r>
      <w:r w:rsidR="005A03F9" w:rsidRPr="005A03F9">
        <w:t> </w:t>
      </w:r>
      <w:r w:rsidRPr="005A03F9">
        <w:t>2891</w:t>
      </w:r>
      <w:r w:rsidR="00367D94" w:rsidRPr="005A03F9">
        <w:t>, column 4)</w:t>
      </w:r>
    </w:p>
    <w:p w:rsidR="00367D94" w:rsidRPr="005A03F9" w:rsidRDefault="00367D94" w:rsidP="00367D94">
      <w:pPr>
        <w:pStyle w:val="Item"/>
      </w:pPr>
      <w:r w:rsidRPr="005A03F9">
        <w:t>Repeal the cell, substitute:</w:t>
      </w:r>
    </w:p>
    <w:p w:rsidR="00575AFE" w:rsidRPr="005A03F9" w:rsidRDefault="00575AFE" w:rsidP="00575AFE">
      <w:pPr>
        <w:pStyle w:val="Tabletext"/>
      </w:pPr>
    </w:p>
    <w:tbl>
      <w:tblPr>
        <w:tblW w:w="0" w:type="auto"/>
        <w:tblInd w:w="817" w:type="dxa"/>
        <w:tblBorders>
          <w:insideH w:val="single" w:sz="4" w:space="0" w:color="auto"/>
        </w:tblBorders>
        <w:tblLayout w:type="fixed"/>
        <w:tblLook w:val="0000" w:firstRow="0" w:lastRow="0" w:firstColumn="0" w:lastColumn="0" w:noHBand="0" w:noVBand="0"/>
      </w:tblPr>
      <w:tblGrid>
        <w:gridCol w:w="3799"/>
      </w:tblGrid>
      <w:tr w:rsidR="00D3046A" w:rsidRPr="005A03F9" w:rsidTr="00D3046A">
        <w:tc>
          <w:tcPr>
            <w:tcW w:w="3799" w:type="dxa"/>
            <w:shd w:val="clear" w:color="auto" w:fill="auto"/>
          </w:tcPr>
          <w:p w:rsidR="00D3046A" w:rsidRPr="005A03F9" w:rsidRDefault="00D3046A" w:rsidP="00B26115">
            <w:pPr>
              <w:spacing w:after="200" w:line="276" w:lineRule="auto"/>
            </w:pPr>
            <w:r w:rsidRPr="005A03F9">
              <w:t xml:space="preserve">When used internally, </w:t>
            </w:r>
            <w:proofErr w:type="spellStart"/>
            <w:r w:rsidRPr="005A03F9">
              <w:t>oxedrine</w:t>
            </w:r>
            <w:proofErr w:type="spellEnd"/>
            <w:r w:rsidRPr="005A03F9">
              <w:t xml:space="preserve"> is a mandatory component of lemon.</w:t>
            </w:r>
          </w:p>
          <w:p w:rsidR="00D3046A" w:rsidRPr="005A03F9" w:rsidRDefault="00D3046A" w:rsidP="00B26115">
            <w:pPr>
              <w:spacing w:after="200" w:line="276" w:lineRule="auto"/>
            </w:pPr>
            <w:r w:rsidRPr="005A03F9">
              <w:t xml:space="preserve">The quantity of </w:t>
            </w:r>
            <w:proofErr w:type="spellStart"/>
            <w:r w:rsidRPr="005A03F9">
              <w:t>oxedrine</w:t>
            </w:r>
            <w:proofErr w:type="spellEnd"/>
            <w:r w:rsidRPr="005A03F9">
              <w:t xml:space="preserve"> in the maximum recommended daily dose must be no more than 30 milligrams.</w:t>
            </w:r>
          </w:p>
        </w:tc>
      </w:tr>
    </w:tbl>
    <w:p w:rsidR="00CF630A" w:rsidRPr="005A03F9" w:rsidRDefault="005578FA" w:rsidP="00CF630A">
      <w:pPr>
        <w:pStyle w:val="ItemHead"/>
      </w:pPr>
      <w:r w:rsidRPr="005A03F9">
        <w:t>36</w:t>
      </w:r>
      <w:r w:rsidR="00CF630A" w:rsidRPr="005A03F9">
        <w:t xml:space="preserve">  Table 1 in Part</w:t>
      </w:r>
      <w:r w:rsidR="005A03F9" w:rsidRPr="005A03F9">
        <w:t> </w:t>
      </w:r>
      <w:r w:rsidR="00CF630A" w:rsidRPr="005A03F9">
        <w:t>2 of Sc</w:t>
      </w:r>
      <w:r w:rsidR="00604408" w:rsidRPr="005A03F9">
        <w:t>hedule</w:t>
      </w:r>
      <w:r w:rsidR="005A03F9" w:rsidRPr="005A03F9">
        <w:t> </w:t>
      </w:r>
      <w:r w:rsidR="00604408" w:rsidRPr="005A03F9">
        <w:t>1 (cell at table item</w:t>
      </w:r>
      <w:r w:rsidR="005A03F9" w:rsidRPr="005A03F9">
        <w:t> </w:t>
      </w:r>
      <w:r w:rsidR="00604408" w:rsidRPr="005A03F9">
        <w:t>2894</w:t>
      </w:r>
      <w:r w:rsidR="00CF630A" w:rsidRPr="005A03F9">
        <w:t>, column 4)</w:t>
      </w:r>
    </w:p>
    <w:p w:rsidR="00CF630A" w:rsidRPr="005A03F9" w:rsidRDefault="00CF630A" w:rsidP="00CF630A">
      <w:pPr>
        <w:pStyle w:val="Item"/>
      </w:pPr>
      <w:r w:rsidRPr="005A03F9">
        <w:t>Repeal the cell, substitute:</w:t>
      </w:r>
    </w:p>
    <w:p w:rsidR="00575AFE" w:rsidRPr="005A03F9" w:rsidRDefault="00575AFE" w:rsidP="00575AFE">
      <w:pPr>
        <w:pStyle w:val="Tabletext"/>
      </w:pPr>
    </w:p>
    <w:tbl>
      <w:tblPr>
        <w:tblW w:w="0" w:type="auto"/>
        <w:tblInd w:w="817" w:type="dxa"/>
        <w:tblBorders>
          <w:insideH w:val="single" w:sz="4" w:space="0" w:color="auto"/>
        </w:tblBorders>
        <w:tblLayout w:type="fixed"/>
        <w:tblLook w:val="0000" w:firstRow="0" w:lastRow="0" w:firstColumn="0" w:lastColumn="0" w:noHBand="0" w:noVBand="0"/>
      </w:tblPr>
      <w:tblGrid>
        <w:gridCol w:w="3799"/>
      </w:tblGrid>
      <w:tr w:rsidR="00D3046A" w:rsidRPr="005A03F9" w:rsidTr="00D3046A">
        <w:tc>
          <w:tcPr>
            <w:tcW w:w="3799" w:type="dxa"/>
            <w:shd w:val="clear" w:color="auto" w:fill="auto"/>
          </w:tcPr>
          <w:p w:rsidR="00D3046A" w:rsidRPr="005A03F9" w:rsidRDefault="00D3046A" w:rsidP="00C15397">
            <w:pPr>
              <w:spacing w:after="200" w:line="276" w:lineRule="auto"/>
            </w:pPr>
            <w:r w:rsidRPr="005A03F9">
              <w:t xml:space="preserve">When used internally, </w:t>
            </w:r>
            <w:proofErr w:type="spellStart"/>
            <w:r w:rsidRPr="005A03F9">
              <w:t>oxedrine</w:t>
            </w:r>
            <w:proofErr w:type="spellEnd"/>
            <w:r w:rsidRPr="005A03F9">
              <w:t xml:space="preserve"> is a mandatory component of lemon oil.</w:t>
            </w:r>
          </w:p>
          <w:p w:rsidR="00D3046A" w:rsidRPr="005A03F9" w:rsidRDefault="00D3046A" w:rsidP="00C15397">
            <w:pPr>
              <w:spacing w:after="200" w:line="276" w:lineRule="auto"/>
            </w:pPr>
            <w:r w:rsidRPr="005A03F9">
              <w:t xml:space="preserve">The quantity of </w:t>
            </w:r>
            <w:proofErr w:type="spellStart"/>
            <w:r w:rsidRPr="005A03F9">
              <w:t>oxedrine</w:t>
            </w:r>
            <w:proofErr w:type="spellEnd"/>
            <w:r w:rsidRPr="005A03F9">
              <w:t xml:space="preserve"> in the maximum recommended daily dose must be no more than 30 milligrams.</w:t>
            </w:r>
          </w:p>
          <w:p w:rsidR="00D3046A" w:rsidRPr="005A03F9" w:rsidRDefault="00D3046A" w:rsidP="00B26115">
            <w:pPr>
              <w:spacing w:after="200" w:line="276" w:lineRule="auto"/>
            </w:pPr>
            <w:r w:rsidRPr="005A03F9">
              <w:t>The warning statement (SENS) 'Application to skin may increase sensitivity to sunlight' (or words to that effect) must be included on the medicine label unless the medicine is:</w:t>
            </w:r>
          </w:p>
          <w:p w:rsidR="00D3046A" w:rsidRPr="005A03F9" w:rsidRDefault="00D3046A" w:rsidP="00B26115">
            <w:pPr>
              <w:spacing w:after="200" w:line="276" w:lineRule="auto"/>
            </w:pPr>
            <w:r w:rsidRPr="005A03F9">
              <w:t>a) steam distilled or rectified; or</w:t>
            </w:r>
          </w:p>
          <w:p w:rsidR="00D3046A" w:rsidRPr="005A03F9" w:rsidRDefault="00D3046A" w:rsidP="00B26115">
            <w:pPr>
              <w:spacing w:after="200" w:line="276" w:lineRule="auto"/>
            </w:pPr>
            <w:r w:rsidRPr="005A03F9">
              <w:t>b) for internal use; or</w:t>
            </w:r>
          </w:p>
          <w:p w:rsidR="00D3046A" w:rsidRPr="005A03F9" w:rsidRDefault="00D3046A" w:rsidP="00B26115">
            <w:pPr>
              <w:spacing w:after="200" w:line="276" w:lineRule="auto"/>
            </w:pPr>
            <w:r w:rsidRPr="005A03F9">
              <w:t>c) contains 0.05% or less of lemon oil; or</w:t>
            </w:r>
          </w:p>
          <w:p w:rsidR="00D3046A" w:rsidRPr="005A03F9" w:rsidRDefault="00D3046A" w:rsidP="00B26115">
            <w:pPr>
              <w:spacing w:after="200" w:line="276" w:lineRule="auto"/>
            </w:pPr>
            <w:r w:rsidRPr="005A03F9">
              <w:t>d) for use in soaps or bath or shower gels that are washed off the skin.</w:t>
            </w:r>
          </w:p>
        </w:tc>
      </w:tr>
    </w:tbl>
    <w:p w:rsidR="00CF630A" w:rsidRPr="005A03F9" w:rsidRDefault="00C34A49" w:rsidP="00CF630A">
      <w:pPr>
        <w:pStyle w:val="ItemHead"/>
      </w:pPr>
      <w:r w:rsidRPr="005A03F9">
        <w:t>3</w:t>
      </w:r>
      <w:r w:rsidR="005578FA" w:rsidRPr="005A03F9">
        <w:t>7</w:t>
      </w:r>
      <w:r w:rsidR="00CF630A" w:rsidRPr="005A03F9">
        <w:t xml:space="preserve">  Table 1 in Part</w:t>
      </w:r>
      <w:r w:rsidR="005A03F9" w:rsidRPr="005A03F9">
        <w:t> </w:t>
      </w:r>
      <w:r w:rsidR="00CF630A" w:rsidRPr="005A03F9">
        <w:t>2 of Sc</w:t>
      </w:r>
      <w:r w:rsidRPr="005A03F9">
        <w:t>hedule</w:t>
      </w:r>
      <w:r w:rsidR="005A03F9" w:rsidRPr="005A03F9">
        <w:t> </w:t>
      </w:r>
      <w:r w:rsidRPr="005A03F9">
        <w:t>1 (cell at table item</w:t>
      </w:r>
      <w:r w:rsidR="005A03F9" w:rsidRPr="005A03F9">
        <w:t> </w:t>
      </w:r>
      <w:r w:rsidRPr="005A03F9">
        <w:t>2895</w:t>
      </w:r>
      <w:r w:rsidR="00CF630A" w:rsidRPr="005A03F9">
        <w:t>, column 4)</w:t>
      </w:r>
    </w:p>
    <w:p w:rsidR="00CF630A" w:rsidRPr="005A03F9" w:rsidRDefault="00CF630A" w:rsidP="00CF630A">
      <w:pPr>
        <w:pStyle w:val="Item"/>
      </w:pPr>
      <w:r w:rsidRPr="005A03F9">
        <w:t>Repeal the cell, substitute:</w:t>
      </w:r>
    </w:p>
    <w:p w:rsidR="00575AFE" w:rsidRPr="005A03F9" w:rsidRDefault="00575AFE" w:rsidP="00575AFE">
      <w:pPr>
        <w:pStyle w:val="Tabletext"/>
      </w:pPr>
    </w:p>
    <w:tbl>
      <w:tblPr>
        <w:tblW w:w="0" w:type="auto"/>
        <w:tblInd w:w="817" w:type="dxa"/>
        <w:tblBorders>
          <w:insideH w:val="single" w:sz="4" w:space="0" w:color="auto"/>
        </w:tblBorders>
        <w:tblLayout w:type="fixed"/>
        <w:tblLook w:val="0000" w:firstRow="0" w:lastRow="0" w:firstColumn="0" w:lastColumn="0" w:noHBand="0" w:noVBand="0"/>
      </w:tblPr>
      <w:tblGrid>
        <w:gridCol w:w="3799"/>
      </w:tblGrid>
      <w:tr w:rsidR="00D3046A" w:rsidRPr="005A03F9" w:rsidTr="00D3046A">
        <w:tc>
          <w:tcPr>
            <w:tcW w:w="3799" w:type="dxa"/>
            <w:shd w:val="clear" w:color="auto" w:fill="auto"/>
          </w:tcPr>
          <w:p w:rsidR="00D3046A" w:rsidRPr="005A03F9" w:rsidRDefault="00D3046A" w:rsidP="00B26115">
            <w:pPr>
              <w:spacing w:after="200" w:line="276" w:lineRule="auto"/>
            </w:pPr>
            <w:r w:rsidRPr="005A03F9">
              <w:t xml:space="preserve">When used internally, </w:t>
            </w:r>
            <w:proofErr w:type="spellStart"/>
            <w:r w:rsidRPr="005A03F9">
              <w:t>oxedrine</w:t>
            </w:r>
            <w:proofErr w:type="spellEnd"/>
            <w:r w:rsidRPr="005A03F9">
              <w:t xml:space="preserve"> is a mandatory component of lemon oil distilled.</w:t>
            </w:r>
          </w:p>
          <w:p w:rsidR="00D3046A" w:rsidRPr="005A03F9" w:rsidRDefault="00D3046A" w:rsidP="00B26115">
            <w:pPr>
              <w:spacing w:after="200" w:line="276" w:lineRule="auto"/>
            </w:pPr>
            <w:r w:rsidRPr="005A03F9">
              <w:t xml:space="preserve">The quantity of </w:t>
            </w:r>
            <w:proofErr w:type="spellStart"/>
            <w:r w:rsidRPr="005A03F9">
              <w:t>oxedrine</w:t>
            </w:r>
            <w:proofErr w:type="spellEnd"/>
            <w:r w:rsidRPr="005A03F9">
              <w:t xml:space="preserve"> in the maximum recommended daily dose must be no more than 30 milligrams.</w:t>
            </w:r>
          </w:p>
        </w:tc>
      </w:tr>
    </w:tbl>
    <w:p w:rsidR="00604408" w:rsidRPr="005A03F9" w:rsidRDefault="00C34A49" w:rsidP="00604408">
      <w:pPr>
        <w:pStyle w:val="ItemHead"/>
      </w:pPr>
      <w:r w:rsidRPr="005A03F9">
        <w:t>3</w:t>
      </w:r>
      <w:r w:rsidR="005578FA" w:rsidRPr="005A03F9">
        <w:t>8</w:t>
      </w:r>
      <w:r w:rsidR="00604408" w:rsidRPr="005A03F9">
        <w:t xml:space="preserve">  Table 1 in Part</w:t>
      </w:r>
      <w:r w:rsidR="005A03F9" w:rsidRPr="005A03F9">
        <w:t> </w:t>
      </w:r>
      <w:r w:rsidR="00604408" w:rsidRPr="005A03F9">
        <w:t>2 of Sc</w:t>
      </w:r>
      <w:r w:rsidRPr="005A03F9">
        <w:t>hedule</w:t>
      </w:r>
      <w:r w:rsidR="005A03F9" w:rsidRPr="005A03F9">
        <w:t> </w:t>
      </w:r>
      <w:r w:rsidRPr="005A03F9">
        <w:t>1 (cell at table item</w:t>
      </w:r>
      <w:r w:rsidR="005A03F9" w:rsidRPr="005A03F9">
        <w:t> </w:t>
      </w:r>
      <w:r w:rsidRPr="005A03F9">
        <w:t>2896</w:t>
      </w:r>
      <w:r w:rsidR="00604408" w:rsidRPr="005A03F9">
        <w:t>, column 4)</w:t>
      </w:r>
    </w:p>
    <w:p w:rsidR="00604408" w:rsidRPr="005A03F9" w:rsidRDefault="00604408" w:rsidP="00604408">
      <w:pPr>
        <w:pStyle w:val="Item"/>
      </w:pPr>
      <w:r w:rsidRPr="005A03F9">
        <w:t>Repeal the cell, substitute:</w:t>
      </w:r>
    </w:p>
    <w:p w:rsidR="00575AFE" w:rsidRPr="005A03F9" w:rsidRDefault="00575AFE" w:rsidP="00575AFE">
      <w:pPr>
        <w:pStyle w:val="Tabletext"/>
      </w:pPr>
    </w:p>
    <w:tbl>
      <w:tblPr>
        <w:tblW w:w="0" w:type="auto"/>
        <w:tblInd w:w="817" w:type="dxa"/>
        <w:tblBorders>
          <w:insideH w:val="single" w:sz="4" w:space="0" w:color="auto"/>
        </w:tblBorders>
        <w:tblLayout w:type="fixed"/>
        <w:tblLook w:val="0000" w:firstRow="0" w:lastRow="0" w:firstColumn="0" w:lastColumn="0" w:noHBand="0" w:noVBand="0"/>
      </w:tblPr>
      <w:tblGrid>
        <w:gridCol w:w="3799"/>
      </w:tblGrid>
      <w:tr w:rsidR="00D3046A" w:rsidRPr="005A03F9" w:rsidTr="00D3046A">
        <w:tc>
          <w:tcPr>
            <w:tcW w:w="3799" w:type="dxa"/>
            <w:shd w:val="clear" w:color="auto" w:fill="auto"/>
          </w:tcPr>
          <w:p w:rsidR="00D3046A" w:rsidRPr="005A03F9" w:rsidRDefault="00D3046A" w:rsidP="00B26115">
            <w:pPr>
              <w:spacing w:after="200" w:line="276" w:lineRule="auto"/>
            </w:pPr>
            <w:r w:rsidRPr="005A03F9">
              <w:t xml:space="preserve">When used internally, </w:t>
            </w:r>
            <w:proofErr w:type="spellStart"/>
            <w:r w:rsidRPr="005A03F9">
              <w:t>oxedrine</w:t>
            </w:r>
            <w:proofErr w:type="spellEnd"/>
            <w:r w:rsidRPr="005A03F9">
              <w:t xml:space="preserve"> is a mandatory component of lemon oil </w:t>
            </w:r>
            <w:proofErr w:type="spellStart"/>
            <w:r w:rsidRPr="005A03F9">
              <w:t>terpeneless</w:t>
            </w:r>
            <w:proofErr w:type="spellEnd"/>
            <w:r w:rsidRPr="005A03F9">
              <w:t>.</w:t>
            </w:r>
          </w:p>
          <w:p w:rsidR="00D3046A" w:rsidRPr="005A03F9" w:rsidRDefault="00D3046A" w:rsidP="00B26115">
            <w:pPr>
              <w:spacing w:after="200" w:line="276" w:lineRule="auto"/>
            </w:pPr>
            <w:r w:rsidRPr="005A03F9">
              <w:t xml:space="preserve">The quantity of </w:t>
            </w:r>
            <w:proofErr w:type="spellStart"/>
            <w:r w:rsidRPr="005A03F9">
              <w:t>oxedrine</w:t>
            </w:r>
            <w:proofErr w:type="spellEnd"/>
            <w:r w:rsidRPr="005A03F9">
              <w:t xml:space="preserve"> in the maximum recommended daily dose must be no more than 30 milligrams.</w:t>
            </w:r>
          </w:p>
        </w:tc>
      </w:tr>
    </w:tbl>
    <w:p w:rsidR="00604408" w:rsidRPr="005A03F9" w:rsidRDefault="005578FA" w:rsidP="00604408">
      <w:pPr>
        <w:pStyle w:val="ItemHead"/>
      </w:pPr>
      <w:r w:rsidRPr="005A03F9">
        <w:t>39</w:t>
      </w:r>
      <w:r w:rsidR="00604408" w:rsidRPr="005A03F9">
        <w:t xml:space="preserve">  Table 1 in Part</w:t>
      </w:r>
      <w:r w:rsidR="005A03F9" w:rsidRPr="005A03F9">
        <w:t> </w:t>
      </w:r>
      <w:r w:rsidR="00604408" w:rsidRPr="005A03F9">
        <w:t>2 of Sc</w:t>
      </w:r>
      <w:r w:rsidR="00C34A49" w:rsidRPr="005A03F9">
        <w:t>hedule</w:t>
      </w:r>
      <w:r w:rsidR="005A03F9" w:rsidRPr="005A03F9">
        <w:t> </w:t>
      </w:r>
      <w:r w:rsidR="00C34A49" w:rsidRPr="005A03F9">
        <w:t>1 (cell at table item</w:t>
      </w:r>
      <w:r w:rsidR="005A03F9" w:rsidRPr="005A03F9">
        <w:t> </w:t>
      </w:r>
      <w:r w:rsidR="00C34A49" w:rsidRPr="005A03F9">
        <w:t>2898</w:t>
      </w:r>
      <w:r w:rsidR="00604408" w:rsidRPr="005A03F9">
        <w:t>, column 4)</w:t>
      </w:r>
    </w:p>
    <w:p w:rsidR="00604408" w:rsidRPr="005A03F9" w:rsidRDefault="00604408" w:rsidP="00604408">
      <w:pPr>
        <w:pStyle w:val="Item"/>
      </w:pPr>
      <w:r w:rsidRPr="005A03F9">
        <w:t>Repeal the cell, substitute:</w:t>
      </w:r>
    </w:p>
    <w:p w:rsidR="00575AFE" w:rsidRPr="005A03F9" w:rsidRDefault="00575AFE" w:rsidP="00575AFE">
      <w:pPr>
        <w:pStyle w:val="Tabletext"/>
      </w:pPr>
    </w:p>
    <w:tbl>
      <w:tblPr>
        <w:tblW w:w="0" w:type="auto"/>
        <w:tblInd w:w="817" w:type="dxa"/>
        <w:tblBorders>
          <w:insideH w:val="single" w:sz="4" w:space="0" w:color="auto"/>
        </w:tblBorders>
        <w:tblLayout w:type="fixed"/>
        <w:tblLook w:val="0000" w:firstRow="0" w:lastRow="0" w:firstColumn="0" w:lastColumn="0" w:noHBand="0" w:noVBand="0"/>
      </w:tblPr>
      <w:tblGrid>
        <w:gridCol w:w="3799"/>
      </w:tblGrid>
      <w:tr w:rsidR="00D3046A" w:rsidRPr="005A03F9" w:rsidTr="00D3046A">
        <w:tc>
          <w:tcPr>
            <w:tcW w:w="3799" w:type="dxa"/>
            <w:shd w:val="clear" w:color="auto" w:fill="auto"/>
          </w:tcPr>
          <w:p w:rsidR="00D3046A" w:rsidRPr="005A03F9" w:rsidRDefault="00D3046A" w:rsidP="00B26115">
            <w:pPr>
              <w:spacing w:after="200" w:line="276" w:lineRule="auto"/>
            </w:pPr>
            <w:r w:rsidRPr="005A03F9">
              <w:t xml:space="preserve">When used internally, </w:t>
            </w:r>
            <w:proofErr w:type="spellStart"/>
            <w:r w:rsidRPr="005A03F9">
              <w:t>oxedrine</w:t>
            </w:r>
            <w:proofErr w:type="spellEnd"/>
            <w:r w:rsidRPr="005A03F9">
              <w:t xml:space="preserve"> is a mandatory component of lemon peel dried.</w:t>
            </w:r>
          </w:p>
          <w:p w:rsidR="00D3046A" w:rsidRPr="005A03F9" w:rsidRDefault="00D3046A" w:rsidP="00B26115">
            <w:pPr>
              <w:spacing w:after="200" w:line="276" w:lineRule="auto"/>
            </w:pPr>
            <w:r w:rsidRPr="005A03F9">
              <w:t xml:space="preserve">The quantity of </w:t>
            </w:r>
            <w:proofErr w:type="spellStart"/>
            <w:r w:rsidRPr="005A03F9">
              <w:t>oxedrine</w:t>
            </w:r>
            <w:proofErr w:type="spellEnd"/>
            <w:r w:rsidRPr="005A03F9">
              <w:t xml:space="preserve"> in the maximum recommended daily dose must be no more than 30 milligrams.</w:t>
            </w:r>
          </w:p>
        </w:tc>
      </w:tr>
    </w:tbl>
    <w:p w:rsidR="00C34A49" w:rsidRPr="005A03F9" w:rsidRDefault="005578FA" w:rsidP="00C34A49">
      <w:pPr>
        <w:pStyle w:val="ItemHead"/>
      </w:pPr>
      <w:r w:rsidRPr="005A03F9">
        <w:t>40</w:t>
      </w:r>
      <w:r w:rsidR="00C34A49" w:rsidRPr="005A03F9">
        <w:t xml:space="preserve">  Table 1 in Part</w:t>
      </w:r>
      <w:r w:rsidR="005A03F9" w:rsidRPr="005A03F9">
        <w:t> </w:t>
      </w:r>
      <w:r w:rsidR="00C34A49" w:rsidRPr="005A03F9">
        <w:t>2 of Schedule</w:t>
      </w:r>
      <w:r w:rsidR="005A03F9" w:rsidRPr="005A03F9">
        <w:t> </w:t>
      </w:r>
      <w:r w:rsidR="00C34A49" w:rsidRPr="005A03F9">
        <w:t>1 (cell at table item</w:t>
      </w:r>
      <w:r w:rsidR="005A03F9" w:rsidRPr="005A03F9">
        <w:t> </w:t>
      </w:r>
      <w:r w:rsidR="00C34A49" w:rsidRPr="005A03F9">
        <w:t>2933, column 4)</w:t>
      </w:r>
    </w:p>
    <w:p w:rsidR="00C34A49" w:rsidRPr="005A03F9" w:rsidRDefault="00C34A49" w:rsidP="00C34A49">
      <w:pPr>
        <w:pStyle w:val="Item"/>
      </w:pPr>
      <w:r w:rsidRPr="005A03F9">
        <w:t>Repeal the cell, substitute:</w:t>
      </w:r>
    </w:p>
    <w:p w:rsidR="00575AFE" w:rsidRPr="005A03F9" w:rsidRDefault="00575AFE" w:rsidP="00575AFE">
      <w:pPr>
        <w:pStyle w:val="Tabletext"/>
      </w:pPr>
    </w:p>
    <w:tbl>
      <w:tblPr>
        <w:tblW w:w="0" w:type="auto"/>
        <w:tblInd w:w="817" w:type="dxa"/>
        <w:tblBorders>
          <w:insideH w:val="single" w:sz="4" w:space="0" w:color="auto"/>
        </w:tblBorders>
        <w:tblLayout w:type="fixed"/>
        <w:tblLook w:val="0000" w:firstRow="0" w:lastRow="0" w:firstColumn="0" w:lastColumn="0" w:noHBand="0" w:noVBand="0"/>
      </w:tblPr>
      <w:tblGrid>
        <w:gridCol w:w="3799"/>
      </w:tblGrid>
      <w:tr w:rsidR="00D3046A" w:rsidRPr="005A03F9" w:rsidTr="00D3046A">
        <w:tc>
          <w:tcPr>
            <w:tcW w:w="3799" w:type="dxa"/>
            <w:shd w:val="clear" w:color="auto" w:fill="auto"/>
          </w:tcPr>
          <w:p w:rsidR="00D3046A" w:rsidRPr="005A03F9" w:rsidRDefault="00D3046A" w:rsidP="00E56F45">
            <w:pPr>
              <w:spacing w:after="200" w:line="276" w:lineRule="auto"/>
            </w:pPr>
            <w:r w:rsidRPr="005A03F9">
              <w:t>The warning statement (SENS) 'Application to skin may increase sensitivity to sunlight' (or words to that effect) must be included on the medicine label unless the medicine is:</w:t>
            </w:r>
          </w:p>
          <w:p w:rsidR="00D3046A" w:rsidRPr="005A03F9" w:rsidRDefault="00D3046A" w:rsidP="00E56F45">
            <w:pPr>
              <w:spacing w:after="200" w:line="276" w:lineRule="auto"/>
            </w:pPr>
            <w:r w:rsidRPr="005A03F9">
              <w:t>a) for internal use; or</w:t>
            </w:r>
          </w:p>
          <w:p w:rsidR="00D3046A" w:rsidRPr="005A03F9" w:rsidRDefault="00D3046A" w:rsidP="00E56F45">
            <w:pPr>
              <w:spacing w:after="200" w:line="276" w:lineRule="auto"/>
            </w:pPr>
            <w:r w:rsidRPr="005A03F9">
              <w:t xml:space="preserve">b) contains 0.5% or less of lime oil </w:t>
            </w:r>
            <w:proofErr w:type="spellStart"/>
            <w:r w:rsidRPr="005A03F9">
              <w:t>coldpressed</w:t>
            </w:r>
            <w:proofErr w:type="spellEnd"/>
            <w:r w:rsidRPr="005A03F9">
              <w:t>; or</w:t>
            </w:r>
          </w:p>
          <w:p w:rsidR="00D3046A" w:rsidRPr="005A03F9" w:rsidRDefault="00D3046A" w:rsidP="00E56F45">
            <w:pPr>
              <w:spacing w:after="200" w:line="276" w:lineRule="auto"/>
            </w:pPr>
            <w:r w:rsidRPr="005A03F9">
              <w:t>c) for use in soaps or bath or shower gels that are washed off the skin.</w:t>
            </w:r>
          </w:p>
        </w:tc>
      </w:tr>
    </w:tbl>
    <w:p w:rsidR="00C34A49" w:rsidRPr="005A03F9" w:rsidRDefault="005578FA" w:rsidP="00C34A49">
      <w:pPr>
        <w:pStyle w:val="ItemHead"/>
      </w:pPr>
      <w:r w:rsidRPr="005A03F9">
        <w:t>41</w:t>
      </w:r>
      <w:r w:rsidR="00C34A49" w:rsidRPr="005A03F9">
        <w:t xml:space="preserve">  Table 1 in Part</w:t>
      </w:r>
      <w:r w:rsidR="005A03F9" w:rsidRPr="005A03F9">
        <w:t> </w:t>
      </w:r>
      <w:r w:rsidR="00C34A49" w:rsidRPr="005A03F9">
        <w:t>2 of Schedule</w:t>
      </w:r>
      <w:r w:rsidR="005A03F9" w:rsidRPr="005A03F9">
        <w:t> </w:t>
      </w:r>
      <w:r w:rsidR="00C34A49" w:rsidRPr="005A03F9">
        <w:t>1 (cell at table item</w:t>
      </w:r>
      <w:r w:rsidR="005A03F9" w:rsidRPr="005A03F9">
        <w:t> </w:t>
      </w:r>
      <w:r w:rsidR="00C34A49" w:rsidRPr="005A03F9">
        <w:t>3111, column 4)</w:t>
      </w:r>
    </w:p>
    <w:p w:rsidR="00C34A49" w:rsidRPr="005A03F9" w:rsidRDefault="00C34A49" w:rsidP="00C34A49">
      <w:pPr>
        <w:pStyle w:val="Item"/>
      </w:pPr>
      <w:r w:rsidRPr="005A03F9">
        <w:t>Repeal the cell, substitute:</w:t>
      </w:r>
    </w:p>
    <w:p w:rsidR="00575AFE" w:rsidRPr="005A03F9" w:rsidRDefault="00575AFE" w:rsidP="00575AFE">
      <w:pPr>
        <w:pStyle w:val="Tabletext"/>
      </w:pPr>
    </w:p>
    <w:tbl>
      <w:tblPr>
        <w:tblW w:w="0" w:type="auto"/>
        <w:tblInd w:w="817" w:type="dxa"/>
        <w:tblBorders>
          <w:insideH w:val="single" w:sz="4" w:space="0" w:color="auto"/>
        </w:tblBorders>
        <w:tblLayout w:type="fixed"/>
        <w:tblLook w:val="0000" w:firstRow="0" w:lastRow="0" w:firstColumn="0" w:lastColumn="0" w:noHBand="0" w:noVBand="0"/>
      </w:tblPr>
      <w:tblGrid>
        <w:gridCol w:w="3799"/>
      </w:tblGrid>
      <w:tr w:rsidR="00D3046A" w:rsidRPr="005A03F9" w:rsidTr="00D3046A">
        <w:tc>
          <w:tcPr>
            <w:tcW w:w="3799" w:type="dxa"/>
            <w:shd w:val="clear" w:color="auto" w:fill="auto"/>
          </w:tcPr>
          <w:p w:rsidR="00D3046A" w:rsidRPr="005A03F9" w:rsidRDefault="00D3046A" w:rsidP="00B26115">
            <w:pPr>
              <w:spacing w:after="200" w:line="276" w:lineRule="auto"/>
            </w:pPr>
            <w:r w:rsidRPr="005A03F9">
              <w:t xml:space="preserve">When used internally, </w:t>
            </w:r>
            <w:proofErr w:type="spellStart"/>
            <w:r w:rsidRPr="005A03F9">
              <w:t>oxedrine</w:t>
            </w:r>
            <w:proofErr w:type="spellEnd"/>
            <w:r w:rsidRPr="005A03F9">
              <w:t xml:space="preserve"> is a mandatory component of mandarin oil </w:t>
            </w:r>
            <w:proofErr w:type="spellStart"/>
            <w:r w:rsidRPr="005A03F9">
              <w:t>coldpressed</w:t>
            </w:r>
            <w:proofErr w:type="spellEnd"/>
            <w:r w:rsidRPr="005A03F9">
              <w:t>.</w:t>
            </w:r>
          </w:p>
          <w:p w:rsidR="00D3046A" w:rsidRPr="005A03F9" w:rsidRDefault="00D3046A" w:rsidP="00B26115">
            <w:pPr>
              <w:spacing w:after="200" w:line="276" w:lineRule="auto"/>
            </w:pPr>
            <w:r w:rsidRPr="005A03F9">
              <w:t xml:space="preserve">The quantity of </w:t>
            </w:r>
            <w:proofErr w:type="spellStart"/>
            <w:r w:rsidRPr="005A03F9">
              <w:t>oxedrine</w:t>
            </w:r>
            <w:proofErr w:type="spellEnd"/>
            <w:r w:rsidRPr="005A03F9">
              <w:t xml:space="preserve"> in the maximum recommended daily dose must be no more than 30 milligrams.</w:t>
            </w:r>
          </w:p>
        </w:tc>
      </w:tr>
    </w:tbl>
    <w:p w:rsidR="00C34A49" w:rsidRPr="005A03F9" w:rsidRDefault="00C34A49" w:rsidP="00C34A49">
      <w:pPr>
        <w:pStyle w:val="ItemHead"/>
      </w:pPr>
      <w:r w:rsidRPr="005A03F9">
        <w:t>4</w:t>
      </w:r>
      <w:r w:rsidR="005578FA" w:rsidRPr="005A03F9">
        <w:t>2</w:t>
      </w:r>
      <w:r w:rsidRPr="005A03F9">
        <w:t xml:space="preserve">  Table 1 in Part</w:t>
      </w:r>
      <w:r w:rsidR="005A03F9" w:rsidRPr="005A03F9">
        <w:t> </w:t>
      </w:r>
      <w:r w:rsidRPr="005A03F9">
        <w:t>2 of Schedule</w:t>
      </w:r>
      <w:r w:rsidR="005A03F9" w:rsidRPr="005A03F9">
        <w:t> </w:t>
      </w:r>
      <w:r w:rsidRPr="005A03F9">
        <w:t>1 (cell at table item</w:t>
      </w:r>
      <w:r w:rsidR="005A03F9" w:rsidRPr="005A03F9">
        <w:t> </w:t>
      </w:r>
      <w:r w:rsidRPr="005A03F9">
        <w:t>3434, column 4)</w:t>
      </w:r>
    </w:p>
    <w:p w:rsidR="00C34A49" w:rsidRPr="005A03F9" w:rsidRDefault="00C34A49" w:rsidP="00C34A49">
      <w:pPr>
        <w:pStyle w:val="Item"/>
      </w:pPr>
      <w:r w:rsidRPr="005A03F9">
        <w:t>Repeal the cell, substitute:</w:t>
      </w:r>
    </w:p>
    <w:p w:rsidR="00575AFE" w:rsidRPr="005A03F9" w:rsidRDefault="00575AFE" w:rsidP="00575AFE">
      <w:pPr>
        <w:pStyle w:val="Tabletext"/>
      </w:pPr>
    </w:p>
    <w:tbl>
      <w:tblPr>
        <w:tblW w:w="0" w:type="auto"/>
        <w:tblInd w:w="817" w:type="dxa"/>
        <w:tblBorders>
          <w:insideH w:val="single" w:sz="4" w:space="0" w:color="auto"/>
        </w:tblBorders>
        <w:tblLayout w:type="fixed"/>
        <w:tblLook w:val="0000" w:firstRow="0" w:lastRow="0" w:firstColumn="0" w:lastColumn="0" w:noHBand="0" w:noVBand="0"/>
      </w:tblPr>
      <w:tblGrid>
        <w:gridCol w:w="3799"/>
      </w:tblGrid>
      <w:tr w:rsidR="00D3046A" w:rsidRPr="005A03F9" w:rsidTr="00D3046A">
        <w:tc>
          <w:tcPr>
            <w:tcW w:w="3799" w:type="dxa"/>
            <w:shd w:val="clear" w:color="auto" w:fill="auto"/>
          </w:tcPr>
          <w:p w:rsidR="00D3046A" w:rsidRPr="005A03F9" w:rsidRDefault="00D3046A" w:rsidP="00B26115">
            <w:pPr>
              <w:spacing w:after="200" w:line="276" w:lineRule="auto"/>
            </w:pPr>
            <w:r w:rsidRPr="005A03F9">
              <w:t xml:space="preserve">Camphor is a mandatory component of </w:t>
            </w:r>
            <w:proofErr w:type="spellStart"/>
            <w:r w:rsidRPr="005A03F9">
              <w:t>Ocimum</w:t>
            </w:r>
            <w:proofErr w:type="spellEnd"/>
            <w:r w:rsidRPr="005A03F9">
              <w:t xml:space="preserve"> </w:t>
            </w:r>
            <w:proofErr w:type="spellStart"/>
            <w:r w:rsidRPr="005A03F9">
              <w:t>kilimandscharicum</w:t>
            </w:r>
            <w:proofErr w:type="spellEnd"/>
            <w:r w:rsidRPr="005A03F9">
              <w:t>.</w:t>
            </w:r>
          </w:p>
          <w:p w:rsidR="00D3046A" w:rsidRPr="005A03F9" w:rsidRDefault="00D3046A" w:rsidP="00B26115">
            <w:pPr>
              <w:spacing w:after="200" w:line="276" w:lineRule="auto"/>
            </w:pPr>
            <w:r w:rsidRPr="005A03F9">
              <w:t>In solid and semi solid preparations, the concentration of camphor must be no more than 12.5%.</w:t>
            </w:r>
          </w:p>
          <w:p w:rsidR="00D3046A" w:rsidRPr="005A03F9" w:rsidRDefault="00D3046A" w:rsidP="00B26115">
            <w:pPr>
              <w:spacing w:after="200" w:line="276" w:lineRule="auto"/>
            </w:pPr>
            <w:r w:rsidRPr="005A03F9">
              <w:t>In liquid preparations other than essential oils, the concentration of camphor must be no more than 2.5%.</w:t>
            </w:r>
          </w:p>
          <w:p w:rsidR="00D3046A" w:rsidRPr="005A03F9" w:rsidRDefault="00D3046A" w:rsidP="00B26115">
            <w:pPr>
              <w:spacing w:after="200" w:line="276" w:lineRule="auto"/>
            </w:pPr>
            <w:r w:rsidRPr="005A03F9">
              <w:t>In essential oil preparations, if the concentration of camphor is more than 2.5% but less than or equal to 10%, and the nominal capacity of the container is less than 25 millilitres, the medicine must have a restricted flow insert fitted on the container and include the following warning statements on the medicine label:</w:t>
            </w:r>
          </w:p>
          <w:p w:rsidR="00D3046A" w:rsidRPr="005A03F9" w:rsidRDefault="005A03F9" w:rsidP="00B26115">
            <w:pPr>
              <w:spacing w:after="200" w:line="276" w:lineRule="auto"/>
            </w:pPr>
            <w:r>
              <w:rPr>
                <w:rFonts w:cs="Times New Roman"/>
              </w:rPr>
              <w:noBreakHyphen/>
            </w:r>
            <w:r w:rsidR="00D3046A" w:rsidRPr="005A03F9">
              <w:rPr>
                <w:rFonts w:cs="Times New Roman"/>
              </w:rPr>
              <w:t xml:space="preserve"> </w:t>
            </w:r>
            <w:r w:rsidR="00D3046A" w:rsidRPr="005A03F9">
              <w:t>(CHILD) 'Keep out of reach of children' (or words to that effect); and</w:t>
            </w:r>
          </w:p>
          <w:p w:rsidR="00D3046A" w:rsidRPr="005A03F9" w:rsidRDefault="005A03F9" w:rsidP="00B26115">
            <w:pPr>
              <w:spacing w:after="200" w:line="276" w:lineRule="auto"/>
            </w:pPr>
            <w:r>
              <w:rPr>
                <w:rFonts w:cs="Times New Roman"/>
              </w:rPr>
              <w:noBreakHyphen/>
            </w:r>
            <w:r w:rsidR="00D3046A" w:rsidRPr="005A03F9">
              <w:rPr>
                <w:rFonts w:cs="Times New Roman"/>
              </w:rPr>
              <w:t xml:space="preserve"> </w:t>
            </w:r>
            <w:r w:rsidR="00D3046A" w:rsidRPr="005A03F9">
              <w:t>(</w:t>
            </w:r>
            <w:proofErr w:type="spellStart"/>
            <w:r w:rsidR="00D3046A" w:rsidRPr="005A03F9">
              <w:t>NTAKEN</w:t>
            </w:r>
            <w:proofErr w:type="spellEnd"/>
            <w:r w:rsidR="00D3046A" w:rsidRPr="005A03F9">
              <w:t>) 'Not to be taken'.</w:t>
            </w:r>
          </w:p>
          <w:p w:rsidR="00D3046A" w:rsidRPr="005A03F9" w:rsidRDefault="00D3046A" w:rsidP="00B26115">
            <w:pPr>
              <w:spacing w:after="200" w:line="276" w:lineRule="auto"/>
            </w:pPr>
            <w:r w:rsidRPr="005A03F9">
              <w:t>In essential oil preparations, if the concentration of camphor is more than 10%, and the nominal capacity of the container is less than 15 millilitres, the medicine must have a restricted flow insert fitted on the container and include the following warning statements on the medicine label:</w:t>
            </w:r>
          </w:p>
          <w:p w:rsidR="00D3046A" w:rsidRPr="005A03F9" w:rsidRDefault="005A03F9" w:rsidP="00B26115">
            <w:pPr>
              <w:spacing w:after="200" w:line="276" w:lineRule="auto"/>
            </w:pPr>
            <w:r>
              <w:rPr>
                <w:rFonts w:cs="Times New Roman"/>
              </w:rPr>
              <w:noBreakHyphen/>
            </w:r>
            <w:r w:rsidR="00D3046A" w:rsidRPr="005A03F9">
              <w:rPr>
                <w:rFonts w:cs="Times New Roman"/>
              </w:rPr>
              <w:t xml:space="preserve"> </w:t>
            </w:r>
            <w:r w:rsidR="00D3046A" w:rsidRPr="005A03F9">
              <w:t>(CHILD) 'Keep out of reach of children' (or words to that effect); and</w:t>
            </w:r>
          </w:p>
          <w:p w:rsidR="00D3046A" w:rsidRPr="005A03F9" w:rsidRDefault="005A03F9" w:rsidP="00B26115">
            <w:pPr>
              <w:spacing w:after="200" w:line="276" w:lineRule="auto"/>
            </w:pPr>
            <w:r>
              <w:rPr>
                <w:rFonts w:cs="Times New Roman"/>
              </w:rPr>
              <w:noBreakHyphen/>
            </w:r>
            <w:r w:rsidR="00D3046A" w:rsidRPr="005A03F9">
              <w:rPr>
                <w:rFonts w:cs="Times New Roman"/>
              </w:rPr>
              <w:t xml:space="preserve"> </w:t>
            </w:r>
            <w:r w:rsidR="00D3046A" w:rsidRPr="005A03F9">
              <w:t>(</w:t>
            </w:r>
            <w:proofErr w:type="spellStart"/>
            <w:r w:rsidR="00D3046A" w:rsidRPr="005A03F9">
              <w:t>NTAKEN</w:t>
            </w:r>
            <w:proofErr w:type="spellEnd"/>
            <w:r w:rsidR="00D3046A" w:rsidRPr="005A03F9">
              <w:t>) 'Not to be taken'.</w:t>
            </w:r>
          </w:p>
          <w:p w:rsidR="00D3046A" w:rsidRPr="005A03F9" w:rsidRDefault="00D3046A" w:rsidP="00B26115">
            <w:pPr>
              <w:spacing w:after="200" w:line="276" w:lineRule="auto"/>
            </w:pPr>
            <w:r w:rsidRPr="005A03F9">
              <w:t>In essential oil preparations, if the concentration of camphor is more than 10%, and the nominal capacity of the container is more than 15 millilitres but less than or equal to 25 millilitres, the medicine must have a restricted flow insert and child resistant closure fitted on the container and include the following warning statements on the medicine label:</w:t>
            </w:r>
          </w:p>
          <w:p w:rsidR="00D3046A" w:rsidRPr="005A03F9" w:rsidRDefault="005A03F9" w:rsidP="00B26115">
            <w:pPr>
              <w:spacing w:after="200" w:line="276" w:lineRule="auto"/>
            </w:pPr>
            <w:r>
              <w:rPr>
                <w:rFonts w:cs="Times New Roman"/>
              </w:rPr>
              <w:noBreakHyphen/>
            </w:r>
            <w:r w:rsidR="00D3046A" w:rsidRPr="005A03F9">
              <w:rPr>
                <w:rFonts w:cs="Times New Roman"/>
              </w:rPr>
              <w:t xml:space="preserve"> </w:t>
            </w:r>
            <w:r w:rsidR="00D3046A" w:rsidRPr="005A03F9">
              <w:t>(CHILD) 'Keep out of reach of children' (or words to that effect); and</w:t>
            </w:r>
          </w:p>
          <w:p w:rsidR="00D3046A" w:rsidRPr="005A03F9" w:rsidRDefault="005A03F9" w:rsidP="00B26115">
            <w:pPr>
              <w:spacing w:after="200" w:line="276" w:lineRule="auto"/>
            </w:pPr>
            <w:r>
              <w:rPr>
                <w:rFonts w:cs="Times New Roman"/>
              </w:rPr>
              <w:noBreakHyphen/>
            </w:r>
            <w:r w:rsidR="00D3046A" w:rsidRPr="005A03F9">
              <w:rPr>
                <w:rFonts w:cs="Times New Roman"/>
              </w:rPr>
              <w:t xml:space="preserve"> </w:t>
            </w:r>
            <w:r w:rsidR="00D3046A" w:rsidRPr="005A03F9">
              <w:t>(</w:t>
            </w:r>
            <w:proofErr w:type="spellStart"/>
            <w:r w:rsidR="00D3046A" w:rsidRPr="005A03F9">
              <w:t>NTAKEN</w:t>
            </w:r>
            <w:proofErr w:type="spellEnd"/>
            <w:r w:rsidR="00D3046A" w:rsidRPr="005A03F9">
              <w:t>) 'Not to be taken'.</w:t>
            </w:r>
          </w:p>
          <w:p w:rsidR="00D3046A" w:rsidRPr="005A03F9" w:rsidRDefault="00D3046A" w:rsidP="00B26115">
            <w:pPr>
              <w:spacing w:after="200" w:line="276" w:lineRule="auto"/>
            </w:pPr>
            <w:r w:rsidRPr="005A03F9">
              <w:t xml:space="preserve">When the plant preparation is oil, Methyl </w:t>
            </w:r>
            <w:proofErr w:type="spellStart"/>
            <w:r w:rsidRPr="005A03F9">
              <w:t>chavicol</w:t>
            </w:r>
            <w:proofErr w:type="spellEnd"/>
            <w:r w:rsidRPr="005A03F9">
              <w:t xml:space="preserve"> is a mandatory component of </w:t>
            </w:r>
            <w:proofErr w:type="spellStart"/>
            <w:r w:rsidRPr="005A03F9">
              <w:t>Ocimum</w:t>
            </w:r>
            <w:proofErr w:type="spellEnd"/>
            <w:r w:rsidRPr="005A03F9">
              <w:t xml:space="preserve"> </w:t>
            </w:r>
            <w:proofErr w:type="spellStart"/>
            <w:r w:rsidRPr="005A03F9">
              <w:t>kilimandscharicum</w:t>
            </w:r>
            <w:proofErr w:type="spellEnd"/>
            <w:r w:rsidRPr="005A03F9">
              <w:t>.</w:t>
            </w:r>
          </w:p>
          <w:p w:rsidR="00D3046A" w:rsidRPr="005A03F9" w:rsidRDefault="00D3046A" w:rsidP="00B26115">
            <w:pPr>
              <w:spacing w:after="200" w:line="276" w:lineRule="auto"/>
            </w:pPr>
            <w:r w:rsidRPr="005A03F9">
              <w:t xml:space="preserve">When the concentration of Methyl </w:t>
            </w:r>
            <w:proofErr w:type="spellStart"/>
            <w:r w:rsidRPr="005A03F9">
              <w:t>chavicol</w:t>
            </w:r>
            <w:proofErr w:type="spellEnd"/>
            <w:r w:rsidRPr="005A03F9">
              <w:t xml:space="preserve"> in a medicine is more than 5% and the nominal capacity of the container is 25 millilitres or less, a restricted flow insert must be fitted on the container, and the medicine requires the following warning statement on the medicine label:</w:t>
            </w:r>
          </w:p>
          <w:p w:rsidR="00D3046A" w:rsidRPr="005A03F9" w:rsidRDefault="005A03F9" w:rsidP="00B26115">
            <w:pPr>
              <w:spacing w:after="200" w:line="276" w:lineRule="auto"/>
            </w:pPr>
            <w:r>
              <w:rPr>
                <w:rFonts w:cs="Times New Roman"/>
              </w:rPr>
              <w:noBreakHyphen/>
            </w:r>
            <w:r w:rsidR="00D3046A" w:rsidRPr="005A03F9">
              <w:rPr>
                <w:rFonts w:cs="Times New Roman"/>
              </w:rPr>
              <w:t xml:space="preserve"> </w:t>
            </w:r>
            <w:r w:rsidR="00D3046A" w:rsidRPr="005A03F9">
              <w:t>(CHILD) 'Keep out of reach of children' (or words to that effect).</w:t>
            </w:r>
          </w:p>
        </w:tc>
      </w:tr>
    </w:tbl>
    <w:p w:rsidR="00C34A49" w:rsidRPr="005A03F9" w:rsidRDefault="005578FA" w:rsidP="00C34A49">
      <w:pPr>
        <w:pStyle w:val="ItemHead"/>
      </w:pPr>
      <w:r w:rsidRPr="005A03F9">
        <w:t>43</w:t>
      </w:r>
      <w:r w:rsidR="00C34A49" w:rsidRPr="005A03F9">
        <w:t xml:space="preserve">  Table 1 in Part</w:t>
      </w:r>
      <w:r w:rsidR="005A03F9" w:rsidRPr="005A03F9">
        <w:t> </w:t>
      </w:r>
      <w:r w:rsidR="00C34A49" w:rsidRPr="005A03F9">
        <w:t>2 of Sc</w:t>
      </w:r>
      <w:r w:rsidR="00AF6F48" w:rsidRPr="005A03F9">
        <w:t>hedule</w:t>
      </w:r>
      <w:r w:rsidR="005A03F9" w:rsidRPr="005A03F9">
        <w:t> </w:t>
      </w:r>
      <w:r w:rsidR="00AF6F48" w:rsidRPr="005A03F9">
        <w:t>1 (cell at table item</w:t>
      </w:r>
      <w:r w:rsidR="005A03F9" w:rsidRPr="005A03F9">
        <w:t> </w:t>
      </w:r>
      <w:r w:rsidR="00AF6F48" w:rsidRPr="005A03F9">
        <w:t>3497</w:t>
      </w:r>
      <w:r w:rsidR="00C34A49" w:rsidRPr="005A03F9">
        <w:t>, column 4)</w:t>
      </w:r>
    </w:p>
    <w:p w:rsidR="00C34A49" w:rsidRPr="005A03F9" w:rsidRDefault="00C34A49" w:rsidP="00C34A49">
      <w:pPr>
        <w:pStyle w:val="Item"/>
      </w:pPr>
      <w:r w:rsidRPr="005A03F9">
        <w:t>Repeal the cell, substitute:</w:t>
      </w:r>
    </w:p>
    <w:p w:rsidR="00575AFE" w:rsidRPr="005A03F9" w:rsidRDefault="00575AFE" w:rsidP="00575AFE">
      <w:pPr>
        <w:pStyle w:val="Tabletext"/>
      </w:pPr>
    </w:p>
    <w:tbl>
      <w:tblPr>
        <w:tblW w:w="0" w:type="auto"/>
        <w:tblInd w:w="817" w:type="dxa"/>
        <w:tblBorders>
          <w:insideH w:val="single" w:sz="4" w:space="0" w:color="auto"/>
        </w:tblBorders>
        <w:tblLayout w:type="fixed"/>
        <w:tblLook w:val="0000" w:firstRow="0" w:lastRow="0" w:firstColumn="0" w:lastColumn="0" w:noHBand="0" w:noVBand="0"/>
      </w:tblPr>
      <w:tblGrid>
        <w:gridCol w:w="3799"/>
      </w:tblGrid>
      <w:tr w:rsidR="00D3046A" w:rsidRPr="005A03F9" w:rsidTr="00D3046A">
        <w:tc>
          <w:tcPr>
            <w:tcW w:w="3799" w:type="dxa"/>
            <w:shd w:val="clear" w:color="auto" w:fill="auto"/>
          </w:tcPr>
          <w:p w:rsidR="00D3046A" w:rsidRPr="005A03F9" w:rsidRDefault="00D3046A" w:rsidP="00B26115">
            <w:pPr>
              <w:spacing w:after="200" w:line="276" w:lineRule="auto"/>
            </w:pPr>
            <w:r w:rsidRPr="005A03F9">
              <w:t xml:space="preserve">When used internally, </w:t>
            </w:r>
            <w:proofErr w:type="spellStart"/>
            <w:r w:rsidRPr="005A03F9">
              <w:t>oxedrine</w:t>
            </w:r>
            <w:proofErr w:type="spellEnd"/>
            <w:r w:rsidRPr="005A03F9">
              <w:t xml:space="preserve"> is a mandatory component of orange flower oil.</w:t>
            </w:r>
          </w:p>
          <w:p w:rsidR="00D3046A" w:rsidRPr="005A03F9" w:rsidRDefault="00D3046A" w:rsidP="00B26115">
            <w:pPr>
              <w:spacing w:after="200" w:line="276" w:lineRule="auto"/>
            </w:pPr>
            <w:r w:rsidRPr="005A03F9">
              <w:t xml:space="preserve">The quantity of </w:t>
            </w:r>
            <w:proofErr w:type="spellStart"/>
            <w:r w:rsidRPr="005A03F9">
              <w:t>oxedrine</w:t>
            </w:r>
            <w:proofErr w:type="spellEnd"/>
            <w:r w:rsidRPr="005A03F9">
              <w:t xml:space="preserve"> in the maximum recommended daily dose must be no more than 30 milligrams.</w:t>
            </w:r>
          </w:p>
        </w:tc>
      </w:tr>
    </w:tbl>
    <w:p w:rsidR="00AF6F48" w:rsidRPr="005A03F9" w:rsidRDefault="005578FA" w:rsidP="00AF6F48">
      <w:pPr>
        <w:pStyle w:val="ItemHead"/>
      </w:pPr>
      <w:r w:rsidRPr="005A03F9">
        <w:t>44</w:t>
      </w:r>
      <w:r w:rsidR="00AF6F48" w:rsidRPr="005A03F9">
        <w:t xml:space="preserve">  Table 1 in Part</w:t>
      </w:r>
      <w:r w:rsidR="005A03F9" w:rsidRPr="005A03F9">
        <w:t> </w:t>
      </w:r>
      <w:r w:rsidR="00AF6F48" w:rsidRPr="005A03F9">
        <w:t>2 of Schedule</w:t>
      </w:r>
      <w:r w:rsidR="005A03F9" w:rsidRPr="005A03F9">
        <w:t> </w:t>
      </w:r>
      <w:r w:rsidR="00AF6F48" w:rsidRPr="005A03F9">
        <w:t>1 (cell at table item</w:t>
      </w:r>
      <w:r w:rsidR="005A03F9" w:rsidRPr="005A03F9">
        <w:t> </w:t>
      </w:r>
      <w:r w:rsidR="00AF6F48" w:rsidRPr="005A03F9">
        <w:t>3500, column 4)</w:t>
      </w:r>
    </w:p>
    <w:p w:rsidR="00AF6F48" w:rsidRPr="005A03F9" w:rsidRDefault="00AF6F48" w:rsidP="00AF6F48">
      <w:pPr>
        <w:pStyle w:val="Item"/>
      </w:pPr>
      <w:r w:rsidRPr="005A03F9">
        <w:t>Repeal the cell, substitute:</w:t>
      </w:r>
    </w:p>
    <w:p w:rsidR="00575AFE" w:rsidRPr="005A03F9" w:rsidRDefault="00575AFE" w:rsidP="00575AFE">
      <w:pPr>
        <w:pStyle w:val="Tabletext"/>
      </w:pPr>
    </w:p>
    <w:tbl>
      <w:tblPr>
        <w:tblW w:w="0" w:type="auto"/>
        <w:tblInd w:w="817" w:type="dxa"/>
        <w:tblBorders>
          <w:insideH w:val="single" w:sz="4" w:space="0" w:color="auto"/>
        </w:tblBorders>
        <w:tblLayout w:type="fixed"/>
        <w:tblLook w:val="0000" w:firstRow="0" w:lastRow="0" w:firstColumn="0" w:lastColumn="0" w:noHBand="0" w:noVBand="0"/>
      </w:tblPr>
      <w:tblGrid>
        <w:gridCol w:w="3799"/>
      </w:tblGrid>
      <w:tr w:rsidR="00D3046A" w:rsidRPr="005A03F9" w:rsidTr="00D3046A">
        <w:tc>
          <w:tcPr>
            <w:tcW w:w="3799" w:type="dxa"/>
            <w:shd w:val="clear" w:color="auto" w:fill="auto"/>
          </w:tcPr>
          <w:p w:rsidR="00D3046A" w:rsidRPr="005A03F9" w:rsidRDefault="00D3046A" w:rsidP="00B26115">
            <w:pPr>
              <w:spacing w:after="200" w:line="276" w:lineRule="auto"/>
            </w:pPr>
            <w:r w:rsidRPr="005A03F9">
              <w:t xml:space="preserve">When used internally, </w:t>
            </w:r>
            <w:proofErr w:type="spellStart"/>
            <w:r w:rsidRPr="005A03F9">
              <w:t>oxedrine</w:t>
            </w:r>
            <w:proofErr w:type="spellEnd"/>
            <w:r w:rsidRPr="005A03F9">
              <w:t xml:space="preserve"> is a mandatory component of orange oil.</w:t>
            </w:r>
          </w:p>
          <w:p w:rsidR="00D3046A" w:rsidRPr="005A03F9" w:rsidRDefault="00D3046A" w:rsidP="00B26115">
            <w:pPr>
              <w:spacing w:after="200" w:line="276" w:lineRule="auto"/>
            </w:pPr>
            <w:r w:rsidRPr="005A03F9">
              <w:t xml:space="preserve">The quantity of </w:t>
            </w:r>
            <w:proofErr w:type="spellStart"/>
            <w:r w:rsidRPr="005A03F9">
              <w:t>oxedrine</w:t>
            </w:r>
            <w:proofErr w:type="spellEnd"/>
            <w:r w:rsidRPr="005A03F9">
              <w:t xml:space="preserve"> in the maximum recommended daily dose must be no more than 30 milligrams.</w:t>
            </w:r>
          </w:p>
        </w:tc>
      </w:tr>
    </w:tbl>
    <w:p w:rsidR="00AF6F48" w:rsidRPr="005A03F9" w:rsidRDefault="005578FA" w:rsidP="00AF6F48">
      <w:pPr>
        <w:pStyle w:val="ItemHead"/>
      </w:pPr>
      <w:r w:rsidRPr="005A03F9">
        <w:t>45</w:t>
      </w:r>
      <w:r w:rsidR="00AF6F48" w:rsidRPr="005A03F9">
        <w:t xml:space="preserve">  Table 1 in Part</w:t>
      </w:r>
      <w:r w:rsidR="005A03F9" w:rsidRPr="005A03F9">
        <w:t> </w:t>
      </w:r>
      <w:r w:rsidR="00AF6F48" w:rsidRPr="005A03F9">
        <w:t>2 of Schedule</w:t>
      </w:r>
      <w:r w:rsidR="005A03F9" w:rsidRPr="005A03F9">
        <w:t> </w:t>
      </w:r>
      <w:r w:rsidR="00AF6F48" w:rsidRPr="005A03F9">
        <w:t>1 (cell at table item</w:t>
      </w:r>
      <w:r w:rsidR="005A03F9" w:rsidRPr="005A03F9">
        <w:t> </w:t>
      </w:r>
      <w:r w:rsidR="00AF6F48" w:rsidRPr="005A03F9">
        <w:t>3502, column 4)</w:t>
      </w:r>
    </w:p>
    <w:p w:rsidR="00AF6F48" w:rsidRPr="005A03F9" w:rsidRDefault="00AF6F48" w:rsidP="00AF6F48">
      <w:pPr>
        <w:pStyle w:val="Item"/>
      </w:pPr>
      <w:r w:rsidRPr="005A03F9">
        <w:t>Repeal the cell, substitute:</w:t>
      </w:r>
    </w:p>
    <w:p w:rsidR="00575AFE" w:rsidRPr="005A03F9" w:rsidRDefault="00575AFE" w:rsidP="00575AFE">
      <w:pPr>
        <w:pStyle w:val="Tabletext"/>
      </w:pPr>
    </w:p>
    <w:tbl>
      <w:tblPr>
        <w:tblW w:w="0" w:type="auto"/>
        <w:tblInd w:w="817" w:type="dxa"/>
        <w:tblBorders>
          <w:insideH w:val="single" w:sz="4" w:space="0" w:color="auto"/>
        </w:tblBorders>
        <w:tblLayout w:type="fixed"/>
        <w:tblLook w:val="0000" w:firstRow="0" w:lastRow="0" w:firstColumn="0" w:lastColumn="0" w:noHBand="0" w:noVBand="0"/>
      </w:tblPr>
      <w:tblGrid>
        <w:gridCol w:w="3799"/>
      </w:tblGrid>
      <w:tr w:rsidR="00D3046A" w:rsidRPr="005A03F9" w:rsidTr="00D3046A">
        <w:tc>
          <w:tcPr>
            <w:tcW w:w="3799" w:type="dxa"/>
            <w:shd w:val="clear" w:color="auto" w:fill="auto"/>
          </w:tcPr>
          <w:p w:rsidR="00D3046A" w:rsidRPr="005A03F9" w:rsidRDefault="00D3046A" w:rsidP="00C15397">
            <w:pPr>
              <w:spacing w:after="200" w:line="276" w:lineRule="auto"/>
            </w:pPr>
            <w:r w:rsidRPr="005A03F9">
              <w:t xml:space="preserve">When used internally, </w:t>
            </w:r>
            <w:proofErr w:type="spellStart"/>
            <w:r w:rsidRPr="005A03F9">
              <w:t>oxedrine</w:t>
            </w:r>
            <w:proofErr w:type="spellEnd"/>
            <w:r w:rsidRPr="005A03F9">
              <w:t xml:space="preserve"> is a mandatory component of orange oil bitter </w:t>
            </w:r>
            <w:proofErr w:type="spellStart"/>
            <w:r w:rsidRPr="005A03F9">
              <w:t>coldpressed</w:t>
            </w:r>
            <w:proofErr w:type="spellEnd"/>
            <w:r w:rsidRPr="005A03F9">
              <w:t>.</w:t>
            </w:r>
          </w:p>
          <w:p w:rsidR="00D3046A" w:rsidRPr="005A03F9" w:rsidRDefault="00D3046A" w:rsidP="00C15397">
            <w:pPr>
              <w:spacing w:after="200" w:line="276" w:lineRule="auto"/>
            </w:pPr>
            <w:r w:rsidRPr="005A03F9">
              <w:t xml:space="preserve">The quantity of </w:t>
            </w:r>
            <w:proofErr w:type="spellStart"/>
            <w:r w:rsidRPr="005A03F9">
              <w:t>oxedrine</w:t>
            </w:r>
            <w:proofErr w:type="spellEnd"/>
            <w:r w:rsidRPr="005A03F9">
              <w:t xml:space="preserve"> in the maximum recommended daily dose must be no more than 30 milligrams.</w:t>
            </w:r>
          </w:p>
          <w:p w:rsidR="00D3046A" w:rsidRPr="005A03F9" w:rsidRDefault="00D3046A" w:rsidP="00B26115">
            <w:pPr>
              <w:spacing w:after="200" w:line="276" w:lineRule="auto"/>
            </w:pPr>
            <w:r w:rsidRPr="005A03F9">
              <w:t>The warning statement (SENS) 'Application to skin may increase sensitivity to sunlight' (or words to that effect) must be included on the medicine label unless the medicine is:</w:t>
            </w:r>
          </w:p>
          <w:p w:rsidR="00D3046A" w:rsidRPr="005A03F9" w:rsidRDefault="00D3046A" w:rsidP="00B26115">
            <w:pPr>
              <w:spacing w:after="200" w:line="276" w:lineRule="auto"/>
            </w:pPr>
            <w:r w:rsidRPr="005A03F9">
              <w:t>a) for internal use; or</w:t>
            </w:r>
          </w:p>
          <w:p w:rsidR="00D3046A" w:rsidRPr="005A03F9" w:rsidRDefault="00D3046A" w:rsidP="00B26115">
            <w:pPr>
              <w:spacing w:after="200" w:line="276" w:lineRule="auto"/>
            </w:pPr>
            <w:r w:rsidRPr="005A03F9">
              <w:t xml:space="preserve">b) in preparations containing 1.4% or less of orange oil bitter </w:t>
            </w:r>
            <w:proofErr w:type="spellStart"/>
            <w:r w:rsidRPr="005A03F9">
              <w:t>coldpressed</w:t>
            </w:r>
            <w:proofErr w:type="spellEnd"/>
            <w:r w:rsidRPr="005A03F9">
              <w:t>; or</w:t>
            </w:r>
          </w:p>
          <w:p w:rsidR="00D3046A" w:rsidRPr="005A03F9" w:rsidRDefault="00D3046A" w:rsidP="00B26115">
            <w:pPr>
              <w:spacing w:after="200" w:line="276" w:lineRule="auto"/>
            </w:pPr>
            <w:r w:rsidRPr="005A03F9">
              <w:t>c) for use in soaps or bath or shower gels that are washed off the skin.</w:t>
            </w:r>
          </w:p>
        </w:tc>
      </w:tr>
    </w:tbl>
    <w:p w:rsidR="00AF6F48" w:rsidRPr="005A03F9" w:rsidRDefault="00AF6F48" w:rsidP="00AF6F48">
      <w:pPr>
        <w:pStyle w:val="ItemHead"/>
      </w:pPr>
      <w:r w:rsidRPr="005A03F9">
        <w:t>4</w:t>
      </w:r>
      <w:r w:rsidR="005578FA" w:rsidRPr="005A03F9">
        <w:t>6</w:t>
      </w:r>
      <w:r w:rsidRPr="005A03F9">
        <w:t xml:space="preserve">  Table 1 in Part</w:t>
      </w:r>
      <w:r w:rsidR="005A03F9" w:rsidRPr="005A03F9">
        <w:t> </w:t>
      </w:r>
      <w:r w:rsidRPr="005A03F9">
        <w:t>2 of Schedule</w:t>
      </w:r>
      <w:r w:rsidR="005A03F9" w:rsidRPr="005A03F9">
        <w:t> </w:t>
      </w:r>
      <w:r w:rsidRPr="005A03F9">
        <w:t>1 (cell at table item</w:t>
      </w:r>
      <w:r w:rsidR="005A03F9" w:rsidRPr="005A03F9">
        <w:t> </w:t>
      </w:r>
      <w:r w:rsidRPr="005A03F9">
        <w:t>3504, column 4)</w:t>
      </w:r>
    </w:p>
    <w:p w:rsidR="00AF6F48" w:rsidRPr="005A03F9" w:rsidRDefault="00AF6F48" w:rsidP="00AF6F48">
      <w:pPr>
        <w:pStyle w:val="Item"/>
      </w:pPr>
      <w:r w:rsidRPr="005A03F9">
        <w:t>Repeal the cell, substitute:</w:t>
      </w:r>
    </w:p>
    <w:p w:rsidR="00575AFE" w:rsidRPr="005A03F9" w:rsidRDefault="00575AFE" w:rsidP="00575AFE">
      <w:pPr>
        <w:pStyle w:val="Tabletext"/>
      </w:pPr>
    </w:p>
    <w:tbl>
      <w:tblPr>
        <w:tblW w:w="0" w:type="auto"/>
        <w:tblInd w:w="817" w:type="dxa"/>
        <w:tblBorders>
          <w:insideH w:val="single" w:sz="4" w:space="0" w:color="auto"/>
        </w:tblBorders>
        <w:tblLayout w:type="fixed"/>
        <w:tblLook w:val="0000" w:firstRow="0" w:lastRow="0" w:firstColumn="0" w:lastColumn="0" w:noHBand="0" w:noVBand="0"/>
      </w:tblPr>
      <w:tblGrid>
        <w:gridCol w:w="3799"/>
      </w:tblGrid>
      <w:tr w:rsidR="00D3046A" w:rsidRPr="005A03F9" w:rsidTr="00D3046A">
        <w:tc>
          <w:tcPr>
            <w:tcW w:w="3799" w:type="dxa"/>
            <w:shd w:val="clear" w:color="auto" w:fill="auto"/>
          </w:tcPr>
          <w:p w:rsidR="00D3046A" w:rsidRPr="005A03F9" w:rsidRDefault="00D3046A" w:rsidP="00B26115">
            <w:pPr>
              <w:spacing w:after="200" w:line="276" w:lineRule="auto"/>
            </w:pPr>
            <w:r w:rsidRPr="005A03F9">
              <w:t xml:space="preserve">When used internally, </w:t>
            </w:r>
            <w:proofErr w:type="spellStart"/>
            <w:r w:rsidRPr="005A03F9">
              <w:t>oxedrine</w:t>
            </w:r>
            <w:proofErr w:type="spellEnd"/>
            <w:r w:rsidRPr="005A03F9">
              <w:t xml:space="preserve"> is a mandatory component of orange oil distilled.</w:t>
            </w:r>
          </w:p>
          <w:p w:rsidR="00D3046A" w:rsidRPr="005A03F9" w:rsidRDefault="00D3046A" w:rsidP="00B26115">
            <w:pPr>
              <w:spacing w:after="200" w:line="276" w:lineRule="auto"/>
            </w:pPr>
            <w:r w:rsidRPr="005A03F9">
              <w:t xml:space="preserve">The quantity of </w:t>
            </w:r>
            <w:proofErr w:type="spellStart"/>
            <w:r w:rsidRPr="005A03F9">
              <w:t>oxedrine</w:t>
            </w:r>
            <w:proofErr w:type="spellEnd"/>
            <w:r w:rsidRPr="005A03F9">
              <w:t xml:space="preserve"> in the maximum recommended daily dose must be no more than 30 milligrams.</w:t>
            </w:r>
          </w:p>
        </w:tc>
      </w:tr>
    </w:tbl>
    <w:p w:rsidR="00AF6F48" w:rsidRPr="005A03F9" w:rsidRDefault="005578FA" w:rsidP="00AF6F48">
      <w:pPr>
        <w:pStyle w:val="ItemHead"/>
      </w:pPr>
      <w:r w:rsidRPr="005A03F9">
        <w:t>47</w:t>
      </w:r>
      <w:r w:rsidR="00AF6F48" w:rsidRPr="005A03F9">
        <w:t xml:space="preserve">  Table 1 in Part</w:t>
      </w:r>
      <w:r w:rsidR="005A03F9" w:rsidRPr="005A03F9">
        <w:t> </w:t>
      </w:r>
      <w:r w:rsidR="00AF6F48" w:rsidRPr="005A03F9">
        <w:t>2 of Schedule</w:t>
      </w:r>
      <w:r w:rsidR="005A03F9" w:rsidRPr="005A03F9">
        <w:t> </w:t>
      </w:r>
      <w:r w:rsidR="00AF6F48" w:rsidRPr="005A03F9">
        <w:t>1 (cell at table item</w:t>
      </w:r>
      <w:r w:rsidR="005A03F9" w:rsidRPr="005A03F9">
        <w:t> </w:t>
      </w:r>
      <w:r w:rsidR="00AF6F48" w:rsidRPr="005A03F9">
        <w:t>3506, column 4)</w:t>
      </w:r>
    </w:p>
    <w:p w:rsidR="00AF6F48" w:rsidRPr="005A03F9" w:rsidRDefault="00AF6F48" w:rsidP="00AF6F48">
      <w:pPr>
        <w:pStyle w:val="Item"/>
      </w:pPr>
      <w:r w:rsidRPr="005A03F9">
        <w:t>Repeal the cell, substitute:</w:t>
      </w:r>
    </w:p>
    <w:p w:rsidR="00575AFE" w:rsidRPr="005A03F9" w:rsidRDefault="00575AFE" w:rsidP="00575AFE">
      <w:pPr>
        <w:pStyle w:val="Tabletext"/>
      </w:pPr>
    </w:p>
    <w:tbl>
      <w:tblPr>
        <w:tblW w:w="0" w:type="auto"/>
        <w:tblInd w:w="817" w:type="dxa"/>
        <w:tblBorders>
          <w:insideH w:val="single" w:sz="4" w:space="0" w:color="auto"/>
        </w:tblBorders>
        <w:tblLayout w:type="fixed"/>
        <w:tblLook w:val="0000" w:firstRow="0" w:lastRow="0" w:firstColumn="0" w:lastColumn="0" w:noHBand="0" w:noVBand="0"/>
      </w:tblPr>
      <w:tblGrid>
        <w:gridCol w:w="3799"/>
      </w:tblGrid>
      <w:tr w:rsidR="00D3046A" w:rsidRPr="005A03F9" w:rsidTr="00D3046A">
        <w:tc>
          <w:tcPr>
            <w:tcW w:w="3799" w:type="dxa"/>
            <w:shd w:val="clear" w:color="auto" w:fill="auto"/>
          </w:tcPr>
          <w:p w:rsidR="00D3046A" w:rsidRPr="005A03F9" w:rsidRDefault="00D3046A" w:rsidP="00B26115">
            <w:pPr>
              <w:spacing w:after="200" w:line="276" w:lineRule="auto"/>
            </w:pPr>
            <w:r w:rsidRPr="005A03F9">
              <w:t xml:space="preserve">When used internally, </w:t>
            </w:r>
            <w:proofErr w:type="spellStart"/>
            <w:r w:rsidRPr="005A03F9">
              <w:t>oxedrine</w:t>
            </w:r>
            <w:proofErr w:type="spellEnd"/>
            <w:r w:rsidRPr="005A03F9">
              <w:t xml:space="preserve"> is a mandatory component of orange oil </w:t>
            </w:r>
            <w:proofErr w:type="spellStart"/>
            <w:r w:rsidRPr="005A03F9">
              <w:t>terpeneless</w:t>
            </w:r>
            <w:proofErr w:type="spellEnd"/>
            <w:r w:rsidRPr="005A03F9">
              <w:t>.</w:t>
            </w:r>
          </w:p>
          <w:p w:rsidR="00D3046A" w:rsidRPr="005A03F9" w:rsidRDefault="00D3046A" w:rsidP="00B26115">
            <w:pPr>
              <w:spacing w:after="200" w:line="276" w:lineRule="auto"/>
            </w:pPr>
            <w:r w:rsidRPr="005A03F9">
              <w:t xml:space="preserve">The quantity of </w:t>
            </w:r>
            <w:proofErr w:type="spellStart"/>
            <w:r w:rsidRPr="005A03F9">
              <w:t>oxedrine</w:t>
            </w:r>
            <w:proofErr w:type="spellEnd"/>
            <w:r w:rsidRPr="005A03F9">
              <w:t xml:space="preserve"> in the maximum recommended daily dose must be no more than 30 milligrams.</w:t>
            </w:r>
          </w:p>
        </w:tc>
      </w:tr>
    </w:tbl>
    <w:p w:rsidR="00AF6F48" w:rsidRPr="005A03F9" w:rsidRDefault="00AF6F48" w:rsidP="00AF6F48">
      <w:pPr>
        <w:pStyle w:val="ItemHead"/>
      </w:pPr>
      <w:r w:rsidRPr="005A03F9">
        <w:t>4</w:t>
      </w:r>
      <w:r w:rsidR="005578FA" w:rsidRPr="005A03F9">
        <w:t>8</w:t>
      </w:r>
      <w:r w:rsidRPr="005A03F9">
        <w:t xml:space="preserve">  Table 1 in Part</w:t>
      </w:r>
      <w:r w:rsidR="005A03F9" w:rsidRPr="005A03F9">
        <w:t> </w:t>
      </w:r>
      <w:r w:rsidRPr="005A03F9">
        <w:t>2 of Schedule</w:t>
      </w:r>
      <w:r w:rsidR="005A03F9" w:rsidRPr="005A03F9">
        <w:t> </w:t>
      </w:r>
      <w:r w:rsidRPr="005A03F9">
        <w:t>1 (cell at table item</w:t>
      </w:r>
      <w:r w:rsidR="005A03F9" w:rsidRPr="005A03F9">
        <w:t> </w:t>
      </w:r>
      <w:r w:rsidRPr="005A03F9">
        <w:t>3508, column 4)</w:t>
      </w:r>
    </w:p>
    <w:p w:rsidR="00AF6F48" w:rsidRPr="005A03F9" w:rsidRDefault="00AF6F48" w:rsidP="00AF6F48">
      <w:pPr>
        <w:pStyle w:val="Item"/>
      </w:pPr>
      <w:r w:rsidRPr="005A03F9">
        <w:t>Repeal the cell, substitute:</w:t>
      </w:r>
    </w:p>
    <w:p w:rsidR="00575AFE" w:rsidRPr="005A03F9" w:rsidRDefault="00575AFE" w:rsidP="00575AFE">
      <w:pPr>
        <w:pStyle w:val="Tabletext"/>
      </w:pPr>
    </w:p>
    <w:tbl>
      <w:tblPr>
        <w:tblW w:w="0" w:type="auto"/>
        <w:tblInd w:w="817" w:type="dxa"/>
        <w:tblBorders>
          <w:insideH w:val="single" w:sz="4" w:space="0" w:color="auto"/>
        </w:tblBorders>
        <w:tblLayout w:type="fixed"/>
        <w:tblLook w:val="0000" w:firstRow="0" w:lastRow="0" w:firstColumn="0" w:lastColumn="0" w:noHBand="0" w:noVBand="0"/>
      </w:tblPr>
      <w:tblGrid>
        <w:gridCol w:w="3799"/>
      </w:tblGrid>
      <w:tr w:rsidR="00D3046A" w:rsidRPr="005A03F9" w:rsidTr="00D3046A">
        <w:tc>
          <w:tcPr>
            <w:tcW w:w="3799" w:type="dxa"/>
            <w:shd w:val="clear" w:color="auto" w:fill="auto"/>
          </w:tcPr>
          <w:p w:rsidR="00D3046A" w:rsidRPr="005A03F9" w:rsidRDefault="00D3046A" w:rsidP="00B26115">
            <w:pPr>
              <w:spacing w:after="200" w:line="276" w:lineRule="auto"/>
            </w:pPr>
            <w:r w:rsidRPr="005A03F9">
              <w:t xml:space="preserve">When used internally, </w:t>
            </w:r>
            <w:proofErr w:type="spellStart"/>
            <w:r w:rsidRPr="005A03F9">
              <w:t>oxedrine</w:t>
            </w:r>
            <w:proofErr w:type="spellEnd"/>
            <w:r w:rsidRPr="005A03F9">
              <w:t xml:space="preserve"> is a mandatory component of orange peel dried bitter.</w:t>
            </w:r>
          </w:p>
          <w:p w:rsidR="00D3046A" w:rsidRPr="005A03F9" w:rsidRDefault="00D3046A" w:rsidP="00B26115">
            <w:pPr>
              <w:spacing w:after="200" w:line="276" w:lineRule="auto"/>
            </w:pPr>
            <w:r w:rsidRPr="005A03F9">
              <w:t xml:space="preserve">The quantity of </w:t>
            </w:r>
            <w:proofErr w:type="spellStart"/>
            <w:r w:rsidRPr="005A03F9">
              <w:t>oxedrine</w:t>
            </w:r>
            <w:proofErr w:type="spellEnd"/>
            <w:r w:rsidRPr="005A03F9">
              <w:t xml:space="preserve"> in the maximum recommended daily dose must be no more than 30 milligrams.</w:t>
            </w:r>
          </w:p>
        </w:tc>
      </w:tr>
    </w:tbl>
    <w:p w:rsidR="00AF6F48" w:rsidRPr="005A03F9" w:rsidRDefault="005578FA" w:rsidP="00AF6F48">
      <w:pPr>
        <w:pStyle w:val="ItemHead"/>
      </w:pPr>
      <w:r w:rsidRPr="005A03F9">
        <w:t>49</w:t>
      </w:r>
      <w:r w:rsidR="00AF6F48" w:rsidRPr="005A03F9">
        <w:t xml:space="preserve">  Table 1 in Part</w:t>
      </w:r>
      <w:r w:rsidR="005A03F9" w:rsidRPr="005A03F9">
        <w:t> </w:t>
      </w:r>
      <w:r w:rsidR="00AF6F48" w:rsidRPr="005A03F9">
        <w:t>2 of Sc</w:t>
      </w:r>
      <w:r w:rsidR="00E8156C" w:rsidRPr="005A03F9">
        <w:t>hedule</w:t>
      </w:r>
      <w:r w:rsidR="005A03F9" w:rsidRPr="005A03F9">
        <w:t> </w:t>
      </w:r>
      <w:r w:rsidR="00E8156C" w:rsidRPr="005A03F9">
        <w:t>1 (cell at table item</w:t>
      </w:r>
      <w:r w:rsidR="005A03F9" w:rsidRPr="005A03F9">
        <w:t> </w:t>
      </w:r>
      <w:r w:rsidR="00E8156C" w:rsidRPr="005A03F9">
        <w:t>3713</w:t>
      </w:r>
      <w:r w:rsidR="00AF6F48" w:rsidRPr="005A03F9">
        <w:t>, column 4)</w:t>
      </w:r>
    </w:p>
    <w:p w:rsidR="00AF6F48" w:rsidRPr="005A03F9" w:rsidRDefault="00AF6F48" w:rsidP="00AF6F48">
      <w:pPr>
        <w:pStyle w:val="Item"/>
      </w:pPr>
      <w:r w:rsidRPr="005A03F9">
        <w:t>Repeal the cell, substitute:</w:t>
      </w:r>
    </w:p>
    <w:p w:rsidR="00575AFE" w:rsidRPr="005A03F9" w:rsidRDefault="00575AFE" w:rsidP="00575AFE">
      <w:pPr>
        <w:pStyle w:val="Tabletext"/>
      </w:pPr>
    </w:p>
    <w:tbl>
      <w:tblPr>
        <w:tblW w:w="0" w:type="auto"/>
        <w:tblInd w:w="817" w:type="dxa"/>
        <w:tblBorders>
          <w:insideH w:val="single" w:sz="4" w:space="0" w:color="auto"/>
        </w:tblBorders>
        <w:tblLayout w:type="fixed"/>
        <w:tblLook w:val="0000" w:firstRow="0" w:lastRow="0" w:firstColumn="0" w:lastColumn="0" w:noHBand="0" w:noVBand="0"/>
      </w:tblPr>
      <w:tblGrid>
        <w:gridCol w:w="3799"/>
      </w:tblGrid>
      <w:tr w:rsidR="00887E4E" w:rsidRPr="005A03F9" w:rsidTr="00887E4E">
        <w:tc>
          <w:tcPr>
            <w:tcW w:w="3799" w:type="dxa"/>
            <w:shd w:val="clear" w:color="auto" w:fill="auto"/>
          </w:tcPr>
          <w:p w:rsidR="00887E4E" w:rsidRPr="005A03F9" w:rsidRDefault="00887E4E" w:rsidP="00B26115">
            <w:pPr>
              <w:spacing w:after="200" w:line="276" w:lineRule="auto"/>
            </w:pPr>
            <w:r w:rsidRPr="005A03F9">
              <w:t xml:space="preserve">When used internally, </w:t>
            </w:r>
            <w:proofErr w:type="spellStart"/>
            <w:r w:rsidRPr="005A03F9">
              <w:t>oxedrine</w:t>
            </w:r>
            <w:proofErr w:type="spellEnd"/>
            <w:r w:rsidRPr="005A03F9">
              <w:t xml:space="preserve"> is a mandatory component of </w:t>
            </w:r>
            <w:proofErr w:type="spellStart"/>
            <w:r w:rsidRPr="005A03F9">
              <w:t>petitgrain</w:t>
            </w:r>
            <w:proofErr w:type="spellEnd"/>
            <w:r w:rsidRPr="005A03F9">
              <w:t xml:space="preserve"> oil </w:t>
            </w:r>
            <w:proofErr w:type="spellStart"/>
            <w:r w:rsidRPr="005A03F9">
              <w:t>paraguay</w:t>
            </w:r>
            <w:proofErr w:type="spellEnd"/>
            <w:r w:rsidRPr="005A03F9">
              <w:t>.</w:t>
            </w:r>
          </w:p>
          <w:p w:rsidR="00887E4E" w:rsidRPr="005A03F9" w:rsidRDefault="00887E4E" w:rsidP="00B26115">
            <w:pPr>
              <w:spacing w:after="200" w:line="276" w:lineRule="auto"/>
            </w:pPr>
            <w:r w:rsidRPr="005A03F9">
              <w:t xml:space="preserve">The quantity of </w:t>
            </w:r>
            <w:proofErr w:type="spellStart"/>
            <w:r w:rsidRPr="005A03F9">
              <w:t>oxedrine</w:t>
            </w:r>
            <w:proofErr w:type="spellEnd"/>
            <w:r w:rsidRPr="005A03F9">
              <w:t xml:space="preserve"> in the maximum recommended daily dose must be no more than 30 milligrams.</w:t>
            </w:r>
          </w:p>
        </w:tc>
      </w:tr>
    </w:tbl>
    <w:p w:rsidR="00EE09FF" w:rsidRPr="005A03F9" w:rsidRDefault="005578FA" w:rsidP="00EE09FF">
      <w:pPr>
        <w:pStyle w:val="ItemHead"/>
      </w:pPr>
      <w:r w:rsidRPr="005A03F9">
        <w:t>50</w:t>
      </w:r>
      <w:r w:rsidR="00EE09FF" w:rsidRPr="005A03F9">
        <w:t xml:space="preserve">  Table 1 in Part</w:t>
      </w:r>
      <w:r w:rsidR="005A03F9" w:rsidRPr="005A03F9">
        <w:t> </w:t>
      </w:r>
      <w:r w:rsidR="00EE09FF" w:rsidRPr="005A03F9">
        <w:t>2 of Schedule</w:t>
      </w:r>
      <w:r w:rsidR="005A03F9" w:rsidRPr="005A03F9">
        <w:t> </w:t>
      </w:r>
      <w:r w:rsidR="00EE09FF" w:rsidRPr="005A03F9">
        <w:t>1 (after table item</w:t>
      </w:r>
      <w:r w:rsidR="005A03F9" w:rsidRPr="005A03F9">
        <w:t> </w:t>
      </w:r>
      <w:r w:rsidR="00EE09FF" w:rsidRPr="005A03F9">
        <w:t>3866)</w:t>
      </w:r>
    </w:p>
    <w:p w:rsidR="00EE09FF" w:rsidRPr="005A03F9" w:rsidRDefault="00EE09FF" w:rsidP="00EE09FF">
      <w:pPr>
        <w:pStyle w:val="Item"/>
      </w:pPr>
      <w:r w:rsidRPr="005A03F9">
        <w:t>Insert:</w:t>
      </w:r>
    </w:p>
    <w:p w:rsidR="00E747E8" w:rsidRPr="005A03F9" w:rsidRDefault="00E747E8" w:rsidP="00E747E8">
      <w:pPr>
        <w:pStyle w:val="Tabletext"/>
      </w:pPr>
    </w:p>
    <w:tbl>
      <w:tblPr>
        <w:tblStyle w:val="TableGrid"/>
        <w:tblW w:w="0" w:type="auto"/>
        <w:tblBorders>
          <w:top w:val="none" w:sz="0" w:space="0" w:color="auto"/>
          <w:bottom w:val="none" w:sz="0" w:space="0" w:color="auto"/>
        </w:tblBorders>
        <w:tblLook w:val="04A0" w:firstRow="1" w:lastRow="0" w:firstColumn="1" w:lastColumn="0" w:noHBand="0" w:noVBand="1"/>
      </w:tblPr>
      <w:tblGrid>
        <w:gridCol w:w="1298"/>
        <w:gridCol w:w="2540"/>
        <w:gridCol w:w="1048"/>
        <w:gridCol w:w="3643"/>
      </w:tblGrid>
      <w:tr w:rsidR="00EE09FF" w:rsidRPr="005A03F9" w:rsidTr="00887E4E">
        <w:tc>
          <w:tcPr>
            <w:tcW w:w="1384" w:type="dxa"/>
          </w:tcPr>
          <w:p w:rsidR="00EE09FF" w:rsidRPr="005A03F9" w:rsidRDefault="00EE09FF" w:rsidP="00B26115">
            <w:pPr>
              <w:spacing w:after="200" w:line="276" w:lineRule="auto"/>
            </w:pPr>
            <w:r w:rsidRPr="005A03F9">
              <w:t>3866A</w:t>
            </w:r>
          </w:p>
        </w:tc>
        <w:tc>
          <w:tcPr>
            <w:tcW w:w="2693" w:type="dxa"/>
          </w:tcPr>
          <w:p w:rsidR="00EE09FF" w:rsidRPr="005A03F9" w:rsidRDefault="00EE09FF" w:rsidP="00B26115">
            <w:pPr>
              <w:spacing w:after="200" w:line="276" w:lineRule="auto"/>
            </w:pPr>
            <w:proofErr w:type="spellStart"/>
            <w:r w:rsidRPr="005A03F9">
              <w:t>POLIGLUSAM</w:t>
            </w:r>
            <w:proofErr w:type="spellEnd"/>
            <w:r w:rsidRPr="005A03F9">
              <w:t xml:space="preserve"> DERIVED FROM ASPERGILLUS NIGER</w:t>
            </w:r>
          </w:p>
        </w:tc>
        <w:tc>
          <w:tcPr>
            <w:tcW w:w="1134" w:type="dxa"/>
          </w:tcPr>
          <w:p w:rsidR="00EE09FF" w:rsidRPr="005A03F9" w:rsidRDefault="00EE09FF" w:rsidP="00B26115">
            <w:pPr>
              <w:spacing w:after="200" w:line="276" w:lineRule="auto"/>
            </w:pPr>
            <w:proofErr w:type="spellStart"/>
            <w:r w:rsidRPr="005A03F9">
              <w:t>A,E</w:t>
            </w:r>
            <w:proofErr w:type="spellEnd"/>
          </w:p>
        </w:tc>
        <w:tc>
          <w:tcPr>
            <w:tcW w:w="4031" w:type="dxa"/>
          </w:tcPr>
          <w:p w:rsidR="00EE09FF" w:rsidRPr="005A03F9" w:rsidRDefault="00EE09FF" w:rsidP="00B26115">
            <w:pPr>
              <w:spacing w:after="200" w:line="276" w:lineRule="auto"/>
            </w:pPr>
            <w:r w:rsidRPr="005A03F9">
              <w:t xml:space="preserve">When for oral use, the medicine must provide no more than 2000 milligrams of </w:t>
            </w:r>
            <w:proofErr w:type="spellStart"/>
            <w:r w:rsidRPr="005A03F9">
              <w:t>Poliglusam</w:t>
            </w:r>
            <w:proofErr w:type="spellEnd"/>
            <w:r w:rsidRPr="005A03F9">
              <w:t xml:space="preserve"> derived from Aspergillus </w:t>
            </w:r>
            <w:proofErr w:type="spellStart"/>
            <w:r w:rsidRPr="005A03F9">
              <w:t>niger</w:t>
            </w:r>
            <w:proofErr w:type="spellEnd"/>
            <w:r w:rsidRPr="005A03F9">
              <w:t xml:space="preserve"> per maximum recommended daily dose and requires the following warning statement on the medicine label:</w:t>
            </w:r>
          </w:p>
          <w:p w:rsidR="00EE09FF" w:rsidRPr="005A03F9" w:rsidRDefault="005A03F9" w:rsidP="00B26115">
            <w:pPr>
              <w:spacing w:after="200" w:line="276" w:lineRule="auto"/>
            </w:pPr>
            <w:r>
              <w:noBreakHyphen/>
            </w:r>
            <w:r w:rsidR="00EE09FF" w:rsidRPr="005A03F9">
              <w:t xml:space="preserve"> (</w:t>
            </w:r>
            <w:proofErr w:type="spellStart"/>
            <w:r w:rsidR="00EE09FF" w:rsidRPr="005A03F9">
              <w:t>CHITO</w:t>
            </w:r>
            <w:proofErr w:type="spellEnd"/>
            <w:r w:rsidR="00EE09FF" w:rsidRPr="005A03F9">
              <w:t>) '</w:t>
            </w:r>
            <w:proofErr w:type="spellStart"/>
            <w:r w:rsidR="00EE09FF" w:rsidRPr="005A03F9">
              <w:t>Poliglusam</w:t>
            </w:r>
            <w:proofErr w:type="spellEnd"/>
            <w:r w:rsidR="00EE09FF" w:rsidRPr="005A03F9">
              <w:t xml:space="preserve"> should be taken at least one hour after any other medication as it may reduce the effect of other medication' (or words to that effect).</w:t>
            </w:r>
          </w:p>
          <w:p w:rsidR="00EE09FF" w:rsidRPr="005A03F9" w:rsidRDefault="00EE09FF" w:rsidP="00B26115">
            <w:pPr>
              <w:spacing w:after="200" w:line="276" w:lineRule="auto"/>
            </w:pPr>
            <w:r w:rsidRPr="005A03F9">
              <w:t>If the medicine is a powdered dosage form, the medicine also requires the following warning statement on the medicine label:</w:t>
            </w:r>
          </w:p>
          <w:p w:rsidR="00EE09FF" w:rsidRPr="005A03F9" w:rsidRDefault="005A03F9" w:rsidP="00B26115">
            <w:pPr>
              <w:spacing w:after="200" w:line="276" w:lineRule="auto"/>
            </w:pPr>
            <w:r>
              <w:noBreakHyphen/>
            </w:r>
            <w:r w:rsidR="00EE09FF" w:rsidRPr="005A03F9">
              <w:t xml:space="preserve"> 'Do not take powder alone. Mix with food or fluid.'</w:t>
            </w:r>
          </w:p>
          <w:p w:rsidR="00EE09FF" w:rsidRPr="005A03F9" w:rsidRDefault="00EE09FF" w:rsidP="00B26115">
            <w:pPr>
              <w:spacing w:after="200" w:line="276" w:lineRule="auto"/>
            </w:pPr>
            <w:r w:rsidRPr="005A03F9">
              <w:t xml:space="preserve">When used as an excipient, </w:t>
            </w:r>
            <w:proofErr w:type="spellStart"/>
            <w:r w:rsidRPr="005A03F9">
              <w:t>Poliglusam</w:t>
            </w:r>
            <w:proofErr w:type="spellEnd"/>
            <w:r w:rsidRPr="005A03F9">
              <w:t xml:space="preserve"> derived from Aspergillus </w:t>
            </w:r>
            <w:proofErr w:type="spellStart"/>
            <w:r w:rsidRPr="005A03F9">
              <w:t>niger</w:t>
            </w:r>
            <w:proofErr w:type="spellEnd"/>
            <w:r w:rsidRPr="005A03F9">
              <w:t xml:space="preserve"> is only permitted for use in topical medicines for dermal application.</w:t>
            </w:r>
          </w:p>
        </w:tc>
      </w:tr>
    </w:tbl>
    <w:p w:rsidR="00AF6F48" w:rsidRPr="005A03F9" w:rsidRDefault="00EE09FF" w:rsidP="00AF6F48">
      <w:pPr>
        <w:pStyle w:val="ItemHead"/>
      </w:pPr>
      <w:r w:rsidRPr="005A03F9">
        <w:t>5</w:t>
      </w:r>
      <w:r w:rsidR="005578FA" w:rsidRPr="005A03F9">
        <w:t>1</w:t>
      </w:r>
      <w:r w:rsidR="00AF6F48" w:rsidRPr="005A03F9">
        <w:t xml:space="preserve">  Table 1 in Part</w:t>
      </w:r>
      <w:r w:rsidR="005A03F9" w:rsidRPr="005A03F9">
        <w:t> </w:t>
      </w:r>
      <w:r w:rsidR="00AF6F48" w:rsidRPr="005A03F9">
        <w:t>2 of Sc</w:t>
      </w:r>
      <w:r w:rsidRPr="005A03F9">
        <w:t>hedule</w:t>
      </w:r>
      <w:r w:rsidR="005A03F9" w:rsidRPr="005A03F9">
        <w:t> </w:t>
      </w:r>
      <w:r w:rsidRPr="005A03F9">
        <w:t>1 (cell at table item</w:t>
      </w:r>
      <w:r w:rsidR="005A03F9" w:rsidRPr="005A03F9">
        <w:t> </w:t>
      </w:r>
      <w:r w:rsidRPr="005A03F9">
        <w:t>3892</w:t>
      </w:r>
      <w:r w:rsidR="00AF6F48" w:rsidRPr="005A03F9">
        <w:t>, column 4)</w:t>
      </w:r>
    </w:p>
    <w:p w:rsidR="00AF6F48" w:rsidRPr="005A03F9" w:rsidRDefault="00AF6F48" w:rsidP="00AF6F48">
      <w:pPr>
        <w:pStyle w:val="Item"/>
      </w:pPr>
      <w:r w:rsidRPr="005A03F9">
        <w:t>Repeal the cell, substitute:</w:t>
      </w:r>
    </w:p>
    <w:p w:rsidR="00575AFE" w:rsidRPr="005A03F9" w:rsidRDefault="00575AFE" w:rsidP="00575AFE">
      <w:pPr>
        <w:pStyle w:val="Tabletext"/>
      </w:pPr>
    </w:p>
    <w:tbl>
      <w:tblPr>
        <w:tblW w:w="0" w:type="auto"/>
        <w:tblInd w:w="817" w:type="dxa"/>
        <w:tblBorders>
          <w:insideH w:val="single" w:sz="4" w:space="0" w:color="auto"/>
        </w:tblBorders>
        <w:tblLayout w:type="fixed"/>
        <w:tblLook w:val="0000" w:firstRow="0" w:lastRow="0" w:firstColumn="0" w:lastColumn="0" w:noHBand="0" w:noVBand="0"/>
      </w:tblPr>
      <w:tblGrid>
        <w:gridCol w:w="3799"/>
      </w:tblGrid>
      <w:tr w:rsidR="00887E4E" w:rsidRPr="005A03F9" w:rsidTr="00887E4E">
        <w:tc>
          <w:tcPr>
            <w:tcW w:w="3799" w:type="dxa"/>
            <w:shd w:val="clear" w:color="auto" w:fill="auto"/>
          </w:tcPr>
          <w:p w:rsidR="00887E4E" w:rsidRPr="005A03F9" w:rsidRDefault="00887E4E" w:rsidP="00B26115">
            <w:pPr>
              <w:spacing w:after="200" w:line="276" w:lineRule="auto"/>
            </w:pPr>
            <w:r w:rsidRPr="005A03F9">
              <w:t>Except when used in a medicine containing only homoeopathic preparations, a child resistant closure and restricted flow insert must be fitted onto the container.</w:t>
            </w:r>
          </w:p>
        </w:tc>
      </w:tr>
    </w:tbl>
    <w:p w:rsidR="00E8156C" w:rsidRPr="005A03F9" w:rsidRDefault="00EE09FF" w:rsidP="00E8156C">
      <w:pPr>
        <w:pStyle w:val="ItemHead"/>
      </w:pPr>
      <w:r w:rsidRPr="005A03F9">
        <w:t>5</w:t>
      </w:r>
      <w:r w:rsidR="005578FA" w:rsidRPr="005A03F9">
        <w:t>2</w:t>
      </w:r>
      <w:r w:rsidR="00E8156C" w:rsidRPr="005A03F9">
        <w:t xml:space="preserve">  Table 1 in Part</w:t>
      </w:r>
      <w:r w:rsidR="005A03F9" w:rsidRPr="005A03F9">
        <w:t> </w:t>
      </w:r>
      <w:r w:rsidR="00E8156C" w:rsidRPr="005A03F9">
        <w:t>2 of Sc</w:t>
      </w:r>
      <w:r w:rsidRPr="005A03F9">
        <w:t>hedule</w:t>
      </w:r>
      <w:r w:rsidR="005A03F9" w:rsidRPr="005A03F9">
        <w:t> </w:t>
      </w:r>
      <w:r w:rsidRPr="005A03F9">
        <w:t>1 (cell at table item</w:t>
      </w:r>
      <w:r w:rsidR="005A03F9" w:rsidRPr="005A03F9">
        <w:t> </w:t>
      </w:r>
      <w:r w:rsidRPr="005A03F9">
        <w:t>3921</w:t>
      </w:r>
      <w:r w:rsidR="00E8156C" w:rsidRPr="005A03F9">
        <w:t>, column 4)</w:t>
      </w:r>
    </w:p>
    <w:p w:rsidR="00E8156C" w:rsidRPr="005A03F9" w:rsidRDefault="00E8156C" w:rsidP="00E8156C">
      <w:pPr>
        <w:pStyle w:val="Item"/>
      </w:pPr>
      <w:r w:rsidRPr="005A03F9">
        <w:t>Repeal the cell, substitute:</w:t>
      </w:r>
    </w:p>
    <w:p w:rsidR="00575AFE" w:rsidRPr="005A03F9" w:rsidRDefault="00575AFE" w:rsidP="00575AFE">
      <w:pPr>
        <w:pStyle w:val="Tabletext"/>
      </w:pPr>
    </w:p>
    <w:tbl>
      <w:tblPr>
        <w:tblW w:w="0" w:type="auto"/>
        <w:tblInd w:w="817" w:type="dxa"/>
        <w:tblBorders>
          <w:insideH w:val="single" w:sz="4" w:space="0" w:color="auto"/>
        </w:tblBorders>
        <w:tblLayout w:type="fixed"/>
        <w:tblLook w:val="0000" w:firstRow="0" w:lastRow="0" w:firstColumn="0" w:lastColumn="0" w:noHBand="0" w:noVBand="0"/>
      </w:tblPr>
      <w:tblGrid>
        <w:gridCol w:w="3799"/>
      </w:tblGrid>
      <w:tr w:rsidR="00887E4E" w:rsidRPr="005A03F9" w:rsidTr="00887E4E">
        <w:tc>
          <w:tcPr>
            <w:tcW w:w="3799" w:type="dxa"/>
            <w:shd w:val="clear" w:color="auto" w:fill="auto"/>
          </w:tcPr>
          <w:p w:rsidR="00887E4E" w:rsidRPr="005A03F9" w:rsidRDefault="00887E4E" w:rsidP="006B687D">
            <w:pPr>
              <w:spacing w:after="200" w:line="276" w:lineRule="auto"/>
            </w:pPr>
            <w:r w:rsidRPr="005A03F9">
              <w:t>Only for use when the dosage form is 'chewing gum'.</w:t>
            </w:r>
          </w:p>
          <w:p w:rsidR="00887E4E" w:rsidRPr="005A03F9" w:rsidRDefault="00887E4E" w:rsidP="006B687D">
            <w:pPr>
              <w:spacing w:after="200" w:line="276" w:lineRule="auto"/>
            </w:pPr>
            <w:r w:rsidRPr="005A03F9">
              <w:t>Must comply with:</w:t>
            </w:r>
          </w:p>
          <w:p w:rsidR="00887E4E" w:rsidRPr="005A03F9" w:rsidRDefault="00887E4E" w:rsidP="006B687D">
            <w:pPr>
              <w:spacing w:after="200" w:line="276" w:lineRule="auto"/>
            </w:pPr>
            <w:r w:rsidRPr="005A03F9">
              <w:t xml:space="preserve">a) the </w:t>
            </w:r>
            <w:proofErr w:type="spellStart"/>
            <w:r w:rsidRPr="005A03F9">
              <w:t>Polyisobutylene</w:t>
            </w:r>
            <w:proofErr w:type="spellEnd"/>
            <w:r w:rsidRPr="005A03F9">
              <w:t xml:space="preserve"> monograph in the Food Chemicals Codex published by the United States </w:t>
            </w:r>
            <w:proofErr w:type="spellStart"/>
            <w:r w:rsidRPr="005A03F9">
              <w:t>Pharmacopeial</w:t>
            </w:r>
            <w:proofErr w:type="spellEnd"/>
            <w:r w:rsidRPr="005A03F9">
              <w:t xml:space="preserve"> Convention, as in force or existing from time to time; and</w:t>
            </w:r>
          </w:p>
          <w:p w:rsidR="00887E4E" w:rsidRPr="005A03F9" w:rsidRDefault="00887E4E" w:rsidP="006B687D">
            <w:pPr>
              <w:spacing w:after="200" w:line="276" w:lineRule="auto"/>
            </w:pPr>
            <w:r w:rsidRPr="005A03F9">
              <w:t>b) the requirements for residual solvents and catalysts in the British Pharmacopeia or the United States Pharmacopeia</w:t>
            </w:r>
            <w:r w:rsidR="005A03F9">
              <w:noBreakHyphen/>
            </w:r>
            <w:r w:rsidRPr="005A03F9">
              <w:t>National Formulary.</w:t>
            </w:r>
          </w:p>
        </w:tc>
      </w:tr>
    </w:tbl>
    <w:p w:rsidR="00EE09FF" w:rsidRPr="005A03F9" w:rsidRDefault="005578FA" w:rsidP="00EE09FF">
      <w:pPr>
        <w:pStyle w:val="ItemHead"/>
      </w:pPr>
      <w:r w:rsidRPr="005A03F9">
        <w:t>53</w:t>
      </w:r>
      <w:r w:rsidR="00EE09FF" w:rsidRPr="005A03F9">
        <w:t xml:space="preserve">  Table 1 in Part</w:t>
      </w:r>
      <w:r w:rsidR="005A03F9" w:rsidRPr="005A03F9">
        <w:t> </w:t>
      </w:r>
      <w:r w:rsidR="00EE09FF" w:rsidRPr="005A03F9">
        <w:t>2 of Schedule</w:t>
      </w:r>
      <w:r w:rsidR="005A03F9" w:rsidRPr="005A03F9">
        <w:t> </w:t>
      </w:r>
      <w:r w:rsidR="00EE09FF" w:rsidRPr="005A03F9">
        <w:t>1 (table item</w:t>
      </w:r>
      <w:r w:rsidR="005A03F9" w:rsidRPr="005A03F9">
        <w:t> </w:t>
      </w:r>
      <w:r w:rsidR="00EE09FF" w:rsidRPr="005A03F9">
        <w:t>3992)</w:t>
      </w:r>
    </w:p>
    <w:p w:rsidR="00EE09FF" w:rsidRPr="005A03F9" w:rsidRDefault="00EE09FF" w:rsidP="00EE09FF">
      <w:pPr>
        <w:pStyle w:val="Item"/>
      </w:pPr>
      <w:r w:rsidRPr="005A03F9">
        <w:t>Repeal the item, substitute:</w:t>
      </w:r>
    </w:p>
    <w:p w:rsidR="00575AFE" w:rsidRPr="005A03F9" w:rsidRDefault="00575AFE" w:rsidP="00575AFE">
      <w:pPr>
        <w:pStyle w:val="Tabletext"/>
      </w:pPr>
    </w:p>
    <w:tbl>
      <w:tblPr>
        <w:tblStyle w:val="TableGrid"/>
        <w:tblW w:w="0" w:type="auto"/>
        <w:tblBorders>
          <w:top w:val="none" w:sz="0" w:space="0" w:color="auto"/>
          <w:bottom w:val="none" w:sz="0" w:space="0" w:color="auto"/>
        </w:tblBorders>
        <w:tblLook w:val="04A0" w:firstRow="1" w:lastRow="0" w:firstColumn="1" w:lastColumn="0" w:noHBand="0" w:noVBand="1"/>
      </w:tblPr>
      <w:tblGrid>
        <w:gridCol w:w="1286"/>
        <w:gridCol w:w="2526"/>
        <w:gridCol w:w="1060"/>
        <w:gridCol w:w="3657"/>
      </w:tblGrid>
      <w:tr w:rsidR="00EE09FF" w:rsidRPr="005A03F9" w:rsidTr="00887E4E">
        <w:tc>
          <w:tcPr>
            <w:tcW w:w="1384" w:type="dxa"/>
          </w:tcPr>
          <w:p w:rsidR="00EE09FF" w:rsidRPr="005A03F9" w:rsidRDefault="00EE09FF" w:rsidP="00B26115">
            <w:pPr>
              <w:spacing w:after="200" w:line="276" w:lineRule="auto"/>
            </w:pPr>
            <w:r w:rsidRPr="005A03F9">
              <w:t>3992</w:t>
            </w:r>
          </w:p>
        </w:tc>
        <w:tc>
          <w:tcPr>
            <w:tcW w:w="2693" w:type="dxa"/>
          </w:tcPr>
          <w:p w:rsidR="00EE09FF" w:rsidRPr="005A03F9" w:rsidRDefault="00EE09FF" w:rsidP="00B26115">
            <w:pPr>
              <w:spacing w:after="200" w:line="276" w:lineRule="auto"/>
            </w:pPr>
            <w:r w:rsidRPr="005A03F9">
              <w:t>POTASSIUM IODATE</w:t>
            </w:r>
          </w:p>
        </w:tc>
        <w:tc>
          <w:tcPr>
            <w:tcW w:w="1134" w:type="dxa"/>
          </w:tcPr>
          <w:p w:rsidR="00EE09FF" w:rsidRPr="005A03F9" w:rsidRDefault="00EE09FF" w:rsidP="00B26115">
            <w:pPr>
              <w:spacing w:after="200" w:line="276" w:lineRule="auto"/>
            </w:pPr>
            <w:proofErr w:type="spellStart"/>
            <w:r w:rsidRPr="005A03F9">
              <w:t>A,H</w:t>
            </w:r>
            <w:proofErr w:type="spellEnd"/>
          </w:p>
        </w:tc>
        <w:tc>
          <w:tcPr>
            <w:tcW w:w="4031" w:type="dxa"/>
          </w:tcPr>
          <w:p w:rsidR="00EE09FF" w:rsidRPr="005A03F9" w:rsidRDefault="00EE09FF" w:rsidP="00B26115">
            <w:pPr>
              <w:spacing w:after="200" w:line="276" w:lineRule="auto"/>
            </w:pPr>
            <w:r w:rsidRPr="005A03F9">
              <w:t>Iodine is a mandatory component of potassium iodate.</w:t>
            </w:r>
          </w:p>
          <w:p w:rsidR="00EE09FF" w:rsidRPr="005A03F9" w:rsidRDefault="00EE09FF" w:rsidP="00B26115">
            <w:pPr>
              <w:spacing w:after="200" w:line="276" w:lineRule="auto"/>
            </w:pPr>
            <w:r w:rsidRPr="005A03F9">
              <w:t>The percentage of iodine from potassium iodate should be calculated based on the molecular weight of potassium iodate.</w:t>
            </w:r>
          </w:p>
          <w:p w:rsidR="00EE09FF" w:rsidRPr="005A03F9" w:rsidRDefault="00EE09FF" w:rsidP="00B26115">
            <w:pPr>
              <w:spacing w:after="200" w:line="276" w:lineRule="auto"/>
            </w:pPr>
            <w:r w:rsidRPr="005A03F9">
              <w:t>When for use in adults, the medicine must contain a daily dose of no more than 505 mic</w:t>
            </w:r>
            <w:r w:rsidR="001408BE" w:rsidRPr="005A03F9">
              <w:t>rograms of potassium iodate.</w:t>
            </w:r>
          </w:p>
          <w:p w:rsidR="00EE09FF" w:rsidRPr="005A03F9" w:rsidRDefault="00EE09FF" w:rsidP="00B26115">
            <w:pPr>
              <w:spacing w:after="200" w:line="276" w:lineRule="auto"/>
            </w:pPr>
            <w:r w:rsidRPr="005A03F9">
              <w:t>When for use in children aged 1</w:t>
            </w:r>
            <w:r w:rsidR="005A03F9">
              <w:noBreakHyphen/>
            </w:r>
            <w:r w:rsidRPr="005A03F9">
              <w:t>3 years, the medicine must contain a daily dose of no more than 337 micrograms of potassium iodate.</w:t>
            </w:r>
          </w:p>
        </w:tc>
      </w:tr>
    </w:tbl>
    <w:p w:rsidR="00510EF0" w:rsidRPr="005A03F9" w:rsidRDefault="00510EF0" w:rsidP="00510EF0">
      <w:pPr>
        <w:pStyle w:val="ItemHead"/>
      </w:pPr>
      <w:r w:rsidRPr="005A03F9">
        <w:t>5</w:t>
      </w:r>
      <w:r w:rsidR="005578FA" w:rsidRPr="005A03F9">
        <w:t>4</w:t>
      </w:r>
      <w:r w:rsidRPr="005A03F9">
        <w:t xml:space="preserve">  Table 1 in Part</w:t>
      </w:r>
      <w:r w:rsidR="005A03F9" w:rsidRPr="005A03F9">
        <w:t> </w:t>
      </w:r>
      <w:r w:rsidRPr="005A03F9">
        <w:t>2 of Schedule</w:t>
      </w:r>
      <w:r w:rsidR="005A03F9" w:rsidRPr="005A03F9">
        <w:t> </w:t>
      </w:r>
      <w:r w:rsidRPr="005A03F9">
        <w:t>1 (cell at table item</w:t>
      </w:r>
      <w:r w:rsidR="005A03F9" w:rsidRPr="005A03F9">
        <w:t> </w:t>
      </w:r>
      <w:r w:rsidRPr="005A03F9">
        <w:t>4156, column 4)</w:t>
      </w:r>
    </w:p>
    <w:p w:rsidR="00510EF0" w:rsidRPr="005A03F9" w:rsidRDefault="00510EF0" w:rsidP="00510EF0">
      <w:pPr>
        <w:pStyle w:val="Item"/>
      </w:pPr>
      <w:r w:rsidRPr="005A03F9">
        <w:t>Repeal the cell, substitute:</w:t>
      </w:r>
    </w:p>
    <w:p w:rsidR="00575AFE" w:rsidRPr="005A03F9" w:rsidRDefault="00575AFE" w:rsidP="00575AFE">
      <w:pPr>
        <w:pStyle w:val="Tabletext"/>
      </w:pPr>
    </w:p>
    <w:tbl>
      <w:tblPr>
        <w:tblW w:w="0" w:type="auto"/>
        <w:tblInd w:w="817" w:type="dxa"/>
        <w:tblBorders>
          <w:insideH w:val="single" w:sz="4" w:space="0" w:color="auto"/>
        </w:tblBorders>
        <w:tblLayout w:type="fixed"/>
        <w:tblLook w:val="0000" w:firstRow="0" w:lastRow="0" w:firstColumn="0" w:lastColumn="0" w:noHBand="0" w:noVBand="0"/>
      </w:tblPr>
      <w:tblGrid>
        <w:gridCol w:w="3799"/>
      </w:tblGrid>
      <w:tr w:rsidR="00887E4E" w:rsidRPr="005A03F9" w:rsidTr="00887E4E">
        <w:tc>
          <w:tcPr>
            <w:tcW w:w="3799" w:type="dxa"/>
            <w:shd w:val="clear" w:color="auto" w:fill="auto"/>
          </w:tcPr>
          <w:p w:rsidR="00887E4E" w:rsidRPr="005A03F9" w:rsidRDefault="00887E4E" w:rsidP="00B26115">
            <w:pPr>
              <w:spacing w:after="200" w:line="276" w:lineRule="auto"/>
            </w:pPr>
            <w:r w:rsidRPr="005A03F9">
              <w:t>Only for use as an active homoeopathic or excipient ingredient.</w:t>
            </w:r>
          </w:p>
          <w:p w:rsidR="00887E4E" w:rsidRPr="005A03F9" w:rsidRDefault="00887E4E" w:rsidP="00B26115">
            <w:pPr>
              <w:spacing w:after="200" w:line="276" w:lineRule="auto"/>
            </w:pPr>
            <w:r w:rsidRPr="005A03F9">
              <w:t>In solid and semi solid preparations, the concentration of camphor must be no more than 12.5%.</w:t>
            </w:r>
          </w:p>
          <w:p w:rsidR="00887E4E" w:rsidRPr="005A03F9" w:rsidRDefault="00887E4E" w:rsidP="00B26115">
            <w:pPr>
              <w:spacing w:after="200" w:line="276" w:lineRule="auto"/>
            </w:pPr>
            <w:r w:rsidRPr="005A03F9">
              <w:t>In liquid preparations other than essential oils, the concentration of camphor must be no more than 2.5%.</w:t>
            </w:r>
          </w:p>
          <w:p w:rsidR="00887E4E" w:rsidRPr="005A03F9" w:rsidRDefault="00887E4E" w:rsidP="00B26115">
            <w:pPr>
              <w:spacing w:after="200" w:line="276" w:lineRule="auto"/>
            </w:pPr>
            <w:r w:rsidRPr="005A03F9">
              <w:t>In essential oil preparations, if the concentration of camphor is more than 2.5% but less than or equal to 10%, and the nominal capacity of the container is less than 25 millilitres, the medicine must have a restricted flow insert fitted on the container and include the following warning statements on the medicine label:</w:t>
            </w:r>
          </w:p>
          <w:p w:rsidR="00887E4E" w:rsidRPr="005A03F9" w:rsidRDefault="005A03F9" w:rsidP="00B26115">
            <w:pPr>
              <w:spacing w:after="200" w:line="276" w:lineRule="auto"/>
            </w:pPr>
            <w:r>
              <w:rPr>
                <w:rFonts w:cs="Times New Roman"/>
              </w:rPr>
              <w:noBreakHyphen/>
            </w:r>
            <w:r w:rsidR="00887E4E" w:rsidRPr="005A03F9">
              <w:rPr>
                <w:rFonts w:cs="Times New Roman"/>
              </w:rPr>
              <w:t xml:space="preserve"> </w:t>
            </w:r>
            <w:r w:rsidR="00887E4E" w:rsidRPr="005A03F9">
              <w:t>(CHILD) 'Keep out of reach of children' (or words to that effect); and</w:t>
            </w:r>
          </w:p>
          <w:p w:rsidR="00887E4E" w:rsidRPr="005A03F9" w:rsidRDefault="005A03F9" w:rsidP="00B26115">
            <w:pPr>
              <w:spacing w:after="200" w:line="276" w:lineRule="auto"/>
            </w:pPr>
            <w:r>
              <w:rPr>
                <w:rFonts w:cs="Times New Roman"/>
              </w:rPr>
              <w:noBreakHyphen/>
            </w:r>
            <w:r w:rsidR="00887E4E" w:rsidRPr="005A03F9">
              <w:rPr>
                <w:rFonts w:cs="Times New Roman"/>
              </w:rPr>
              <w:t xml:space="preserve"> </w:t>
            </w:r>
            <w:r w:rsidR="00887E4E" w:rsidRPr="005A03F9">
              <w:t>(</w:t>
            </w:r>
            <w:proofErr w:type="spellStart"/>
            <w:r w:rsidR="00887E4E" w:rsidRPr="005A03F9">
              <w:t>NTAKEN</w:t>
            </w:r>
            <w:proofErr w:type="spellEnd"/>
            <w:r w:rsidR="00887E4E" w:rsidRPr="005A03F9">
              <w:t>) 'Not to be taken'.</w:t>
            </w:r>
          </w:p>
          <w:p w:rsidR="00887E4E" w:rsidRPr="005A03F9" w:rsidRDefault="00887E4E" w:rsidP="00B26115">
            <w:pPr>
              <w:spacing w:after="200" w:line="276" w:lineRule="auto"/>
            </w:pPr>
            <w:r w:rsidRPr="005A03F9">
              <w:t>In essential oil preparations, if the concentration of camphor is more than 10%, and the nominal capacity of the container is less than 15 millilitres, the medicine must have a restricted flow insert fitted on the container and include the following warning statements on the medicine label:</w:t>
            </w:r>
          </w:p>
          <w:p w:rsidR="00887E4E" w:rsidRPr="005A03F9" w:rsidRDefault="005A03F9" w:rsidP="00B26115">
            <w:pPr>
              <w:spacing w:after="200" w:line="276" w:lineRule="auto"/>
            </w:pPr>
            <w:r>
              <w:rPr>
                <w:rFonts w:cs="Times New Roman"/>
              </w:rPr>
              <w:noBreakHyphen/>
            </w:r>
            <w:r w:rsidR="00887E4E" w:rsidRPr="005A03F9">
              <w:rPr>
                <w:rFonts w:cs="Times New Roman"/>
              </w:rPr>
              <w:t xml:space="preserve"> </w:t>
            </w:r>
            <w:r w:rsidR="00887E4E" w:rsidRPr="005A03F9">
              <w:t>(CHILD) 'Keep out of reach of children' (or words to that effect); and</w:t>
            </w:r>
          </w:p>
          <w:p w:rsidR="00887E4E" w:rsidRPr="005A03F9" w:rsidRDefault="005A03F9" w:rsidP="00B26115">
            <w:pPr>
              <w:spacing w:after="200" w:line="276" w:lineRule="auto"/>
            </w:pPr>
            <w:r>
              <w:rPr>
                <w:rFonts w:cs="Times New Roman"/>
              </w:rPr>
              <w:noBreakHyphen/>
            </w:r>
            <w:r w:rsidR="00887E4E" w:rsidRPr="005A03F9">
              <w:rPr>
                <w:rFonts w:cs="Times New Roman"/>
              </w:rPr>
              <w:t xml:space="preserve"> </w:t>
            </w:r>
            <w:r w:rsidR="00887E4E" w:rsidRPr="005A03F9">
              <w:t>(</w:t>
            </w:r>
            <w:proofErr w:type="spellStart"/>
            <w:r w:rsidR="00887E4E" w:rsidRPr="005A03F9">
              <w:t>NTAKEN</w:t>
            </w:r>
            <w:proofErr w:type="spellEnd"/>
            <w:r w:rsidR="00887E4E" w:rsidRPr="005A03F9">
              <w:t>) 'Not to be taken'.</w:t>
            </w:r>
          </w:p>
          <w:p w:rsidR="00887E4E" w:rsidRPr="005A03F9" w:rsidRDefault="00887E4E" w:rsidP="00B26115">
            <w:pPr>
              <w:spacing w:after="200" w:line="276" w:lineRule="auto"/>
            </w:pPr>
            <w:r w:rsidRPr="005A03F9">
              <w:t>In essential oil preparations, if the concentration of camphor is more than 10%, and the nominal capacity of the container is more than 15 millilitres but less than or equal to 25 millilitres, the medicine must have a restricted flow insert and child resistant closure fitted on the container and include the following warning statements on the medicine label:</w:t>
            </w:r>
          </w:p>
          <w:p w:rsidR="00887E4E" w:rsidRPr="005A03F9" w:rsidRDefault="005A03F9" w:rsidP="00B26115">
            <w:pPr>
              <w:spacing w:after="200" w:line="276" w:lineRule="auto"/>
            </w:pPr>
            <w:r>
              <w:rPr>
                <w:rFonts w:cs="Times New Roman"/>
              </w:rPr>
              <w:noBreakHyphen/>
            </w:r>
            <w:r w:rsidR="00887E4E" w:rsidRPr="005A03F9">
              <w:rPr>
                <w:rFonts w:cs="Times New Roman"/>
              </w:rPr>
              <w:t xml:space="preserve"> </w:t>
            </w:r>
            <w:r w:rsidR="00887E4E" w:rsidRPr="005A03F9">
              <w:t>(CHILD) 'Keep out of reach of children' (or words to that effect); and</w:t>
            </w:r>
          </w:p>
          <w:p w:rsidR="00887E4E" w:rsidRPr="005A03F9" w:rsidRDefault="005A03F9" w:rsidP="00B26115">
            <w:pPr>
              <w:spacing w:after="200" w:line="276" w:lineRule="auto"/>
            </w:pPr>
            <w:r>
              <w:rPr>
                <w:rFonts w:cs="Times New Roman"/>
              </w:rPr>
              <w:noBreakHyphen/>
            </w:r>
            <w:r w:rsidR="00887E4E" w:rsidRPr="005A03F9">
              <w:rPr>
                <w:rFonts w:cs="Times New Roman"/>
              </w:rPr>
              <w:t xml:space="preserve"> </w:t>
            </w:r>
            <w:r w:rsidR="00887E4E" w:rsidRPr="005A03F9">
              <w:t>(</w:t>
            </w:r>
            <w:proofErr w:type="spellStart"/>
            <w:r w:rsidR="00887E4E" w:rsidRPr="005A03F9">
              <w:t>NTAKEN</w:t>
            </w:r>
            <w:proofErr w:type="spellEnd"/>
            <w:r w:rsidR="00887E4E" w:rsidRPr="005A03F9">
              <w:t>) 'Not to be taken'.</w:t>
            </w:r>
          </w:p>
        </w:tc>
      </w:tr>
    </w:tbl>
    <w:p w:rsidR="003447E1" w:rsidRPr="005A03F9" w:rsidRDefault="003447E1" w:rsidP="003447E1">
      <w:pPr>
        <w:pStyle w:val="ItemHead"/>
      </w:pPr>
      <w:r w:rsidRPr="005A03F9">
        <w:t>5</w:t>
      </w:r>
      <w:r w:rsidR="005578FA" w:rsidRPr="005A03F9">
        <w:t>5</w:t>
      </w:r>
      <w:r w:rsidRPr="005A03F9">
        <w:t xml:space="preserve">  Table 1 in Part</w:t>
      </w:r>
      <w:r w:rsidR="005A03F9" w:rsidRPr="005A03F9">
        <w:t> </w:t>
      </w:r>
      <w:r w:rsidRPr="005A03F9">
        <w:t>2 of Schedule</w:t>
      </w:r>
      <w:r w:rsidR="005A03F9" w:rsidRPr="005A03F9">
        <w:t> </w:t>
      </w:r>
      <w:r w:rsidRPr="005A03F9">
        <w:t>1 (cell at table item</w:t>
      </w:r>
      <w:r w:rsidR="005A03F9" w:rsidRPr="005A03F9">
        <w:t> </w:t>
      </w:r>
      <w:r w:rsidRPr="005A03F9">
        <w:t>4251, column 4)</w:t>
      </w:r>
    </w:p>
    <w:p w:rsidR="003447E1" w:rsidRPr="005A03F9" w:rsidRDefault="003447E1" w:rsidP="003447E1">
      <w:pPr>
        <w:pStyle w:val="Item"/>
      </w:pPr>
      <w:r w:rsidRPr="005A03F9">
        <w:t>Repeal the cell, substitute:</w:t>
      </w:r>
    </w:p>
    <w:p w:rsidR="00575AFE" w:rsidRPr="005A03F9" w:rsidRDefault="00575AFE" w:rsidP="00575AFE">
      <w:pPr>
        <w:pStyle w:val="Tabletext"/>
      </w:pPr>
    </w:p>
    <w:tbl>
      <w:tblPr>
        <w:tblW w:w="0" w:type="auto"/>
        <w:tblInd w:w="817" w:type="dxa"/>
        <w:tblBorders>
          <w:insideH w:val="single" w:sz="4" w:space="0" w:color="auto"/>
        </w:tblBorders>
        <w:tblLayout w:type="fixed"/>
        <w:tblLook w:val="0000" w:firstRow="0" w:lastRow="0" w:firstColumn="0" w:lastColumn="0" w:noHBand="0" w:noVBand="0"/>
      </w:tblPr>
      <w:tblGrid>
        <w:gridCol w:w="3799"/>
      </w:tblGrid>
      <w:tr w:rsidR="00887E4E" w:rsidRPr="005A03F9" w:rsidTr="00887E4E">
        <w:tc>
          <w:tcPr>
            <w:tcW w:w="3799" w:type="dxa"/>
            <w:shd w:val="clear" w:color="auto" w:fill="auto"/>
          </w:tcPr>
          <w:p w:rsidR="00887E4E" w:rsidRPr="005A03F9" w:rsidRDefault="00887E4E" w:rsidP="00B26115">
            <w:pPr>
              <w:spacing w:after="200" w:line="276" w:lineRule="auto"/>
            </w:pPr>
            <w:r w:rsidRPr="005A03F9">
              <w:t>Camphor and cineole are mandatory components of Rosmarinus officinalis.</w:t>
            </w:r>
          </w:p>
          <w:p w:rsidR="00887E4E" w:rsidRPr="005A03F9" w:rsidRDefault="00887E4E" w:rsidP="00B26115">
            <w:pPr>
              <w:spacing w:after="200" w:line="276" w:lineRule="auto"/>
            </w:pPr>
            <w:r w:rsidRPr="005A03F9">
              <w:t>In solid and semi solid preparations, the concentration of camphor must be no more than 12.5%.</w:t>
            </w:r>
          </w:p>
          <w:p w:rsidR="00887E4E" w:rsidRPr="005A03F9" w:rsidRDefault="00887E4E" w:rsidP="00B26115">
            <w:pPr>
              <w:spacing w:after="200" w:line="276" w:lineRule="auto"/>
            </w:pPr>
            <w:r w:rsidRPr="005A03F9">
              <w:t>In liquid preparations other than essential oils, the concentration of camphor must be no more than 2.5%.</w:t>
            </w:r>
          </w:p>
          <w:p w:rsidR="00887E4E" w:rsidRPr="005A03F9" w:rsidRDefault="00887E4E" w:rsidP="00B26115">
            <w:pPr>
              <w:spacing w:after="200" w:line="276" w:lineRule="auto"/>
            </w:pPr>
            <w:r w:rsidRPr="005A03F9">
              <w:t>In essential oil preparations, if the concentration of camphor is more than 2.5% but less than or equal to 10%, and the nominal capacity of the container is less than 25 millilitres, the medicine must have a restricted flow insert fitted on the container and include the following warning statements on the medicine label:</w:t>
            </w:r>
          </w:p>
          <w:p w:rsidR="00887E4E" w:rsidRPr="005A03F9" w:rsidRDefault="005A03F9" w:rsidP="00B26115">
            <w:pPr>
              <w:spacing w:after="200" w:line="276" w:lineRule="auto"/>
            </w:pPr>
            <w:r>
              <w:rPr>
                <w:rFonts w:cs="Times New Roman"/>
              </w:rPr>
              <w:noBreakHyphen/>
            </w:r>
            <w:r w:rsidR="00887E4E" w:rsidRPr="005A03F9">
              <w:rPr>
                <w:rFonts w:cs="Times New Roman"/>
              </w:rPr>
              <w:t xml:space="preserve"> </w:t>
            </w:r>
            <w:r w:rsidR="00887E4E" w:rsidRPr="005A03F9">
              <w:t>(CHILD) 'Keep out of reach of children' (or words to that effect); and</w:t>
            </w:r>
          </w:p>
          <w:p w:rsidR="00887E4E" w:rsidRPr="005A03F9" w:rsidRDefault="005A03F9" w:rsidP="00B26115">
            <w:pPr>
              <w:spacing w:after="200" w:line="276" w:lineRule="auto"/>
            </w:pPr>
            <w:r>
              <w:rPr>
                <w:rFonts w:cs="Times New Roman"/>
              </w:rPr>
              <w:noBreakHyphen/>
            </w:r>
            <w:r w:rsidR="00887E4E" w:rsidRPr="005A03F9">
              <w:rPr>
                <w:rFonts w:cs="Times New Roman"/>
              </w:rPr>
              <w:t xml:space="preserve"> </w:t>
            </w:r>
            <w:r w:rsidR="00887E4E" w:rsidRPr="005A03F9">
              <w:t>(</w:t>
            </w:r>
            <w:proofErr w:type="spellStart"/>
            <w:r w:rsidR="00887E4E" w:rsidRPr="005A03F9">
              <w:t>NTAKEN</w:t>
            </w:r>
            <w:proofErr w:type="spellEnd"/>
            <w:r w:rsidR="00887E4E" w:rsidRPr="005A03F9">
              <w:t>) 'Not to be taken'.</w:t>
            </w:r>
          </w:p>
          <w:p w:rsidR="00887E4E" w:rsidRPr="005A03F9" w:rsidRDefault="00887E4E" w:rsidP="00B26115">
            <w:pPr>
              <w:spacing w:after="200" w:line="276" w:lineRule="auto"/>
            </w:pPr>
            <w:r w:rsidRPr="005A03F9">
              <w:t>In essential oil preparations, if the concentration of camphor is more than 10%, and the nominal capacity of the container is less than 15 millilitres, the medicine must have a restricted flow insert fitted on the container and include the following warning statements on the medicine label:</w:t>
            </w:r>
          </w:p>
          <w:p w:rsidR="00887E4E" w:rsidRPr="005A03F9" w:rsidRDefault="005A03F9" w:rsidP="00B26115">
            <w:pPr>
              <w:spacing w:after="200" w:line="276" w:lineRule="auto"/>
            </w:pPr>
            <w:r>
              <w:rPr>
                <w:rFonts w:cs="Times New Roman"/>
              </w:rPr>
              <w:noBreakHyphen/>
            </w:r>
            <w:r w:rsidR="00887E4E" w:rsidRPr="005A03F9">
              <w:rPr>
                <w:rFonts w:cs="Times New Roman"/>
              </w:rPr>
              <w:t xml:space="preserve"> </w:t>
            </w:r>
            <w:r w:rsidR="00887E4E" w:rsidRPr="005A03F9">
              <w:t>(CHILD) 'Keep out of reach of children' (or words to that effect); and</w:t>
            </w:r>
          </w:p>
          <w:p w:rsidR="00887E4E" w:rsidRPr="005A03F9" w:rsidRDefault="005A03F9" w:rsidP="00B26115">
            <w:pPr>
              <w:spacing w:after="200" w:line="276" w:lineRule="auto"/>
            </w:pPr>
            <w:r>
              <w:rPr>
                <w:rFonts w:cs="Times New Roman"/>
              </w:rPr>
              <w:noBreakHyphen/>
            </w:r>
            <w:r w:rsidR="00887E4E" w:rsidRPr="005A03F9">
              <w:rPr>
                <w:rFonts w:cs="Times New Roman"/>
              </w:rPr>
              <w:t xml:space="preserve"> </w:t>
            </w:r>
            <w:r w:rsidR="00887E4E" w:rsidRPr="005A03F9">
              <w:t>(</w:t>
            </w:r>
            <w:proofErr w:type="spellStart"/>
            <w:r w:rsidR="00887E4E" w:rsidRPr="005A03F9">
              <w:t>NTAKEN</w:t>
            </w:r>
            <w:proofErr w:type="spellEnd"/>
            <w:r w:rsidR="00887E4E" w:rsidRPr="005A03F9">
              <w:t>) 'Not to be taken'.</w:t>
            </w:r>
          </w:p>
          <w:p w:rsidR="00887E4E" w:rsidRPr="005A03F9" w:rsidRDefault="00887E4E" w:rsidP="00B26115">
            <w:pPr>
              <w:spacing w:after="200" w:line="276" w:lineRule="auto"/>
            </w:pPr>
            <w:r w:rsidRPr="005A03F9">
              <w:t>In essential oil preparations, if the concentration of camphor is more than 10%, and the nominal capacity of the container is more than 15 millilitres but less than or equal to 25 millilitres, the medicine must have a restricted flow insert and child resistant closure fitted on the container and include the following warning statements on the medicine label:</w:t>
            </w:r>
          </w:p>
          <w:p w:rsidR="00887E4E" w:rsidRPr="005A03F9" w:rsidRDefault="005A03F9" w:rsidP="00B26115">
            <w:pPr>
              <w:spacing w:after="200" w:line="276" w:lineRule="auto"/>
            </w:pPr>
            <w:r>
              <w:rPr>
                <w:rFonts w:cs="Times New Roman"/>
              </w:rPr>
              <w:noBreakHyphen/>
            </w:r>
            <w:r w:rsidR="00887E4E" w:rsidRPr="005A03F9">
              <w:rPr>
                <w:rFonts w:cs="Times New Roman"/>
              </w:rPr>
              <w:t xml:space="preserve"> </w:t>
            </w:r>
            <w:r w:rsidR="00887E4E" w:rsidRPr="005A03F9">
              <w:t>(CHILD) 'Keep out of reach of children' (or words to that effect); and</w:t>
            </w:r>
          </w:p>
          <w:p w:rsidR="00887E4E" w:rsidRPr="005A03F9" w:rsidRDefault="005A03F9" w:rsidP="00B26115">
            <w:pPr>
              <w:spacing w:after="200" w:line="276" w:lineRule="auto"/>
            </w:pPr>
            <w:r>
              <w:rPr>
                <w:rFonts w:cs="Times New Roman"/>
              </w:rPr>
              <w:noBreakHyphen/>
            </w:r>
            <w:r w:rsidR="00887E4E" w:rsidRPr="005A03F9">
              <w:rPr>
                <w:rFonts w:cs="Times New Roman"/>
              </w:rPr>
              <w:t xml:space="preserve"> </w:t>
            </w:r>
            <w:r w:rsidR="00887E4E" w:rsidRPr="005A03F9">
              <w:t>(</w:t>
            </w:r>
            <w:proofErr w:type="spellStart"/>
            <w:r w:rsidR="00887E4E" w:rsidRPr="005A03F9">
              <w:t>NTAKEN</w:t>
            </w:r>
            <w:proofErr w:type="spellEnd"/>
            <w:r w:rsidR="00887E4E" w:rsidRPr="005A03F9">
              <w:t>) 'Not to be taken'.</w:t>
            </w:r>
          </w:p>
          <w:p w:rsidR="00887E4E" w:rsidRPr="005A03F9" w:rsidRDefault="00887E4E" w:rsidP="00B26115">
            <w:pPr>
              <w:spacing w:after="200" w:line="276" w:lineRule="auto"/>
            </w:pPr>
            <w:r w:rsidRPr="005A03F9">
              <w:t>When the concentration of cineole in the preparation is more than 25%, the nominal capacity of the container must not be more than 25 millilitres.</w:t>
            </w:r>
          </w:p>
          <w:p w:rsidR="00887E4E" w:rsidRPr="005A03F9" w:rsidRDefault="00887E4E" w:rsidP="00B26115">
            <w:pPr>
              <w:spacing w:after="200" w:line="276" w:lineRule="auto"/>
            </w:pPr>
            <w:r w:rsidRPr="005A03F9">
              <w:t>When the concentration of cineole in the preparation is more than 25% and the nominal capacity of the container is more than 15 millilitres but less than or equal to 25 millilitres, the medicine must have a child resistant closure and restricted flow insert fitted on the container and include the following warning statements on the medicine label:</w:t>
            </w:r>
          </w:p>
          <w:p w:rsidR="00887E4E" w:rsidRPr="005A03F9" w:rsidRDefault="005A03F9" w:rsidP="00B26115">
            <w:pPr>
              <w:spacing w:after="200" w:line="276" w:lineRule="auto"/>
            </w:pPr>
            <w:r>
              <w:rPr>
                <w:rFonts w:cs="Times New Roman"/>
              </w:rPr>
              <w:noBreakHyphen/>
            </w:r>
            <w:r w:rsidR="00887E4E" w:rsidRPr="005A03F9">
              <w:rPr>
                <w:rFonts w:cs="Times New Roman"/>
              </w:rPr>
              <w:t xml:space="preserve"> </w:t>
            </w:r>
            <w:r w:rsidR="00887E4E" w:rsidRPr="005A03F9">
              <w:t>(CHILD) 'Keep out of reach of children' (or words to that effect); and</w:t>
            </w:r>
          </w:p>
          <w:p w:rsidR="00887E4E" w:rsidRPr="005A03F9" w:rsidRDefault="005A03F9" w:rsidP="00B26115">
            <w:pPr>
              <w:spacing w:after="200" w:line="276" w:lineRule="auto"/>
            </w:pPr>
            <w:r>
              <w:rPr>
                <w:rFonts w:cs="Times New Roman"/>
              </w:rPr>
              <w:noBreakHyphen/>
            </w:r>
            <w:r w:rsidR="00887E4E" w:rsidRPr="005A03F9">
              <w:rPr>
                <w:rFonts w:cs="Times New Roman"/>
              </w:rPr>
              <w:t xml:space="preserve"> </w:t>
            </w:r>
            <w:r w:rsidR="00887E4E" w:rsidRPr="005A03F9">
              <w:t>(</w:t>
            </w:r>
            <w:proofErr w:type="spellStart"/>
            <w:r w:rsidR="00887E4E" w:rsidRPr="005A03F9">
              <w:t>NTAKEN</w:t>
            </w:r>
            <w:proofErr w:type="spellEnd"/>
            <w:r w:rsidR="00887E4E" w:rsidRPr="005A03F9">
              <w:t>) 'Not to be taken'.</w:t>
            </w:r>
          </w:p>
          <w:p w:rsidR="00887E4E" w:rsidRPr="005A03F9" w:rsidRDefault="00887E4E" w:rsidP="00B26115">
            <w:pPr>
              <w:spacing w:after="200" w:line="276" w:lineRule="auto"/>
            </w:pPr>
            <w:r w:rsidRPr="005A03F9">
              <w:t>When the concentration of cineole in the preparation is more than 25% and the nominal capacity of the container is no more than 15 millilitres, the medicine must have a restricted flow insert fitted on the container and include the following warning statements on the medicine label:</w:t>
            </w:r>
          </w:p>
          <w:p w:rsidR="00887E4E" w:rsidRPr="005A03F9" w:rsidRDefault="005A03F9" w:rsidP="00B26115">
            <w:pPr>
              <w:spacing w:after="200" w:line="276" w:lineRule="auto"/>
            </w:pPr>
            <w:r>
              <w:rPr>
                <w:rFonts w:cs="Times New Roman"/>
              </w:rPr>
              <w:noBreakHyphen/>
            </w:r>
            <w:r w:rsidR="00887E4E" w:rsidRPr="005A03F9">
              <w:rPr>
                <w:rFonts w:cs="Times New Roman"/>
              </w:rPr>
              <w:t xml:space="preserve"> </w:t>
            </w:r>
            <w:r w:rsidR="00887E4E" w:rsidRPr="005A03F9">
              <w:t>(CHILD) 'Keep out of reach of children' (or words to that effect); and</w:t>
            </w:r>
          </w:p>
          <w:p w:rsidR="00887E4E" w:rsidRPr="005A03F9" w:rsidRDefault="005A03F9" w:rsidP="00B26115">
            <w:pPr>
              <w:spacing w:after="200" w:line="276" w:lineRule="auto"/>
            </w:pPr>
            <w:r>
              <w:rPr>
                <w:rFonts w:cs="Times New Roman"/>
              </w:rPr>
              <w:noBreakHyphen/>
            </w:r>
            <w:r w:rsidR="00887E4E" w:rsidRPr="005A03F9">
              <w:rPr>
                <w:rFonts w:cs="Times New Roman"/>
              </w:rPr>
              <w:t xml:space="preserve"> </w:t>
            </w:r>
            <w:r w:rsidR="00887E4E" w:rsidRPr="005A03F9">
              <w:t>(</w:t>
            </w:r>
            <w:proofErr w:type="spellStart"/>
            <w:r w:rsidR="00887E4E" w:rsidRPr="005A03F9">
              <w:t>NTAKEN</w:t>
            </w:r>
            <w:proofErr w:type="spellEnd"/>
            <w:r w:rsidR="00887E4E" w:rsidRPr="005A03F9">
              <w:t>) 'Not to be taken'.</w:t>
            </w:r>
          </w:p>
        </w:tc>
      </w:tr>
    </w:tbl>
    <w:p w:rsidR="003447E1" w:rsidRPr="005A03F9" w:rsidRDefault="003447E1" w:rsidP="003447E1">
      <w:pPr>
        <w:pStyle w:val="ItemHead"/>
      </w:pPr>
      <w:r w:rsidRPr="005A03F9">
        <w:t>5</w:t>
      </w:r>
      <w:r w:rsidR="005578FA" w:rsidRPr="005A03F9">
        <w:t>6</w:t>
      </w:r>
      <w:r w:rsidRPr="005A03F9">
        <w:t xml:space="preserve">  Table 1 in Part</w:t>
      </w:r>
      <w:r w:rsidR="005A03F9" w:rsidRPr="005A03F9">
        <w:t> </w:t>
      </w:r>
      <w:r w:rsidRPr="005A03F9">
        <w:t>2 of Schedule</w:t>
      </w:r>
      <w:r w:rsidR="005A03F9" w:rsidRPr="005A03F9">
        <w:t> </w:t>
      </w:r>
      <w:r w:rsidRPr="005A03F9">
        <w:t>1 (after table item</w:t>
      </w:r>
      <w:r w:rsidR="005A03F9" w:rsidRPr="005A03F9">
        <w:t> </w:t>
      </w:r>
      <w:r w:rsidR="00DF5B82" w:rsidRPr="005A03F9">
        <w:t>4401</w:t>
      </w:r>
      <w:r w:rsidRPr="005A03F9">
        <w:t>)</w:t>
      </w:r>
    </w:p>
    <w:p w:rsidR="003447E1" w:rsidRPr="005A03F9" w:rsidRDefault="003447E1" w:rsidP="003447E1">
      <w:pPr>
        <w:pStyle w:val="Item"/>
      </w:pPr>
      <w:r w:rsidRPr="005A03F9">
        <w:t>Insert:</w:t>
      </w:r>
    </w:p>
    <w:p w:rsidR="00E747E8" w:rsidRPr="005A03F9" w:rsidRDefault="00E747E8" w:rsidP="00E747E8">
      <w:pPr>
        <w:pStyle w:val="Tabletext"/>
      </w:pPr>
    </w:p>
    <w:tbl>
      <w:tblPr>
        <w:tblStyle w:val="TableGrid"/>
        <w:tblW w:w="0" w:type="auto"/>
        <w:tblBorders>
          <w:top w:val="none" w:sz="0" w:space="0" w:color="auto"/>
          <w:bottom w:val="none" w:sz="0" w:space="0" w:color="auto"/>
        </w:tblBorders>
        <w:tblLook w:val="04A0" w:firstRow="1" w:lastRow="0" w:firstColumn="1" w:lastColumn="0" w:noHBand="0" w:noVBand="1"/>
      </w:tblPr>
      <w:tblGrid>
        <w:gridCol w:w="1286"/>
        <w:gridCol w:w="2650"/>
        <w:gridCol w:w="999"/>
        <w:gridCol w:w="3594"/>
      </w:tblGrid>
      <w:tr w:rsidR="00DF5B82" w:rsidRPr="005A03F9" w:rsidTr="00887E4E">
        <w:tc>
          <w:tcPr>
            <w:tcW w:w="1384" w:type="dxa"/>
          </w:tcPr>
          <w:p w:rsidR="00DF5B82" w:rsidRPr="005A03F9" w:rsidRDefault="00DF5B82" w:rsidP="00B26115">
            <w:pPr>
              <w:spacing w:after="200" w:line="276" w:lineRule="auto"/>
            </w:pPr>
            <w:r w:rsidRPr="005A03F9">
              <w:t>4401A</w:t>
            </w:r>
          </w:p>
        </w:tc>
        <w:tc>
          <w:tcPr>
            <w:tcW w:w="2693" w:type="dxa"/>
          </w:tcPr>
          <w:p w:rsidR="00DF5B82" w:rsidRPr="005A03F9" w:rsidRDefault="00DF5B82" w:rsidP="00B26115">
            <w:pPr>
              <w:spacing w:after="200" w:line="276" w:lineRule="auto"/>
            </w:pPr>
            <w:r w:rsidRPr="005A03F9">
              <w:t>SILICIFIED MICROCRYSTALLINE CELLULOSE</w:t>
            </w:r>
          </w:p>
        </w:tc>
        <w:tc>
          <w:tcPr>
            <w:tcW w:w="1134" w:type="dxa"/>
          </w:tcPr>
          <w:p w:rsidR="00DF5B82" w:rsidRPr="005A03F9" w:rsidRDefault="00DF5B82" w:rsidP="00B26115">
            <w:pPr>
              <w:spacing w:after="200" w:line="276" w:lineRule="auto"/>
            </w:pPr>
            <w:r w:rsidRPr="005A03F9">
              <w:t>E</w:t>
            </w:r>
          </w:p>
        </w:tc>
        <w:tc>
          <w:tcPr>
            <w:tcW w:w="4031" w:type="dxa"/>
          </w:tcPr>
          <w:p w:rsidR="00DF5B82" w:rsidRPr="005A03F9" w:rsidRDefault="00DF5B82" w:rsidP="00B26115">
            <w:pPr>
              <w:spacing w:after="200" w:line="276" w:lineRule="auto"/>
            </w:pPr>
            <w:r w:rsidRPr="005A03F9">
              <w:t>Only for use when the route of administration is other than inhalation.</w:t>
            </w:r>
          </w:p>
        </w:tc>
      </w:tr>
    </w:tbl>
    <w:p w:rsidR="003447E1" w:rsidRPr="005A03F9" w:rsidRDefault="005578FA" w:rsidP="003447E1">
      <w:pPr>
        <w:pStyle w:val="ItemHead"/>
      </w:pPr>
      <w:r w:rsidRPr="005A03F9">
        <w:t>57</w:t>
      </w:r>
      <w:r w:rsidR="003447E1" w:rsidRPr="005A03F9">
        <w:t xml:space="preserve">  Table 1 in Part</w:t>
      </w:r>
      <w:r w:rsidR="005A03F9" w:rsidRPr="005A03F9">
        <w:t> </w:t>
      </w:r>
      <w:r w:rsidR="003447E1" w:rsidRPr="005A03F9">
        <w:t>2 of Sc</w:t>
      </w:r>
      <w:r w:rsidR="00DF5B82" w:rsidRPr="005A03F9">
        <w:t>hedule</w:t>
      </w:r>
      <w:r w:rsidR="005A03F9" w:rsidRPr="005A03F9">
        <w:t> </w:t>
      </w:r>
      <w:r w:rsidR="00DF5B82" w:rsidRPr="005A03F9">
        <w:t>1 (cell at table item</w:t>
      </w:r>
      <w:r w:rsidR="005A03F9" w:rsidRPr="005A03F9">
        <w:t> </w:t>
      </w:r>
      <w:r w:rsidR="00DF5B82" w:rsidRPr="005A03F9">
        <w:t>4580</w:t>
      </w:r>
      <w:r w:rsidR="003447E1" w:rsidRPr="005A03F9">
        <w:t>, column 4)</w:t>
      </w:r>
    </w:p>
    <w:p w:rsidR="003447E1" w:rsidRPr="005A03F9" w:rsidRDefault="003447E1" w:rsidP="003447E1">
      <w:pPr>
        <w:pStyle w:val="Item"/>
      </w:pPr>
      <w:r w:rsidRPr="005A03F9">
        <w:t>Repeal the cell, substitute:</w:t>
      </w:r>
    </w:p>
    <w:p w:rsidR="00575AFE" w:rsidRPr="005A03F9" w:rsidRDefault="00575AFE" w:rsidP="00575AFE">
      <w:pPr>
        <w:pStyle w:val="Tabletext"/>
      </w:pPr>
    </w:p>
    <w:tbl>
      <w:tblPr>
        <w:tblW w:w="0" w:type="auto"/>
        <w:tblInd w:w="817" w:type="dxa"/>
        <w:tblBorders>
          <w:insideH w:val="single" w:sz="4" w:space="0" w:color="auto"/>
        </w:tblBorders>
        <w:tblLayout w:type="fixed"/>
        <w:tblLook w:val="0000" w:firstRow="0" w:lastRow="0" w:firstColumn="0" w:lastColumn="0" w:noHBand="0" w:noVBand="0"/>
      </w:tblPr>
      <w:tblGrid>
        <w:gridCol w:w="3799"/>
      </w:tblGrid>
      <w:tr w:rsidR="00887E4E" w:rsidRPr="005A03F9" w:rsidTr="00887E4E">
        <w:tc>
          <w:tcPr>
            <w:tcW w:w="3799" w:type="dxa"/>
            <w:shd w:val="clear" w:color="auto" w:fill="auto"/>
          </w:tcPr>
          <w:p w:rsidR="00887E4E" w:rsidRPr="005A03F9" w:rsidRDefault="00887E4E" w:rsidP="00B26115">
            <w:pPr>
              <w:spacing w:after="200" w:line="276" w:lineRule="auto"/>
            </w:pPr>
            <w:r w:rsidRPr="005A03F9">
              <w:t>Camphor is a mandatory component of spike lavender oil.</w:t>
            </w:r>
          </w:p>
          <w:p w:rsidR="00887E4E" w:rsidRPr="005A03F9" w:rsidRDefault="00887E4E" w:rsidP="00B26115">
            <w:pPr>
              <w:spacing w:after="200" w:line="276" w:lineRule="auto"/>
            </w:pPr>
            <w:r w:rsidRPr="005A03F9">
              <w:t>In solid and semi solid preparations, the concentration of camphor must be no more than 12.5%.</w:t>
            </w:r>
          </w:p>
          <w:p w:rsidR="00887E4E" w:rsidRPr="005A03F9" w:rsidRDefault="00887E4E" w:rsidP="00B26115">
            <w:pPr>
              <w:spacing w:after="200" w:line="276" w:lineRule="auto"/>
            </w:pPr>
            <w:r w:rsidRPr="005A03F9">
              <w:t>In liquid preparations other than essential oils, the concentration of camphor must be no more than 2.5%.</w:t>
            </w:r>
          </w:p>
          <w:p w:rsidR="00887E4E" w:rsidRPr="005A03F9" w:rsidRDefault="00887E4E" w:rsidP="00B26115">
            <w:pPr>
              <w:spacing w:after="200" w:line="276" w:lineRule="auto"/>
            </w:pPr>
            <w:r w:rsidRPr="005A03F9">
              <w:t>In essential oil preparations, if the concentration of camphor is more than 2.5% but less than or equal to 10%, and the nominal capacity of the container is less than 25 millilitres, the medicine must have a restricted flow insert fitted on the container and include the following warning statements on the medicine label:</w:t>
            </w:r>
          </w:p>
          <w:p w:rsidR="00887E4E" w:rsidRPr="005A03F9" w:rsidRDefault="005A03F9" w:rsidP="00B26115">
            <w:pPr>
              <w:spacing w:after="200" w:line="276" w:lineRule="auto"/>
            </w:pPr>
            <w:r>
              <w:rPr>
                <w:rFonts w:cs="Times New Roman"/>
              </w:rPr>
              <w:noBreakHyphen/>
            </w:r>
            <w:r w:rsidR="00887E4E" w:rsidRPr="005A03F9">
              <w:rPr>
                <w:rFonts w:cs="Times New Roman"/>
              </w:rPr>
              <w:t xml:space="preserve"> </w:t>
            </w:r>
            <w:r w:rsidR="00887E4E" w:rsidRPr="005A03F9">
              <w:t>(CHILD) 'Keep out of reach of children' (or words to that effect); and</w:t>
            </w:r>
          </w:p>
          <w:p w:rsidR="00887E4E" w:rsidRPr="005A03F9" w:rsidRDefault="005A03F9" w:rsidP="00B26115">
            <w:pPr>
              <w:spacing w:after="200" w:line="276" w:lineRule="auto"/>
            </w:pPr>
            <w:r>
              <w:rPr>
                <w:rFonts w:cs="Times New Roman"/>
              </w:rPr>
              <w:noBreakHyphen/>
            </w:r>
            <w:r w:rsidR="00887E4E" w:rsidRPr="005A03F9">
              <w:rPr>
                <w:rFonts w:cs="Times New Roman"/>
              </w:rPr>
              <w:t xml:space="preserve"> </w:t>
            </w:r>
            <w:r w:rsidR="00887E4E" w:rsidRPr="005A03F9">
              <w:t>(</w:t>
            </w:r>
            <w:proofErr w:type="spellStart"/>
            <w:r w:rsidR="00887E4E" w:rsidRPr="005A03F9">
              <w:t>NTAKEN</w:t>
            </w:r>
            <w:proofErr w:type="spellEnd"/>
            <w:r w:rsidR="00887E4E" w:rsidRPr="005A03F9">
              <w:t>) 'Not to be taken'.</w:t>
            </w:r>
          </w:p>
          <w:p w:rsidR="00887E4E" w:rsidRPr="005A03F9" w:rsidRDefault="00887E4E" w:rsidP="00B26115">
            <w:pPr>
              <w:spacing w:after="200" w:line="276" w:lineRule="auto"/>
            </w:pPr>
            <w:r w:rsidRPr="005A03F9">
              <w:t>In essential oil preparations, if the concentration of camphor is more than 10%, and the nominal capacity of the container is less than 15 millilitres, the medicine must have a restricted flow insert fitted on the container and include the following warning statements on the medicine label:</w:t>
            </w:r>
          </w:p>
          <w:p w:rsidR="00887E4E" w:rsidRPr="005A03F9" w:rsidRDefault="005A03F9" w:rsidP="00B26115">
            <w:pPr>
              <w:spacing w:after="200" w:line="276" w:lineRule="auto"/>
            </w:pPr>
            <w:r>
              <w:rPr>
                <w:rFonts w:cs="Times New Roman"/>
              </w:rPr>
              <w:noBreakHyphen/>
            </w:r>
            <w:r w:rsidR="00887E4E" w:rsidRPr="005A03F9">
              <w:rPr>
                <w:rFonts w:cs="Times New Roman"/>
              </w:rPr>
              <w:t xml:space="preserve"> </w:t>
            </w:r>
            <w:r w:rsidR="00887E4E" w:rsidRPr="005A03F9">
              <w:t>(CHILD) 'Keep out of reach of children' (or words to that effect); and</w:t>
            </w:r>
          </w:p>
          <w:p w:rsidR="00887E4E" w:rsidRPr="005A03F9" w:rsidRDefault="005A03F9" w:rsidP="00B26115">
            <w:pPr>
              <w:spacing w:after="200" w:line="276" w:lineRule="auto"/>
            </w:pPr>
            <w:r>
              <w:rPr>
                <w:rFonts w:cs="Times New Roman"/>
              </w:rPr>
              <w:noBreakHyphen/>
            </w:r>
            <w:r w:rsidR="00887E4E" w:rsidRPr="005A03F9">
              <w:rPr>
                <w:rFonts w:cs="Times New Roman"/>
              </w:rPr>
              <w:t xml:space="preserve"> </w:t>
            </w:r>
            <w:r w:rsidR="00887E4E" w:rsidRPr="005A03F9">
              <w:t>(</w:t>
            </w:r>
            <w:proofErr w:type="spellStart"/>
            <w:r w:rsidR="00887E4E" w:rsidRPr="005A03F9">
              <w:t>NTAKEN</w:t>
            </w:r>
            <w:proofErr w:type="spellEnd"/>
            <w:r w:rsidR="00887E4E" w:rsidRPr="005A03F9">
              <w:t>) 'Not to be taken'.</w:t>
            </w:r>
          </w:p>
          <w:p w:rsidR="00887E4E" w:rsidRPr="005A03F9" w:rsidRDefault="00887E4E" w:rsidP="00B26115">
            <w:pPr>
              <w:spacing w:after="200" w:line="276" w:lineRule="auto"/>
            </w:pPr>
            <w:r w:rsidRPr="005A03F9">
              <w:t>In essential oil preparations, if the concentration of camphor is more than 10%, and the nominal capacity of the container is more than 15 millilitres but less than or equal to 25 millilitres, the medicine must have a restricted flow insert and child resistant closure fitted on the container and include the following warning statements on the medicine label:</w:t>
            </w:r>
          </w:p>
          <w:p w:rsidR="00887E4E" w:rsidRPr="005A03F9" w:rsidRDefault="005A03F9" w:rsidP="00B26115">
            <w:pPr>
              <w:spacing w:after="200" w:line="276" w:lineRule="auto"/>
            </w:pPr>
            <w:r>
              <w:rPr>
                <w:rFonts w:cs="Times New Roman"/>
              </w:rPr>
              <w:noBreakHyphen/>
            </w:r>
            <w:r w:rsidR="00887E4E" w:rsidRPr="005A03F9">
              <w:rPr>
                <w:rFonts w:cs="Times New Roman"/>
              </w:rPr>
              <w:t xml:space="preserve"> </w:t>
            </w:r>
            <w:r w:rsidR="00887E4E" w:rsidRPr="005A03F9">
              <w:t>(CHILD) 'Keep out of reach of children' (or words to that effect); and</w:t>
            </w:r>
          </w:p>
          <w:p w:rsidR="00887E4E" w:rsidRPr="005A03F9" w:rsidRDefault="005A03F9" w:rsidP="00B26115">
            <w:pPr>
              <w:spacing w:after="200" w:line="276" w:lineRule="auto"/>
            </w:pPr>
            <w:r>
              <w:rPr>
                <w:rFonts w:cs="Times New Roman"/>
              </w:rPr>
              <w:noBreakHyphen/>
            </w:r>
            <w:r w:rsidR="00887E4E" w:rsidRPr="005A03F9">
              <w:rPr>
                <w:rFonts w:cs="Times New Roman"/>
              </w:rPr>
              <w:t xml:space="preserve"> </w:t>
            </w:r>
            <w:r w:rsidR="00887E4E" w:rsidRPr="005A03F9">
              <w:t>(</w:t>
            </w:r>
            <w:proofErr w:type="spellStart"/>
            <w:r w:rsidR="00887E4E" w:rsidRPr="005A03F9">
              <w:t>NTAKEN</w:t>
            </w:r>
            <w:proofErr w:type="spellEnd"/>
            <w:r w:rsidR="00887E4E" w:rsidRPr="005A03F9">
              <w:t>) 'Not to be taken'.</w:t>
            </w:r>
          </w:p>
        </w:tc>
      </w:tr>
    </w:tbl>
    <w:p w:rsidR="00490BCE" w:rsidRPr="005A03F9" w:rsidRDefault="00490BCE" w:rsidP="00490BCE">
      <w:pPr>
        <w:pStyle w:val="ItemHead"/>
      </w:pPr>
      <w:r w:rsidRPr="005A03F9">
        <w:t>5</w:t>
      </w:r>
      <w:r w:rsidR="005578FA" w:rsidRPr="005A03F9">
        <w:t>8</w:t>
      </w:r>
      <w:r w:rsidRPr="005A03F9">
        <w:t xml:space="preserve">  Table 1 in Part</w:t>
      </w:r>
      <w:r w:rsidR="005A03F9" w:rsidRPr="005A03F9">
        <w:t> </w:t>
      </w:r>
      <w:r w:rsidRPr="005A03F9">
        <w:t>2 of Schedule</w:t>
      </w:r>
      <w:r w:rsidR="005A03F9" w:rsidRPr="005A03F9">
        <w:t> </w:t>
      </w:r>
      <w:r w:rsidRPr="005A03F9">
        <w:t>1 (cell at table item</w:t>
      </w:r>
      <w:r w:rsidR="005A03F9" w:rsidRPr="005A03F9">
        <w:t> </w:t>
      </w:r>
      <w:r w:rsidRPr="005A03F9">
        <w:t>4734, column 4)</w:t>
      </w:r>
    </w:p>
    <w:p w:rsidR="00490BCE" w:rsidRPr="005A03F9" w:rsidRDefault="00490BCE" w:rsidP="00490BCE">
      <w:pPr>
        <w:pStyle w:val="Item"/>
      </w:pPr>
      <w:r w:rsidRPr="005A03F9">
        <w:t>Repeal the cell, substitute:</w:t>
      </w:r>
    </w:p>
    <w:p w:rsidR="00575AFE" w:rsidRPr="005A03F9" w:rsidRDefault="00575AFE" w:rsidP="00575AFE">
      <w:pPr>
        <w:pStyle w:val="Tabletext"/>
      </w:pPr>
    </w:p>
    <w:tbl>
      <w:tblPr>
        <w:tblW w:w="0" w:type="auto"/>
        <w:tblInd w:w="817" w:type="dxa"/>
        <w:tblBorders>
          <w:insideH w:val="single" w:sz="4" w:space="0" w:color="auto"/>
        </w:tblBorders>
        <w:tblLayout w:type="fixed"/>
        <w:tblLook w:val="0000" w:firstRow="0" w:lastRow="0" w:firstColumn="0" w:lastColumn="0" w:noHBand="0" w:noVBand="0"/>
      </w:tblPr>
      <w:tblGrid>
        <w:gridCol w:w="3799"/>
      </w:tblGrid>
      <w:tr w:rsidR="00887E4E" w:rsidRPr="005A03F9" w:rsidTr="00887E4E">
        <w:tc>
          <w:tcPr>
            <w:tcW w:w="3799" w:type="dxa"/>
            <w:shd w:val="clear" w:color="auto" w:fill="auto"/>
          </w:tcPr>
          <w:p w:rsidR="00887E4E" w:rsidRPr="005A03F9" w:rsidRDefault="00887E4E" w:rsidP="00B26115">
            <w:pPr>
              <w:spacing w:after="200" w:line="276" w:lineRule="auto"/>
            </w:pPr>
            <w:r w:rsidRPr="005A03F9">
              <w:t xml:space="preserve">When used internally, </w:t>
            </w:r>
            <w:proofErr w:type="spellStart"/>
            <w:r w:rsidRPr="005A03F9">
              <w:t>oxedrine</w:t>
            </w:r>
            <w:proofErr w:type="spellEnd"/>
            <w:r w:rsidRPr="005A03F9">
              <w:t xml:space="preserve"> is a mandatory component of tangerine oil </w:t>
            </w:r>
            <w:proofErr w:type="spellStart"/>
            <w:r w:rsidRPr="005A03F9">
              <w:t>coldpressed</w:t>
            </w:r>
            <w:proofErr w:type="spellEnd"/>
            <w:r w:rsidRPr="005A03F9">
              <w:t>.</w:t>
            </w:r>
          </w:p>
          <w:p w:rsidR="00887E4E" w:rsidRPr="005A03F9" w:rsidRDefault="00887E4E" w:rsidP="00B26115">
            <w:pPr>
              <w:spacing w:after="200" w:line="276" w:lineRule="auto"/>
            </w:pPr>
            <w:r w:rsidRPr="005A03F9">
              <w:t xml:space="preserve">The quantity of </w:t>
            </w:r>
            <w:proofErr w:type="spellStart"/>
            <w:r w:rsidRPr="005A03F9">
              <w:t>oxedrine</w:t>
            </w:r>
            <w:proofErr w:type="spellEnd"/>
            <w:r w:rsidRPr="005A03F9">
              <w:t xml:space="preserve"> in the maximum recommended daily dose must be no more than 30 milligrams.</w:t>
            </w:r>
          </w:p>
        </w:tc>
      </w:tr>
    </w:tbl>
    <w:p w:rsidR="00490BCE" w:rsidRPr="005A03F9" w:rsidRDefault="00490BCE" w:rsidP="00490BCE">
      <w:pPr>
        <w:pStyle w:val="ItemHead"/>
      </w:pPr>
      <w:r w:rsidRPr="005A03F9">
        <w:t>5</w:t>
      </w:r>
      <w:r w:rsidR="005578FA" w:rsidRPr="005A03F9">
        <w:t>9</w:t>
      </w:r>
      <w:r w:rsidRPr="005A03F9">
        <w:t xml:space="preserve">  Table 1 in Part</w:t>
      </w:r>
      <w:r w:rsidR="005A03F9" w:rsidRPr="005A03F9">
        <w:t> </w:t>
      </w:r>
      <w:r w:rsidRPr="005A03F9">
        <w:t>2 of Schedule</w:t>
      </w:r>
      <w:r w:rsidR="005A03F9" w:rsidRPr="005A03F9">
        <w:t> </w:t>
      </w:r>
      <w:r w:rsidRPr="005A03F9">
        <w:t>1 (cell at table item</w:t>
      </w:r>
      <w:r w:rsidR="005A03F9" w:rsidRPr="005A03F9">
        <w:t> </w:t>
      </w:r>
      <w:r w:rsidRPr="005A03F9">
        <w:t>4951, column 4)</w:t>
      </w:r>
    </w:p>
    <w:p w:rsidR="00490BCE" w:rsidRPr="005A03F9" w:rsidRDefault="00490BCE" w:rsidP="00490BCE">
      <w:pPr>
        <w:pStyle w:val="Item"/>
      </w:pPr>
      <w:r w:rsidRPr="005A03F9">
        <w:t>Repeal the cell, substitute:</w:t>
      </w:r>
    </w:p>
    <w:p w:rsidR="00575AFE" w:rsidRPr="005A03F9" w:rsidRDefault="00575AFE" w:rsidP="00575AFE">
      <w:pPr>
        <w:pStyle w:val="Tabletext"/>
      </w:pPr>
    </w:p>
    <w:tbl>
      <w:tblPr>
        <w:tblW w:w="0" w:type="auto"/>
        <w:tblInd w:w="817" w:type="dxa"/>
        <w:tblBorders>
          <w:insideH w:val="single" w:sz="4" w:space="0" w:color="auto"/>
        </w:tblBorders>
        <w:tblLayout w:type="fixed"/>
        <w:tblLook w:val="0000" w:firstRow="0" w:lastRow="0" w:firstColumn="0" w:lastColumn="0" w:noHBand="0" w:noVBand="0"/>
      </w:tblPr>
      <w:tblGrid>
        <w:gridCol w:w="3799"/>
      </w:tblGrid>
      <w:tr w:rsidR="00887E4E" w:rsidRPr="005A03F9" w:rsidTr="00887E4E">
        <w:tc>
          <w:tcPr>
            <w:tcW w:w="3799" w:type="dxa"/>
            <w:shd w:val="clear" w:color="auto" w:fill="auto"/>
          </w:tcPr>
          <w:p w:rsidR="00887E4E" w:rsidRPr="005A03F9" w:rsidRDefault="00887E4E" w:rsidP="00B26115">
            <w:pPr>
              <w:spacing w:after="200" w:line="276" w:lineRule="auto"/>
            </w:pPr>
            <w:r w:rsidRPr="005A03F9">
              <w:t>When used as an excipient, the route of administration must be topical.</w:t>
            </w:r>
          </w:p>
          <w:p w:rsidR="00887E4E" w:rsidRPr="005A03F9" w:rsidRDefault="00887E4E" w:rsidP="00B26115">
            <w:pPr>
              <w:spacing w:after="200" w:line="276" w:lineRule="auto"/>
            </w:pPr>
            <w:r w:rsidRPr="005A03F9">
              <w:t>Only for use in topical medicines for dermal application and not to be included in medicines intended for use in the eye.</w:t>
            </w:r>
          </w:p>
          <w:p w:rsidR="00887E4E" w:rsidRPr="005A03F9" w:rsidRDefault="00887E4E" w:rsidP="00B26115">
            <w:pPr>
              <w:spacing w:after="200" w:line="276" w:lineRule="auto"/>
            </w:pPr>
            <w:r w:rsidRPr="005A03F9">
              <w:t>When used as an excipient, the concentration in a medicine must be no more than 0.05%.</w:t>
            </w:r>
          </w:p>
          <w:p w:rsidR="00887E4E" w:rsidRPr="005A03F9" w:rsidRDefault="00887E4E" w:rsidP="00B26115">
            <w:pPr>
              <w:spacing w:after="200" w:line="276" w:lineRule="auto"/>
            </w:pPr>
            <w:r w:rsidRPr="005A03F9">
              <w:t xml:space="preserve">The maximum recommended daily dose must provide no more than 300 milligrams of </w:t>
            </w:r>
            <w:proofErr w:type="spellStart"/>
            <w:r w:rsidRPr="005A03F9">
              <w:t>ubidecarenone</w:t>
            </w:r>
            <w:proofErr w:type="spellEnd"/>
            <w:r w:rsidRPr="005A03F9">
              <w:t>.</w:t>
            </w:r>
          </w:p>
          <w:p w:rsidR="00887E4E" w:rsidRPr="005A03F9" w:rsidRDefault="00887E4E" w:rsidP="00B26115">
            <w:pPr>
              <w:spacing w:after="200" w:line="276" w:lineRule="auto"/>
            </w:pPr>
            <w:r w:rsidRPr="005A03F9">
              <w:t>When used in combination with Ubiquinol</w:t>
            </w:r>
            <w:r w:rsidR="005A03F9">
              <w:noBreakHyphen/>
            </w:r>
            <w:r w:rsidRPr="005A03F9">
              <w:t>10, the maximum recommended daily dose must provide no more than 300 milligrams of ubiquinol</w:t>
            </w:r>
            <w:r w:rsidR="005A03F9">
              <w:noBreakHyphen/>
            </w:r>
            <w:r w:rsidRPr="005A03F9">
              <w:t xml:space="preserve">10 and </w:t>
            </w:r>
            <w:proofErr w:type="spellStart"/>
            <w:r w:rsidRPr="005A03F9">
              <w:t>ubidecarenone</w:t>
            </w:r>
            <w:proofErr w:type="spellEnd"/>
            <w:r w:rsidRPr="005A03F9">
              <w:t xml:space="preserve"> combined.</w:t>
            </w:r>
          </w:p>
          <w:p w:rsidR="00887E4E" w:rsidRPr="005A03F9" w:rsidRDefault="00887E4E" w:rsidP="00B26115">
            <w:pPr>
              <w:spacing w:after="200" w:line="276" w:lineRule="auto"/>
            </w:pPr>
            <w:r w:rsidRPr="005A03F9">
              <w:t>The medicine requires the following warning statement on the medicine label:</w:t>
            </w:r>
          </w:p>
          <w:p w:rsidR="00887E4E" w:rsidRPr="005A03F9" w:rsidRDefault="005A03F9" w:rsidP="00B26115">
            <w:pPr>
              <w:spacing w:after="200" w:line="276" w:lineRule="auto"/>
            </w:pPr>
            <w:r>
              <w:rPr>
                <w:rFonts w:cs="Times New Roman"/>
              </w:rPr>
              <w:noBreakHyphen/>
            </w:r>
            <w:r w:rsidR="00887E4E" w:rsidRPr="005A03F9">
              <w:rPr>
                <w:rFonts w:cs="Times New Roman"/>
              </w:rPr>
              <w:t xml:space="preserve"> </w:t>
            </w:r>
            <w:r w:rsidR="00887E4E" w:rsidRPr="005A03F9">
              <w:t>(WARF) 'Do not take while on warfarin therapy without medical advice.'</w:t>
            </w:r>
          </w:p>
        </w:tc>
      </w:tr>
    </w:tbl>
    <w:p w:rsidR="00490BCE" w:rsidRPr="005A03F9" w:rsidRDefault="005578FA" w:rsidP="00490BCE">
      <w:pPr>
        <w:pStyle w:val="ItemHead"/>
      </w:pPr>
      <w:r w:rsidRPr="005A03F9">
        <w:t>60</w:t>
      </w:r>
      <w:r w:rsidR="00490BCE" w:rsidRPr="005A03F9">
        <w:t xml:space="preserve">  Table 1 in Part</w:t>
      </w:r>
      <w:r w:rsidR="005A03F9" w:rsidRPr="005A03F9">
        <w:t> </w:t>
      </w:r>
      <w:r w:rsidR="00490BCE" w:rsidRPr="005A03F9">
        <w:t>2 of Schedule</w:t>
      </w:r>
      <w:r w:rsidR="005A03F9" w:rsidRPr="005A03F9">
        <w:t> </w:t>
      </w:r>
      <w:r w:rsidR="00490BCE" w:rsidRPr="005A03F9">
        <w:t>1 (cell at table item</w:t>
      </w:r>
      <w:r w:rsidR="005A03F9" w:rsidRPr="005A03F9">
        <w:t> </w:t>
      </w:r>
      <w:r w:rsidR="00490BCE" w:rsidRPr="005A03F9">
        <w:t>5145, column 4)</w:t>
      </w:r>
    </w:p>
    <w:p w:rsidR="00490BCE" w:rsidRPr="005A03F9" w:rsidRDefault="00490BCE" w:rsidP="00490BCE">
      <w:pPr>
        <w:pStyle w:val="Item"/>
      </w:pPr>
      <w:r w:rsidRPr="005A03F9">
        <w:t>Repeal the cell, substitute:</w:t>
      </w:r>
    </w:p>
    <w:p w:rsidR="00575AFE" w:rsidRPr="005A03F9" w:rsidRDefault="00575AFE" w:rsidP="00575AFE">
      <w:pPr>
        <w:pStyle w:val="Tabletext"/>
      </w:pPr>
    </w:p>
    <w:tbl>
      <w:tblPr>
        <w:tblW w:w="0" w:type="auto"/>
        <w:tblInd w:w="817" w:type="dxa"/>
        <w:tblBorders>
          <w:insideH w:val="single" w:sz="4" w:space="0" w:color="auto"/>
        </w:tblBorders>
        <w:tblLayout w:type="fixed"/>
        <w:tblLook w:val="0000" w:firstRow="0" w:lastRow="0" w:firstColumn="0" w:lastColumn="0" w:noHBand="0" w:noVBand="0"/>
      </w:tblPr>
      <w:tblGrid>
        <w:gridCol w:w="3799"/>
      </w:tblGrid>
      <w:tr w:rsidR="00887E4E" w:rsidRPr="005A03F9" w:rsidTr="00887E4E">
        <w:tc>
          <w:tcPr>
            <w:tcW w:w="3799" w:type="dxa"/>
            <w:shd w:val="clear" w:color="auto" w:fill="auto"/>
          </w:tcPr>
          <w:p w:rsidR="00887E4E" w:rsidRPr="005A03F9" w:rsidRDefault="00887E4E" w:rsidP="00B26115">
            <w:pPr>
              <w:spacing w:after="200" w:line="276" w:lineRule="auto"/>
            </w:pPr>
            <w:r w:rsidRPr="005A03F9">
              <w:t>When used internally, zinc is a mandatory component of zinc oxide.</w:t>
            </w:r>
          </w:p>
          <w:p w:rsidR="00887E4E" w:rsidRPr="005A03F9" w:rsidRDefault="00887E4E" w:rsidP="00B26115">
            <w:pPr>
              <w:spacing w:after="200" w:line="276" w:lineRule="auto"/>
            </w:pPr>
            <w:r w:rsidRPr="005A03F9">
              <w:t>The percentage of zinc from zinc oxide should be calculated based on the molecular weight of zinc oxide.</w:t>
            </w:r>
          </w:p>
          <w:p w:rsidR="00887E4E" w:rsidRPr="005A03F9" w:rsidRDefault="00887E4E" w:rsidP="00B26115">
            <w:pPr>
              <w:spacing w:after="200" w:line="276" w:lineRule="auto"/>
            </w:pPr>
            <w:r w:rsidRPr="005A03F9">
              <w:t>The indication ‘For mineral (may state the mineral) supplementation’ is only permitted when the medicine is for oral or sublingual use.</w:t>
            </w:r>
          </w:p>
        </w:tc>
      </w:tr>
    </w:tbl>
    <w:p w:rsidR="001D577B" w:rsidRPr="005A03F9" w:rsidRDefault="001D577B" w:rsidP="002B37D2">
      <w:pPr>
        <w:pStyle w:val="Tabletext"/>
      </w:pPr>
    </w:p>
    <w:sectPr w:rsidR="001D577B" w:rsidRPr="005A03F9" w:rsidSect="00F03EDC">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9A4" w:rsidRDefault="00B249A4" w:rsidP="0048364F">
      <w:pPr>
        <w:spacing w:line="240" w:lineRule="auto"/>
      </w:pPr>
      <w:r>
        <w:separator/>
      </w:r>
    </w:p>
  </w:endnote>
  <w:endnote w:type="continuationSeparator" w:id="0">
    <w:p w:rsidR="00B249A4" w:rsidRDefault="00B249A4"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9A4" w:rsidRPr="00F03EDC" w:rsidRDefault="00B249A4" w:rsidP="00F03EDC">
    <w:pPr>
      <w:pStyle w:val="Footer"/>
      <w:tabs>
        <w:tab w:val="clear" w:pos="4153"/>
        <w:tab w:val="clear" w:pos="8306"/>
        <w:tab w:val="center" w:pos="4150"/>
        <w:tab w:val="right" w:pos="8307"/>
      </w:tabs>
      <w:spacing w:before="120"/>
      <w:rPr>
        <w:i/>
        <w:sz w:val="18"/>
      </w:rPr>
    </w:pPr>
    <w:r w:rsidRPr="00F03EDC">
      <w:rPr>
        <w:i/>
        <w:sz w:val="18"/>
      </w:rPr>
      <w:t xml:space="preserve"> </w:t>
    </w:r>
    <w:r w:rsidR="00F03EDC" w:rsidRPr="00F03EDC">
      <w:rPr>
        <w:i/>
        <w:sz w:val="18"/>
      </w:rPr>
      <w:t>OPC62258 -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9A4" w:rsidRDefault="00B249A4" w:rsidP="00E97334"/>
  <w:p w:rsidR="00B249A4" w:rsidRPr="00E97334" w:rsidRDefault="00F03EDC" w:rsidP="00F03EDC">
    <w:r w:rsidRPr="00F03EDC">
      <w:rPr>
        <w:rFonts w:cs="Times New Roman"/>
        <w:i/>
        <w:sz w:val="18"/>
      </w:rPr>
      <w:t>OPC62258 -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9A4" w:rsidRPr="00ED79B6" w:rsidRDefault="00B249A4" w:rsidP="00685F4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9A4" w:rsidRPr="00F03EDC" w:rsidRDefault="00B249A4" w:rsidP="0094523D">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B249A4" w:rsidRPr="00F03EDC" w:rsidTr="005A03F9">
      <w:tc>
        <w:tcPr>
          <w:tcW w:w="709" w:type="dxa"/>
          <w:tcBorders>
            <w:top w:val="nil"/>
            <w:left w:val="nil"/>
            <w:bottom w:val="nil"/>
            <w:right w:val="nil"/>
          </w:tcBorders>
        </w:tcPr>
        <w:p w:rsidR="00B249A4" w:rsidRPr="00F03EDC" w:rsidRDefault="00B249A4" w:rsidP="001D577B">
          <w:pPr>
            <w:spacing w:line="0" w:lineRule="atLeast"/>
            <w:rPr>
              <w:rFonts w:cs="Times New Roman"/>
              <w:i/>
              <w:sz w:val="18"/>
            </w:rPr>
          </w:pPr>
          <w:r w:rsidRPr="00F03EDC">
            <w:rPr>
              <w:rFonts w:cs="Times New Roman"/>
              <w:i/>
              <w:sz w:val="18"/>
            </w:rPr>
            <w:fldChar w:fldCharType="begin"/>
          </w:r>
          <w:r w:rsidRPr="00F03EDC">
            <w:rPr>
              <w:rFonts w:cs="Times New Roman"/>
              <w:i/>
              <w:sz w:val="18"/>
            </w:rPr>
            <w:instrText xml:space="preserve"> PAGE </w:instrText>
          </w:r>
          <w:r w:rsidRPr="00F03EDC">
            <w:rPr>
              <w:rFonts w:cs="Times New Roman"/>
              <w:i/>
              <w:sz w:val="18"/>
            </w:rPr>
            <w:fldChar w:fldCharType="separate"/>
          </w:r>
          <w:r w:rsidR="00772E3B">
            <w:rPr>
              <w:rFonts w:cs="Times New Roman"/>
              <w:i/>
              <w:noProof/>
              <w:sz w:val="18"/>
            </w:rPr>
            <w:t>ii</w:t>
          </w:r>
          <w:r w:rsidRPr="00F03EDC">
            <w:rPr>
              <w:rFonts w:cs="Times New Roman"/>
              <w:i/>
              <w:sz w:val="18"/>
            </w:rPr>
            <w:fldChar w:fldCharType="end"/>
          </w:r>
        </w:p>
      </w:tc>
      <w:tc>
        <w:tcPr>
          <w:tcW w:w="6379" w:type="dxa"/>
          <w:tcBorders>
            <w:top w:val="nil"/>
            <w:left w:val="nil"/>
            <w:bottom w:val="nil"/>
            <w:right w:val="nil"/>
          </w:tcBorders>
        </w:tcPr>
        <w:p w:rsidR="00B249A4" w:rsidRPr="00F03EDC" w:rsidRDefault="00B249A4" w:rsidP="001D577B">
          <w:pPr>
            <w:spacing w:line="0" w:lineRule="atLeast"/>
            <w:jc w:val="center"/>
            <w:rPr>
              <w:rFonts w:cs="Times New Roman"/>
              <w:i/>
              <w:sz w:val="18"/>
            </w:rPr>
          </w:pPr>
          <w:r w:rsidRPr="00F03EDC">
            <w:rPr>
              <w:rFonts w:cs="Times New Roman"/>
              <w:i/>
              <w:sz w:val="18"/>
            </w:rPr>
            <w:fldChar w:fldCharType="begin"/>
          </w:r>
          <w:r w:rsidRPr="00F03EDC">
            <w:rPr>
              <w:rFonts w:cs="Times New Roman"/>
              <w:i/>
              <w:sz w:val="18"/>
            </w:rPr>
            <w:instrText xml:space="preserve"> DOCPROPERTY ShortT </w:instrText>
          </w:r>
          <w:r w:rsidRPr="00F03EDC">
            <w:rPr>
              <w:rFonts w:cs="Times New Roman"/>
              <w:i/>
              <w:sz w:val="18"/>
            </w:rPr>
            <w:fldChar w:fldCharType="separate"/>
          </w:r>
          <w:r w:rsidR="00772E3B">
            <w:rPr>
              <w:rFonts w:cs="Times New Roman"/>
              <w:i/>
              <w:sz w:val="18"/>
            </w:rPr>
            <w:t>Therapeutic Goods (Permissible Ingredients) Amendment (2016 Measures No. 1) Determination 2016</w:t>
          </w:r>
          <w:r w:rsidRPr="00F03EDC">
            <w:rPr>
              <w:rFonts w:cs="Times New Roman"/>
              <w:i/>
              <w:sz w:val="18"/>
            </w:rPr>
            <w:fldChar w:fldCharType="end"/>
          </w:r>
        </w:p>
      </w:tc>
      <w:tc>
        <w:tcPr>
          <w:tcW w:w="1384" w:type="dxa"/>
          <w:tcBorders>
            <w:top w:val="nil"/>
            <w:left w:val="nil"/>
            <w:bottom w:val="nil"/>
            <w:right w:val="nil"/>
          </w:tcBorders>
        </w:tcPr>
        <w:p w:rsidR="00B249A4" w:rsidRPr="00F03EDC" w:rsidRDefault="00B249A4" w:rsidP="001D577B">
          <w:pPr>
            <w:spacing w:line="0" w:lineRule="atLeast"/>
            <w:jc w:val="right"/>
            <w:rPr>
              <w:rFonts w:cs="Times New Roman"/>
              <w:i/>
              <w:sz w:val="18"/>
            </w:rPr>
          </w:pPr>
        </w:p>
      </w:tc>
    </w:tr>
  </w:tbl>
  <w:p w:rsidR="00B249A4" w:rsidRPr="00F03EDC" w:rsidRDefault="00F03EDC" w:rsidP="00F03EDC">
    <w:pPr>
      <w:rPr>
        <w:rFonts w:cs="Times New Roman"/>
        <w:i/>
        <w:sz w:val="18"/>
      </w:rPr>
    </w:pPr>
    <w:r w:rsidRPr="00F03EDC">
      <w:rPr>
        <w:rFonts w:cs="Times New Roman"/>
        <w:i/>
        <w:sz w:val="18"/>
      </w:rPr>
      <w:t>OPC62258 -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9A4" w:rsidRPr="00E33C1C" w:rsidRDefault="00B249A4"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B249A4" w:rsidTr="005A03F9">
      <w:tc>
        <w:tcPr>
          <w:tcW w:w="1383" w:type="dxa"/>
          <w:tcBorders>
            <w:top w:val="nil"/>
            <w:left w:val="nil"/>
            <w:bottom w:val="nil"/>
            <w:right w:val="nil"/>
          </w:tcBorders>
        </w:tcPr>
        <w:p w:rsidR="00B249A4" w:rsidRDefault="00B249A4" w:rsidP="001D577B">
          <w:pPr>
            <w:spacing w:line="0" w:lineRule="atLeast"/>
            <w:rPr>
              <w:sz w:val="18"/>
            </w:rPr>
          </w:pPr>
        </w:p>
      </w:tc>
      <w:tc>
        <w:tcPr>
          <w:tcW w:w="6379" w:type="dxa"/>
          <w:tcBorders>
            <w:top w:val="nil"/>
            <w:left w:val="nil"/>
            <w:bottom w:val="nil"/>
            <w:right w:val="nil"/>
          </w:tcBorders>
        </w:tcPr>
        <w:p w:rsidR="00B249A4" w:rsidRDefault="00B249A4" w:rsidP="001D577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72E3B">
            <w:rPr>
              <w:i/>
              <w:sz w:val="18"/>
            </w:rPr>
            <w:t>Therapeutic Goods (Permissible Ingredients) Amendment (2016 Measures No. 1) Determination 2016</w:t>
          </w:r>
          <w:r w:rsidRPr="007A1328">
            <w:rPr>
              <w:i/>
              <w:sz w:val="18"/>
            </w:rPr>
            <w:fldChar w:fldCharType="end"/>
          </w:r>
        </w:p>
      </w:tc>
      <w:tc>
        <w:tcPr>
          <w:tcW w:w="710" w:type="dxa"/>
          <w:tcBorders>
            <w:top w:val="nil"/>
            <w:left w:val="nil"/>
            <w:bottom w:val="nil"/>
            <w:right w:val="nil"/>
          </w:tcBorders>
        </w:tcPr>
        <w:p w:rsidR="00B249A4" w:rsidRDefault="00B249A4" w:rsidP="001D577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93705">
            <w:rPr>
              <w:i/>
              <w:noProof/>
              <w:sz w:val="18"/>
            </w:rPr>
            <w:t>i</w:t>
          </w:r>
          <w:r w:rsidRPr="00ED79B6">
            <w:rPr>
              <w:i/>
              <w:sz w:val="18"/>
            </w:rPr>
            <w:fldChar w:fldCharType="end"/>
          </w:r>
        </w:p>
      </w:tc>
    </w:tr>
  </w:tbl>
  <w:p w:rsidR="00B249A4" w:rsidRPr="00ED79B6" w:rsidRDefault="00F03EDC" w:rsidP="00F03EDC">
    <w:pPr>
      <w:rPr>
        <w:i/>
        <w:sz w:val="18"/>
      </w:rPr>
    </w:pPr>
    <w:r w:rsidRPr="00F03EDC">
      <w:rPr>
        <w:rFonts w:cs="Times New Roman"/>
        <w:i/>
        <w:sz w:val="18"/>
      </w:rPr>
      <w:t>OPC62258 -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9A4" w:rsidRPr="00F03EDC" w:rsidRDefault="00B249A4" w:rsidP="009C5989">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B249A4" w:rsidRPr="00F03EDC" w:rsidTr="005A03F9">
      <w:tc>
        <w:tcPr>
          <w:tcW w:w="709" w:type="dxa"/>
          <w:tcBorders>
            <w:top w:val="nil"/>
            <w:left w:val="nil"/>
            <w:bottom w:val="nil"/>
            <w:right w:val="nil"/>
          </w:tcBorders>
        </w:tcPr>
        <w:p w:rsidR="00B249A4" w:rsidRPr="00F03EDC" w:rsidRDefault="00B249A4" w:rsidP="001D577B">
          <w:pPr>
            <w:spacing w:line="0" w:lineRule="atLeast"/>
            <w:rPr>
              <w:rFonts w:cs="Times New Roman"/>
              <w:i/>
              <w:sz w:val="18"/>
            </w:rPr>
          </w:pPr>
          <w:r w:rsidRPr="00F03EDC">
            <w:rPr>
              <w:rFonts w:cs="Times New Roman"/>
              <w:i/>
              <w:sz w:val="18"/>
            </w:rPr>
            <w:fldChar w:fldCharType="begin"/>
          </w:r>
          <w:r w:rsidRPr="00F03EDC">
            <w:rPr>
              <w:rFonts w:cs="Times New Roman"/>
              <w:i/>
              <w:sz w:val="18"/>
            </w:rPr>
            <w:instrText xml:space="preserve"> PAGE </w:instrText>
          </w:r>
          <w:r w:rsidRPr="00F03EDC">
            <w:rPr>
              <w:rFonts w:cs="Times New Roman"/>
              <w:i/>
              <w:sz w:val="18"/>
            </w:rPr>
            <w:fldChar w:fldCharType="separate"/>
          </w:r>
          <w:r w:rsidR="00B93705">
            <w:rPr>
              <w:rFonts w:cs="Times New Roman"/>
              <w:i/>
              <w:noProof/>
              <w:sz w:val="18"/>
            </w:rPr>
            <w:t>2</w:t>
          </w:r>
          <w:r w:rsidRPr="00F03EDC">
            <w:rPr>
              <w:rFonts w:cs="Times New Roman"/>
              <w:i/>
              <w:sz w:val="18"/>
            </w:rPr>
            <w:fldChar w:fldCharType="end"/>
          </w:r>
        </w:p>
      </w:tc>
      <w:tc>
        <w:tcPr>
          <w:tcW w:w="6379" w:type="dxa"/>
          <w:tcBorders>
            <w:top w:val="nil"/>
            <w:left w:val="nil"/>
            <w:bottom w:val="nil"/>
            <w:right w:val="nil"/>
          </w:tcBorders>
        </w:tcPr>
        <w:p w:rsidR="00B249A4" w:rsidRPr="00F03EDC" w:rsidRDefault="00B249A4" w:rsidP="001D577B">
          <w:pPr>
            <w:spacing w:line="0" w:lineRule="atLeast"/>
            <w:jc w:val="center"/>
            <w:rPr>
              <w:rFonts w:cs="Times New Roman"/>
              <w:i/>
              <w:sz w:val="18"/>
            </w:rPr>
          </w:pPr>
          <w:r w:rsidRPr="00F03EDC">
            <w:rPr>
              <w:rFonts w:cs="Times New Roman"/>
              <w:i/>
              <w:sz w:val="18"/>
            </w:rPr>
            <w:fldChar w:fldCharType="begin"/>
          </w:r>
          <w:r w:rsidRPr="00F03EDC">
            <w:rPr>
              <w:rFonts w:cs="Times New Roman"/>
              <w:i/>
              <w:sz w:val="18"/>
            </w:rPr>
            <w:instrText xml:space="preserve"> DOCPROPERTY ShortT </w:instrText>
          </w:r>
          <w:r w:rsidRPr="00F03EDC">
            <w:rPr>
              <w:rFonts w:cs="Times New Roman"/>
              <w:i/>
              <w:sz w:val="18"/>
            </w:rPr>
            <w:fldChar w:fldCharType="separate"/>
          </w:r>
          <w:r w:rsidR="00772E3B">
            <w:rPr>
              <w:rFonts w:cs="Times New Roman"/>
              <w:i/>
              <w:sz w:val="18"/>
            </w:rPr>
            <w:t>Therapeutic Goods (Permissible Ingredients) Amendment (2016 Measures No. 1) Determination 2016</w:t>
          </w:r>
          <w:r w:rsidRPr="00F03EDC">
            <w:rPr>
              <w:rFonts w:cs="Times New Roman"/>
              <w:i/>
              <w:sz w:val="18"/>
            </w:rPr>
            <w:fldChar w:fldCharType="end"/>
          </w:r>
        </w:p>
      </w:tc>
      <w:tc>
        <w:tcPr>
          <w:tcW w:w="1384" w:type="dxa"/>
          <w:tcBorders>
            <w:top w:val="nil"/>
            <w:left w:val="nil"/>
            <w:bottom w:val="nil"/>
            <w:right w:val="nil"/>
          </w:tcBorders>
        </w:tcPr>
        <w:p w:rsidR="00B249A4" w:rsidRPr="00F03EDC" w:rsidRDefault="00B249A4" w:rsidP="001D577B">
          <w:pPr>
            <w:spacing w:line="0" w:lineRule="atLeast"/>
            <w:jc w:val="right"/>
            <w:rPr>
              <w:rFonts w:cs="Times New Roman"/>
              <w:i/>
              <w:sz w:val="18"/>
            </w:rPr>
          </w:pPr>
        </w:p>
      </w:tc>
    </w:tr>
  </w:tbl>
  <w:p w:rsidR="00B249A4" w:rsidRPr="00F03EDC" w:rsidRDefault="00F03EDC" w:rsidP="00F03EDC">
    <w:pPr>
      <w:rPr>
        <w:rFonts w:cs="Times New Roman"/>
        <w:i/>
        <w:sz w:val="18"/>
      </w:rPr>
    </w:pPr>
    <w:r w:rsidRPr="00F03EDC">
      <w:rPr>
        <w:rFonts w:cs="Times New Roman"/>
        <w:i/>
        <w:sz w:val="18"/>
      </w:rPr>
      <w:t>OPC62258 -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9A4" w:rsidRPr="00E33C1C" w:rsidRDefault="00B249A4"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B249A4" w:rsidTr="001D577B">
      <w:tc>
        <w:tcPr>
          <w:tcW w:w="1384" w:type="dxa"/>
          <w:tcBorders>
            <w:top w:val="nil"/>
            <w:left w:val="nil"/>
            <w:bottom w:val="nil"/>
            <w:right w:val="nil"/>
          </w:tcBorders>
        </w:tcPr>
        <w:p w:rsidR="00B249A4" w:rsidRDefault="00B249A4" w:rsidP="001D577B">
          <w:pPr>
            <w:spacing w:line="0" w:lineRule="atLeast"/>
            <w:rPr>
              <w:sz w:val="18"/>
            </w:rPr>
          </w:pPr>
        </w:p>
      </w:tc>
      <w:tc>
        <w:tcPr>
          <w:tcW w:w="6379" w:type="dxa"/>
          <w:tcBorders>
            <w:top w:val="nil"/>
            <w:left w:val="nil"/>
            <w:bottom w:val="nil"/>
            <w:right w:val="nil"/>
          </w:tcBorders>
        </w:tcPr>
        <w:p w:rsidR="00B249A4" w:rsidRDefault="00B249A4" w:rsidP="001D577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72E3B">
            <w:rPr>
              <w:i/>
              <w:sz w:val="18"/>
            </w:rPr>
            <w:t>Therapeutic Goods (Permissible Ingredients) Amendment (2016 Measures No. 1) Determination 2016</w:t>
          </w:r>
          <w:r w:rsidRPr="007A1328">
            <w:rPr>
              <w:i/>
              <w:sz w:val="18"/>
            </w:rPr>
            <w:fldChar w:fldCharType="end"/>
          </w:r>
        </w:p>
      </w:tc>
      <w:tc>
        <w:tcPr>
          <w:tcW w:w="709" w:type="dxa"/>
          <w:tcBorders>
            <w:top w:val="nil"/>
            <w:left w:val="nil"/>
            <w:bottom w:val="nil"/>
            <w:right w:val="nil"/>
          </w:tcBorders>
        </w:tcPr>
        <w:p w:rsidR="00B249A4" w:rsidRDefault="00B249A4" w:rsidP="001D577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93705">
            <w:rPr>
              <w:i/>
              <w:noProof/>
              <w:sz w:val="18"/>
            </w:rPr>
            <w:t>1</w:t>
          </w:r>
          <w:r w:rsidRPr="00ED79B6">
            <w:rPr>
              <w:i/>
              <w:sz w:val="18"/>
            </w:rPr>
            <w:fldChar w:fldCharType="end"/>
          </w:r>
        </w:p>
      </w:tc>
    </w:tr>
  </w:tbl>
  <w:p w:rsidR="00B249A4" w:rsidRPr="00ED79B6" w:rsidRDefault="00F03EDC" w:rsidP="00F03EDC">
    <w:pPr>
      <w:rPr>
        <w:i/>
        <w:sz w:val="18"/>
      </w:rPr>
    </w:pPr>
    <w:r>
      <w:rPr>
        <w:i/>
        <w:sz w:val="18"/>
      </w:rPr>
      <w:fldChar w:fldCharType="begin"/>
    </w:r>
    <w:r>
      <w:rPr>
        <w:i/>
        <w:sz w:val="18"/>
      </w:rPr>
      <w:instrText xml:space="preserve"> DOCPROPERTY ID \* MERGEFORMAT </w:instrText>
    </w:r>
    <w:r>
      <w:rPr>
        <w:i/>
        <w:sz w:val="18"/>
      </w:rPr>
      <w:fldChar w:fldCharType="separate"/>
    </w:r>
    <w:r w:rsidR="00772E3B">
      <w:rPr>
        <w:i/>
        <w:sz w:val="18"/>
      </w:rPr>
      <w:t>OPC62258</w:t>
    </w:r>
    <w:r>
      <w:rPr>
        <w:i/>
        <w:sz w:val="18"/>
      </w:rPr>
      <w:fldChar w:fldCharType="end"/>
    </w:r>
    <w:r w:rsidRPr="00F03EDC">
      <w:rPr>
        <w:rFonts w:cs="Times New Roman"/>
        <w:i/>
        <w:sz w:val="18"/>
      </w:rPr>
      <w:t xml:space="preserve">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9A4" w:rsidRPr="00E33C1C" w:rsidRDefault="00B249A4"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B249A4" w:rsidTr="007A6863">
      <w:tc>
        <w:tcPr>
          <w:tcW w:w="1384" w:type="dxa"/>
          <w:tcBorders>
            <w:top w:val="nil"/>
            <w:left w:val="nil"/>
            <w:bottom w:val="nil"/>
            <w:right w:val="nil"/>
          </w:tcBorders>
        </w:tcPr>
        <w:p w:rsidR="00B249A4" w:rsidRDefault="00B249A4" w:rsidP="001D577B">
          <w:pPr>
            <w:spacing w:line="0" w:lineRule="atLeast"/>
            <w:rPr>
              <w:sz w:val="18"/>
            </w:rPr>
          </w:pPr>
        </w:p>
      </w:tc>
      <w:tc>
        <w:tcPr>
          <w:tcW w:w="6379" w:type="dxa"/>
          <w:tcBorders>
            <w:top w:val="nil"/>
            <w:left w:val="nil"/>
            <w:bottom w:val="nil"/>
            <w:right w:val="nil"/>
          </w:tcBorders>
        </w:tcPr>
        <w:p w:rsidR="00B249A4" w:rsidRDefault="00B249A4" w:rsidP="001D577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72E3B">
            <w:rPr>
              <w:i/>
              <w:sz w:val="18"/>
            </w:rPr>
            <w:t>Therapeutic Goods (Permissible Ingredients) Amendment (2016 Measures No. 1) Determination 2016</w:t>
          </w:r>
          <w:r w:rsidRPr="007A1328">
            <w:rPr>
              <w:i/>
              <w:sz w:val="18"/>
            </w:rPr>
            <w:fldChar w:fldCharType="end"/>
          </w:r>
        </w:p>
      </w:tc>
      <w:tc>
        <w:tcPr>
          <w:tcW w:w="709" w:type="dxa"/>
          <w:tcBorders>
            <w:top w:val="nil"/>
            <w:left w:val="nil"/>
            <w:bottom w:val="nil"/>
            <w:right w:val="nil"/>
          </w:tcBorders>
        </w:tcPr>
        <w:p w:rsidR="00B249A4" w:rsidRDefault="00B249A4" w:rsidP="001D577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72E3B">
            <w:rPr>
              <w:i/>
              <w:noProof/>
              <w:sz w:val="18"/>
            </w:rPr>
            <w:t>2</w:t>
          </w:r>
          <w:r w:rsidRPr="00ED79B6">
            <w:rPr>
              <w:i/>
              <w:sz w:val="18"/>
            </w:rPr>
            <w:fldChar w:fldCharType="end"/>
          </w:r>
        </w:p>
      </w:tc>
    </w:tr>
  </w:tbl>
  <w:p w:rsidR="00B249A4" w:rsidRPr="00ED79B6" w:rsidRDefault="00B249A4" w:rsidP="00A136F5">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9A4" w:rsidRDefault="00B249A4" w:rsidP="0048364F">
      <w:pPr>
        <w:spacing w:line="240" w:lineRule="auto"/>
      </w:pPr>
      <w:r>
        <w:separator/>
      </w:r>
    </w:p>
  </w:footnote>
  <w:footnote w:type="continuationSeparator" w:id="0">
    <w:p w:rsidR="00B249A4" w:rsidRDefault="00B249A4"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9A4" w:rsidRPr="005F1388" w:rsidRDefault="00B249A4"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9A4" w:rsidRPr="005F1388" w:rsidRDefault="00B249A4"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9A4" w:rsidRPr="005F1388" w:rsidRDefault="00B249A4"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9A4" w:rsidRPr="00ED79B6" w:rsidRDefault="00B249A4"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9A4" w:rsidRPr="00ED79B6" w:rsidRDefault="00B249A4"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9A4" w:rsidRPr="00ED79B6" w:rsidRDefault="00B249A4"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9A4" w:rsidRPr="00A961C4" w:rsidRDefault="00B249A4" w:rsidP="0048364F">
    <w:pPr>
      <w:rPr>
        <w:b/>
        <w:sz w:val="20"/>
      </w:rPr>
    </w:pPr>
    <w:r>
      <w:rPr>
        <w:b/>
        <w:sz w:val="20"/>
      </w:rPr>
      <w:fldChar w:fldCharType="begin"/>
    </w:r>
    <w:r>
      <w:rPr>
        <w:b/>
        <w:sz w:val="20"/>
      </w:rPr>
      <w:instrText xml:space="preserve"> STYLEREF CharAmSchNo </w:instrText>
    </w:r>
    <w:r>
      <w:rPr>
        <w:b/>
        <w:sz w:val="20"/>
      </w:rPr>
      <w:fldChar w:fldCharType="separate"/>
    </w:r>
    <w:r w:rsidR="00B93705">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B93705">
      <w:rPr>
        <w:noProof/>
        <w:sz w:val="20"/>
      </w:rPr>
      <w:t>Amendments</w:t>
    </w:r>
    <w:r>
      <w:rPr>
        <w:sz w:val="20"/>
      </w:rPr>
      <w:fldChar w:fldCharType="end"/>
    </w:r>
  </w:p>
  <w:p w:rsidR="00B249A4" w:rsidRPr="00A961C4" w:rsidRDefault="00B249A4"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B249A4" w:rsidRPr="00A961C4" w:rsidRDefault="00B249A4"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9A4" w:rsidRPr="00A961C4" w:rsidRDefault="00B249A4"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B249A4" w:rsidRPr="00A961C4" w:rsidRDefault="00B249A4"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B249A4" w:rsidRPr="00A961C4" w:rsidRDefault="00B249A4"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9A4" w:rsidRPr="00A961C4" w:rsidRDefault="00B249A4"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0B288D8"/>
    <w:lvl w:ilvl="0">
      <w:start w:val="1"/>
      <w:numFmt w:val="decimal"/>
      <w:lvlText w:val="%1."/>
      <w:lvlJc w:val="left"/>
      <w:pPr>
        <w:tabs>
          <w:tab w:val="num" w:pos="1492"/>
        </w:tabs>
        <w:ind w:left="1492" w:hanging="360"/>
      </w:pPr>
    </w:lvl>
  </w:abstractNum>
  <w:abstractNum w:abstractNumId="1">
    <w:nsid w:val="FFFFFF7D"/>
    <w:multiLevelType w:val="singleLevel"/>
    <w:tmpl w:val="A09E8020"/>
    <w:lvl w:ilvl="0">
      <w:start w:val="1"/>
      <w:numFmt w:val="decimal"/>
      <w:lvlText w:val="%1."/>
      <w:lvlJc w:val="left"/>
      <w:pPr>
        <w:tabs>
          <w:tab w:val="num" w:pos="1209"/>
        </w:tabs>
        <w:ind w:left="1209" w:hanging="360"/>
      </w:pPr>
    </w:lvl>
  </w:abstractNum>
  <w:abstractNum w:abstractNumId="2">
    <w:nsid w:val="FFFFFF7E"/>
    <w:multiLevelType w:val="singleLevel"/>
    <w:tmpl w:val="1242DD62"/>
    <w:lvl w:ilvl="0">
      <w:start w:val="1"/>
      <w:numFmt w:val="decimal"/>
      <w:lvlText w:val="%1."/>
      <w:lvlJc w:val="left"/>
      <w:pPr>
        <w:tabs>
          <w:tab w:val="num" w:pos="926"/>
        </w:tabs>
        <w:ind w:left="926" w:hanging="360"/>
      </w:pPr>
    </w:lvl>
  </w:abstractNum>
  <w:abstractNum w:abstractNumId="3">
    <w:nsid w:val="FFFFFF7F"/>
    <w:multiLevelType w:val="singleLevel"/>
    <w:tmpl w:val="26D28DB0"/>
    <w:lvl w:ilvl="0">
      <w:start w:val="1"/>
      <w:numFmt w:val="decimal"/>
      <w:lvlText w:val="%1."/>
      <w:lvlJc w:val="left"/>
      <w:pPr>
        <w:tabs>
          <w:tab w:val="num" w:pos="643"/>
        </w:tabs>
        <w:ind w:left="643" w:hanging="360"/>
      </w:pPr>
    </w:lvl>
  </w:abstractNum>
  <w:abstractNum w:abstractNumId="4">
    <w:nsid w:val="FFFFFF80"/>
    <w:multiLevelType w:val="singleLevel"/>
    <w:tmpl w:val="49A261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CC70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CF2108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82CF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37ADAD2"/>
    <w:lvl w:ilvl="0">
      <w:start w:val="1"/>
      <w:numFmt w:val="decimal"/>
      <w:lvlText w:val="%1."/>
      <w:lvlJc w:val="left"/>
      <w:pPr>
        <w:tabs>
          <w:tab w:val="num" w:pos="360"/>
        </w:tabs>
        <w:ind w:left="360" w:hanging="360"/>
      </w:pPr>
    </w:lvl>
  </w:abstractNum>
  <w:abstractNum w:abstractNumId="9">
    <w:nsid w:val="FFFFFF89"/>
    <w:multiLevelType w:val="singleLevel"/>
    <w:tmpl w:val="FDFA268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4E53AA8"/>
    <w:multiLevelType w:val="hybridMultilevel"/>
    <w:tmpl w:val="1B481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4BD"/>
    <w:rsid w:val="00000263"/>
    <w:rsid w:val="000113BC"/>
    <w:rsid w:val="000130C3"/>
    <w:rsid w:val="000136AF"/>
    <w:rsid w:val="00014DE1"/>
    <w:rsid w:val="0004044E"/>
    <w:rsid w:val="0005120E"/>
    <w:rsid w:val="00053F8F"/>
    <w:rsid w:val="00054577"/>
    <w:rsid w:val="000614BF"/>
    <w:rsid w:val="0007007E"/>
    <w:rsid w:val="0007169C"/>
    <w:rsid w:val="000754DF"/>
    <w:rsid w:val="00077269"/>
    <w:rsid w:val="00077593"/>
    <w:rsid w:val="00083F48"/>
    <w:rsid w:val="000900A1"/>
    <w:rsid w:val="0009531A"/>
    <w:rsid w:val="000967A9"/>
    <w:rsid w:val="000A7DF9"/>
    <w:rsid w:val="000B67B6"/>
    <w:rsid w:val="000C56C2"/>
    <w:rsid w:val="000D05EF"/>
    <w:rsid w:val="000D2A6A"/>
    <w:rsid w:val="000D5485"/>
    <w:rsid w:val="000F21C1"/>
    <w:rsid w:val="0010114B"/>
    <w:rsid w:val="00102152"/>
    <w:rsid w:val="0010308C"/>
    <w:rsid w:val="00105D72"/>
    <w:rsid w:val="0010745C"/>
    <w:rsid w:val="00117277"/>
    <w:rsid w:val="0012556C"/>
    <w:rsid w:val="001408BE"/>
    <w:rsid w:val="00160BD7"/>
    <w:rsid w:val="001643C9"/>
    <w:rsid w:val="00165568"/>
    <w:rsid w:val="00166082"/>
    <w:rsid w:val="00166C2F"/>
    <w:rsid w:val="001716C9"/>
    <w:rsid w:val="001810DD"/>
    <w:rsid w:val="00184261"/>
    <w:rsid w:val="00193461"/>
    <w:rsid w:val="001939E1"/>
    <w:rsid w:val="00195382"/>
    <w:rsid w:val="00196C0D"/>
    <w:rsid w:val="001A3B9F"/>
    <w:rsid w:val="001A65C0"/>
    <w:rsid w:val="001B0395"/>
    <w:rsid w:val="001B6456"/>
    <w:rsid w:val="001B7A5D"/>
    <w:rsid w:val="001C69C4"/>
    <w:rsid w:val="001D577B"/>
    <w:rsid w:val="001E0A8D"/>
    <w:rsid w:val="001E3590"/>
    <w:rsid w:val="001E4BC2"/>
    <w:rsid w:val="001E5A7E"/>
    <w:rsid w:val="001E7407"/>
    <w:rsid w:val="00201D27"/>
    <w:rsid w:val="0020300C"/>
    <w:rsid w:val="00214FCC"/>
    <w:rsid w:val="00220A0C"/>
    <w:rsid w:val="00223E4A"/>
    <w:rsid w:val="002302EA"/>
    <w:rsid w:val="00240749"/>
    <w:rsid w:val="002468D7"/>
    <w:rsid w:val="002646CF"/>
    <w:rsid w:val="00276C50"/>
    <w:rsid w:val="002837E1"/>
    <w:rsid w:val="00285CDD"/>
    <w:rsid w:val="00291167"/>
    <w:rsid w:val="002918D5"/>
    <w:rsid w:val="00297ECB"/>
    <w:rsid w:val="002B37D2"/>
    <w:rsid w:val="002B3C35"/>
    <w:rsid w:val="002B7F8A"/>
    <w:rsid w:val="002C152A"/>
    <w:rsid w:val="002C36FB"/>
    <w:rsid w:val="002D043A"/>
    <w:rsid w:val="00305B08"/>
    <w:rsid w:val="0031713F"/>
    <w:rsid w:val="003254BD"/>
    <w:rsid w:val="00332E0D"/>
    <w:rsid w:val="003415D3"/>
    <w:rsid w:val="003447E1"/>
    <w:rsid w:val="00346335"/>
    <w:rsid w:val="00352B0F"/>
    <w:rsid w:val="003561B0"/>
    <w:rsid w:val="00367960"/>
    <w:rsid w:val="00367D94"/>
    <w:rsid w:val="00391C96"/>
    <w:rsid w:val="0039789D"/>
    <w:rsid w:val="003A0912"/>
    <w:rsid w:val="003A15AC"/>
    <w:rsid w:val="003A56EB"/>
    <w:rsid w:val="003B0627"/>
    <w:rsid w:val="003B78E7"/>
    <w:rsid w:val="003C5F2B"/>
    <w:rsid w:val="003D0BFE"/>
    <w:rsid w:val="003D5700"/>
    <w:rsid w:val="003D693D"/>
    <w:rsid w:val="003F0F5A"/>
    <w:rsid w:val="003F4889"/>
    <w:rsid w:val="003F52E4"/>
    <w:rsid w:val="00400A30"/>
    <w:rsid w:val="004022CA"/>
    <w:rsid w:val="004116CD"/>
    <w:rsid w:val="00414ADE"/>
    <w:rsid w:val="00420C0B"/>
    <w:rsid w:val="00424CA9"/>
    <w:rsid w:val="004257BB"/>
    <w:rsid w:val="004261D9"/>
    <w:rsid w:val="0044291A"/>
    <w:rsid w:val="00460499"/>
    <w:rsid w:val="00467843"/>
    <w:rsid w:val="00474835"/>
    <w:rsid w:val="004819C7"/>
    <w:rsid w:val="0048364F"/>
    <w:rsid w:val="00490BCE"/>
    <w:rsid w:val="00490F2E"/>
    <w:rsid w:val="00496DB3"/>
    <w:rsid w:val="00496F97"/>
    <w:rsid w:val="004A53EA"/>
    <w:rsid w:val="004C6A40"/>
    <w:rsid w:val="004F185E"/>
    <w:rsid w:val="004F1FAC"/>
    <w:rsid w:val="004F676E"/>
    <w:rsid w:val="00510EF0"/>
    <w:rsid w:val="00516B8D"/>
    <w:rsid w:val="0052686F"/>
    <w:rsid w:val="0052756C"/>
    <w:rsid w:val="00530230"/>
    <w:rsid w:val="00530CC9"/>
    <w:rsid w:val="00537FBC"/>
    <w:rsid w:val="00541D73"/>
    <w:rsid w:val="00543469"/>
    <w:rsid w:val="00546FA3"/>
    <w:rsid w:val="00554243"/>
    <w:rsid w:val="005578FA"/>
    <w:rsid w:val="00557C7A"/>
    <w:rsid w:val="00561204"/>
    <w:rsid w:val="00562A58"/>
    <w:rsid w:val="00575AFE"/>
    <w:rsid w:val="00581211"/>
    <w:rsid w:val="00584811"/>
    <w:rsid w:val="00593AA6"/>
    <w:rsid w:val="00594161"/>
    <w:rsid w:val="00594749"/>
    <w:rsid w:val="005A03F9"/>
    <w:rsid w:val="005A482B"/>
    <w:rsid w:val="005B4067"/>
    <w:rsid w:val="005C3F41"/>
    <w:rsid w:val="005C7D72"/>
    <w:rsid w:val="005D168D"/>
    <w:rsid w:val="005D5EA1"/>
    <w:rsid w:val="005E61D3"/>
    <w:rsid w:val="005F7738"/>
    <w:rsid w:val="00600219"/>
    <w:rsid w:val="00604115"/>
    <w:rsid w:val="00604408"/>
    <w:rsid w:val="00613EAD"/>
    <w:rsid w:val="006158AC"/>
    <w:rsid w:val="00615A55"/>
    <w:rsid w:val="00637BF6"/>
    <w:rsid w:val="00640402"/>
    <w:rsid w:val="00640F78"/>
    <w:rsid w:val="00646E7B"/>
    <w:rsid w:val="0065309A"/>
    <w:rsid w:val="00655D6A"/>
    <w:rsid w:val="00656DE9"/>
    <w:rsid w:val="006676FE"/>
    <w:rsid w:val="00672ECA"/>
    <w:rsid w:val="00677CC2"/>
    <w:rsid w:val="00684FA2"/>
    <w:rsid w:val="00685F42"/>
    <w:rsid w:val="0068602C"/>
    <w:rsid w:val="006866A1"/>
    <w:rsid w:val="0069207B"/>
    <w:rsid w:val="006A4309"/>
    <w:rsid w:val="006B2FAF"/>
    <w:rsid w:val="006B687D"/>
    <w:rsid w:val="006B7006"/>
    <w:rsid w:val="006C383A"/>
    <w:rsid w:val="006C3E7C"/>
    <w:rsid w:val="006C7F8C"/>
    <w:rsid w:val="006D3C5E"/>
    <w:rsid w:val="006D7AB9"/>
    <w:rsid w:val="00700B2C"/>
    <w:rsid w:val="00702F6B"/>
    <w:rsid w:val="00713084"/>
    <w:rsid w:val="00720FC2"/>
    <w:rsid w:val="00731E00"/>
    <w:rsid w:val="00732E9D"/>
    <w:rsid w:val="00733A41"/>
    <w:rsid w:val="0073491A"/>
    <w:rsid w:val="00741587"/>
    <w:rsid w:val="007440B7"/>
    <w:rsid w:val="00747993"/>
    <w:rsid w:val="007634AD"/>
    <w:rsid w:val="007715C9"/>
    <w:rsid w:val="00772E3B"/>
    <w:rsid w:val="00774EDD"/>
    <w:rsid w:val="00775734"/>
    <w:rsid w:val="007757EC"/>
    <w:rsid w:val="00796390"/>
    <w:rsid w:val="00797607"/>
    <w:rsid w:val="007A35E6"/>
    <w:rsid w:val="007A3986"/>
    <w:rsid w:val="007A6863"/>
    <w:rsid w:val="007D45C1"/>
    <w:rsid w:val="007E7D4A"/>
    <w:rsid w:val="007F0B63"/>
    <w:rsid w:val="007F48ED"/>
    <w:rsid w:val="007F7947"/>
    <w:rsid w:val="007F7A77"/>
    <w:rsid w:val="00812F45"/>
    <w:rsid w:val="00826633"/>
    <w:rsid w:val="0084172C"/>
    <w:rsid w:val="00850B9A"/>
    <w:rsid w:val="00856A31"/>
    <w:rsid w:val="008754D0"/>
    <w:rsid w:val="008765BE"/>
    <w:rsid w:val="00877D48"/>
    <w:rsid w:val="0088345B"/>
    <w:rsid w:val="00887E4E"/>
    <w:rsid w:val="008972EB"/>
    <w:rsid w:val="008A04D6"/>
    <w:rsid w:val="008A16A5"/>
    <w:rsid w:val="008C2B5D"/>
    <w:rsid w:val="008D0EE0"/>
    <w:rsid w:val="008D5B99"/>
    <w:rsid w:val="008D7A27"/>
    <w:rsid w:val="008E4702"/>
    <w:rsid w:val="008E507F"/>
    <w:rsid w:val="008E69AA"/>
    <w:rsid w:val="008F4F1C"/>
    <w:rsid w:val="00922764"/>
    <w:rsid w:val="00932377"/>
    <w:rsid w:val="00943102"/>
    <w:rsid w:val="0094523D"/>
    <w:rsid w:val="00976A63"/>
    <w:rsid w:val="00983419"/>
    <w:rsid w:val="009C3431"/>
    <w:rsid w:val="009C5989"/>
    <w:rsid w:val="009D08DA"/>
    <w:rsid w:val="00A06860"/>
    <w:rsid w:val="00A136F5"/>
    <w:rsid w:val="00A20E9C"/>
    <w:rsid w:val="00A231E2"/>
    <w:rsid w:val="00A2550D"/>
    <w:rsid w:val="00A36851"/>
    <w:rsid w:val="00A4169B"/>
    <w:rsid w:val="00A50D55"/>
    <w:rsid w:val="00A5165B"/>
    <w:rsid w:val="00A52FDA"/>
    <w:rsid w:val="00A64912"/>
    <w:rsid w:val="00A70A74"/>
    <w:rsid w:val="00A854D5"/>
    <w:rsid w:val="00AA0343"/>
    <w:rsid w:val="00AA0740"/>
    <w:rsid w:val="00AA2A5C"/>
    <w:rsid w:val="00AB78E9"/>
    <w:rsid w:val="00AD3467"/>
    <w:rsid w:val="00AD5641"/>
    <w:rsid w:val="00AE0F9B"/>
    <w:rsid w:val="00AF2707"/>
    <w:rsid w:val="00AF55FF"/>
    <w:rsid w:val="00AF6F48"/>
    <w:rsid w:val="00B032D8"/>
    <w:rsid w:val="00B078F8"/>
    <w:rsid w:val="00B22B3F"/>
    <w:rsid w:val="00B249A4"/>
    <w:rsid w:val="00B26115"/>
    <w:rsid w:val="00B32AE1"/>
    <w:rsid w:val="00B33B3C"/>
    <w:rsid w:val="00B3501C"/>
    <w:rsid w:val="00B40D74"/>
    <w:rsid w:val="00B42CBE"/>
    <w:rsid w:val="00B52663"/>
    <w:rsid w:val="00B56DCB"/>
    <w:rsid w:val="00B57042"/>
    <w:rsid w:val="00B622EF"/>
    <w:rsid w:val="00B770D2"/>
    <w:rsid w:val="00B848AD"/>
    <w:rsid w:val="00B93705"/>
    <w:rsid w:val="00BA47A3"/>
    <w:rsid w:val="00BA5026"/>
    <w:rsid w:val="00BB6E79"/>
    <w:rsid w:val="00BC159D"/>
    <w:rsid w:val="00BD6762"/>
    <w:rsid w:val="00BE3B31"/>
    <w:rsid w:val="00BE719A"/>
    <w:rsid w:val="00BE720A"/>
    <w:rsid w:val="00BF6650"/>
    <w:rsid w:val="00C046F1"/>
    <w:rsid w:val="00C067E5"/>
    <w:rsid w:val="00C10284"/>
    <w:rsid w:val="00C15397"/>
    <w:rsid w:val="00C164CA"/>
    <w:rsid w:val="00C34A49"/>
    <w:rsid w:val="00C40885"/>
    <w:rsid w:val="00C42BF8"/>
    <w:rsid w:val="00C460AE"/>
    <w:rsid w:val="00C50043"/>
    <w:rsid w:val="00C50A0F"/>
    <w:rsid w:val="00C7573B"/>
    <w:rsid w:val="00C76CF3"/>
    <w:rsid w:val="00C912FD"/>
    <w:rsid w:val="00CA2938"/>
    <w:rsid w:val="00CA52AA"/>
    <w:rsid w:val="00CA7844"/>
    <w:rsid w:val="00CB58EF"/>
    <w:rsid w:val="00CC0521"/>
    <w:rsid w:val="00CC6ED1"/>
    <w:rsid w:val="00CD3469"/>
    <w:rsid w:val="00CE7D64"/>
    <w:rsid w:val="00CF0BB2"/>
    <w:rsid w:val="00CF630A"/>
    <w:rsid w:val="00D13441"/>
    <w:rsid w:val="00D243A3"/>
    <w:rsid w:val="00D2522A"/>
    <w:rsid w:val="00D3046A"/>
    <w:rsid w:val="00D3200B"/>
    <w:rsid w:val="00D33440"/>
    <w:rsid w:val="00D52EFE"/>
    <w:rsid w:val="00D56A0D"/>
    <w:rsid w:val="00D63EF6"/>
    <w:rsid w:val="00D66518"/>
    <w:rsid w:val="00D70DFB"/>
    <w:rsid w:val="00D71EEA"/>
    <w:rsid w:val="00D735CD"/>
    <w:rsid w:val="00D766DF"/>
    <w:rsid w:val="00D95891"/>
    <w:rsid w:val="00DB4F3B"/>
    <w:rsid w:val="00DB5CB4"/>
    <w:rsid w:val="00DD053A"/>
    <w:rsid w:val="00DE149E"/>
    <w:rsid w:val="00DF564A"/>
    <w:rsid w:val="00DF5B82"/>
    <w:rsid w:val="00E05704"/>
    <w:rsid w:val="00E12F1A"/>
    <w:rsid w:val="00E15854"/>
    <w:rsid w:val="00E21CFB"/>
    <w:rsid w:val="00E22935"/>
    <w:rsid w:val="00E54292"/>
    <w:rsid w:val="00E54E84"/>
    <w:rsid w:val="00E56F45"/>
    <w:rsid w:val="00E56F74"/>
    <w:rsid w:val="00E60191"/>
    <w:rsid w:val="00E62BAF"/>
    <w:rsid w:val="00E747E8"/>
    <w:rsid w:val="00E74DC7"/>
    <w:rsid w:val="00E8156C"/>
    <w:rsid w:val="00E87699"/>
    <w:rsid w:val="00E92E27"/>
    <w:rsid w:val="00E9586B"/>
    <w:rsid w:val="00E97334"/>
    <w:rsid w:val="00EB37A0"/>
    <w:rsid w:val="00EC2942"/>
    <w:rsid w:val="00ED24B7"/>
    <w:rsid w:val="00ED4928"/>
    <w:rsid w:val="00EE09FF"/>
    <w:rsid w:val="00EE1BC5"/>
    <w:rsid w:val="00EE6190"/>
    <w:rsid w:val="00EF2E3A"/>
    <w:rsid w:val="00EF3A31"/>
    <w:rsid w:val="00EF6402"/>
    <w:rsid w:val="00F03EDC"/>
    <w:rsid w:val="00F047E2"/>
    <w:rsid w:val="00F04D57"/>
    <w:rsid w:val="00F078DC"/>
    <w:rsid w:val="00F13E86"/>
    <w:rsid w:val="00F27621"/>
    <w:rsid w:val="00F32FCB"/>
    <w:rsid w:val="00F66E17"/>
    <w:rsid w:val="00F6709F"/>
    <w:rsid w:val="00F677A9"/>
    <w:rsid w:val="00F732EA"/>
    <w:rsid w:val="00F75F8B"/>
    <w:rsid w:val="00F84CF5"/>
    <w:rsid w:val="00F8612E"/>
    <w:rsid w:val="00FA420B"/>
    <w:rsid w:val="00FE0781"/>
    <w:rsid w:val="00FF20E9"/>
    <w:rsid w:val="00FF39DE"/>
    <w:rsid w:val="00FF4F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A03F9"/>
    <w:pPr>
      <w:spacing w:line="260" w:lineRule="atLeast"/>
    </w:pPr>
    <w:rPr>
      <w:sz w:val="22"/>
    </w:rPr>
  </w:style>
  <w:style w:type="paragraph" w:styleId="Heading1">
    <w:name w:val="heading 1"/>
    <w:basedOn w:val="Normal"/>
    <w:next w:val="Normal"/>
    <w:link w:val="Heading1Char"/>
    <w:uiPriority w:val="9"/>
    <w:qFormat/>
    <w:rsid w:val="003254B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254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254B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254B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254B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254B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254B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254B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3254B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A03F9"/>
  </w:style>
  <w:style w:type="paragraph" w:customStyle="1" w:styleId="OPCParaBase">
    <w:name w:val="OPCParaBase"/>
    <w:qFormat/>
    <w:rsid w:val="005A03F9"/>
    <w:pPr>
      <w:spacing w:line="260" w:lineRule="atLeast"/>
    </w:pPr>
    <w:rPr>
      <w:rFonts w:eastAsia="Times New Roman" w:cs="Times New Roman"/>
      <w:sz w:val="22"/>
      <w:lang w:eastAsia="en-AU"/>
    </w:rPr>
  </w:style>
  <w:style w:type="paragraph" w:customStyle="1" w:styleId="ShortT">
    <w:name w:val="ShortT"/>
    <w:basedOn w:val="OPCParaBase"/>
    <w:next w:val="Normal"/>
    <w:qFormat/>
    <w:rsid w:val="005A03F9"/>
    <w:pPr>
      <w:spacing w:line="240" w:lineRule="auto"/>
    </w:pPr>
    <w:rPr>
      <w:b/>
      <w:sz w:val="40"/>
    </w:rPr>
  </w:style>
  <w:style w:type="paragraph" w:customStyle="1" w:styleId="ActHead1">
    <w:name w:val="ActHead 1"/>
    <w:aliases w:val="c"/>
    <w:basedOn w:val="OPCParaBase"/>
    <w:next w:val="Normal"/>
    <w:qFormat/>
    <w:rsid w:val="005A03F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A03F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A03F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A03F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A03F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A03F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A03F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A03F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A03F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A03F9"/>
  </w:style>
  <w:style w:type="paragraph" w:customStyle="1" w:styleId="Blocks">
    <w:name w:val="Blocks"/>
    <w:aliases w:val="bb"/>
    <w:basedOn w:val="OPCParaBase"/>
    <w:qFormat/>
    <w:rsid w:val="005A03F9"/>
    <w:pPr>
      <w:spacing w:line="240" w:lineRule="auto"/>
    </w:pPr>
    <w:rPr>
      <w:sz w:val="24"/>
    </w:rPr>
  </w:style>
  <w:style w:type="paragraph" w:customStyle="1" w:styleId="BoxText">
    <w:name w:val="BoxText"/>
    <w:aliases w:val="bt"/>
    <w:basedOn w:val="OPCParaBase"/>
    <w:qFormat/>
    <w:rsid w:val="005A03F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A03F9"/>
    <w:rPr>
      <w:b/>
    </w:rPr>
  </w:style>
  <w:style w:type="paragraph" w:customStyle="1" w:styleId="BoxHeadItalic">
    <w:name w:val="BoxHeadItalic"/>
    <w:aliases w:val="bhi"/>
    <w:basedOn w:val="BoxText"/>
    <w:next w:val="BoxStep"/>
    <w:qFormat/>
    <w:rsid w:val="005A03F9"/>
    <w:rPr>
      <w:i/>
    </w:rPr>
  </w:style>
  <w:style w:type="paragraph" w:customStyle="1" w:styleId="BoxList">
    <w:name w:val="BoxList"/>
    <w:aliases w:val="bl"/>
    <w:basedOn w:val="BoxText"/>
    <w:qFormat/>
    <w:rsid w:val="005A03F9"/>
    <w:pPr>
      <w:ind w:left="1559" w:hanging="425"/>
    </w:pPr>
  </w:style>
  <w:style w:type="paragraph" w:customStyle="1" w:styleId="BoxNote">
    <w:name w:val="BoxNote"/>
    <w:aliases w:val="bn"/>
    <w:basedOn w:val="BoxText"/>
    <w:qFormat/>
    <w:rsid w:val="005A03F9"/>
    <w:pPr>
      <w:tabs>
        <w:tab w:val="left" w:pos="1985"/>
      </w:tabs>
      <w:spacing w:before="122" w:line="198" w:lineRule="exact"/>
      <w:ind w:left="2948" w:hanging="1814"/>
    </w:pPr>
    <w:rPr>
      <w:sz w:val="18"/>
    </w:rPr>
  </w:style>
  <w:style w:type="paragraph" w:customStyle="1" w:styleId="BoxPara">
    <w:name w:val="BoxPara"/>
    <w:aliases w:val="bp"/>
    <w:basedOn w:val="BoxText"/>
    <w:qFormat/>
    <w:rsid w:val="005A03F9"/>
    <w:pPr>
      <w:tabs>
        <w:tab w:val="right" w:pos="2268"/>
      </w:tabs>
      <w:ind w:left="2552" w:hanging="1418"/>
    </w:pPr>
  </w:style>
  <w:style w:type="paragraph" w:customStyle="1" w:styleId="BoxStep">
    <w:name w:val="BoxStep"/>
    <w:aliases w:val="bs"/>
    <w:basedOn w:val="BoxText"/>
    <w:qFormat/>
    <w:rsid w:val="005A03F9"/>
    <w:pPr>
      <w:ind w:left="1985" w:hanging="851"/>
    </w:pPr>
  </w:style>
  <w:style w:type="character" w:customStyle="1" w:styleId="CharAmPartNo">
    <w:name w:val="CharAmPartNo"/>
    <w:basedOn w:val="OPCCharBase"/>
    <w:qFormat/>
    <w:rsid w:val="005A03F9"/>
  </w:style>
  <w:style w:type="character" w:customStyle="1" w:styleId="CharAmPartText">
    <w:name w:val="CharAmPartText"/>
    <w:basedOn w:val="OPCCharBase"/>
    <w:qFormat/>
    <w:rsid w:val="005A03F9"/>
  </w:style>
  <w:style w:type="character" w:customStyle="1" w:styleId="CharAmSchNo">
    <w:name w:val="CharAmSchNo"/>
    <w:basedOn w:val="OPCCharBase"/>
    <w:qFormat/>
    <w:rsid w:val="005A03F9"/>
  </w:style>
  <w:style w:type="character" w:customStyle="1" w:styleId="CharAmSchText">
    <w:name w:val="CharAmSchText"/>
    <w:basedOn w:val="OPCCharBase"/>
    <w:qFormat/>
    <w:rsid w:val="005A03F9"/>
  </w:style>
  <w:style w:type="character" w:customStyle="1" w:styleId="CharBoldItalic">
    <w:name w:val="CharBoldItalic"/>
    <w:basedOn w:val="OPCCharBase"/>
    <w:uiPriority w:val="1"/>
    <w:qFormat/>
    <w:rsid w:val="005A03F9"/>
    <w:rPr>
      <w:b/>
      <w:i/>
    </w:rPr>
  </w:style>
  <w:style w:type="character" w:customStyle="1" w:styleId="CharChapNo">
    <w:name w:val="CharChapNo"/>
    <w:basedOn w:val="OPCCharBase"/>
    <w:uiPriority w:val="1"/>
    <w:qFormat/>
    <w:rsid w:val="005A03F9"/>
  </w:style>
  <w:style w:type="character" w:customStyle="1" w:styleId="CharChapText">
    <w:name w:val="CharChapText"/>
    <w:basedOn w:val="OPCCharBase"/>
    <w:uiPriority w:val="1"/>
    <w:qFormat/>
    <w:rsid w:val="005A03F9"/>
  </w:style>
  <w:style w:type="character" w:customStyle="1" w:styleId="CharDivNo">
    <w:name w:val="CharDivNo"/>
    <w:basedOn w:val="OPCCharBase"/>
    <w:uiPriority w:val="1"/>
    <w:qFormat/>
    <w:rsid w:val="005A03F9"/>
  </w:style>
  <w:style w:type="character" w:customStyle="1" w:styleId="CharDivText">
    <w:name w:val="CharDivText"/>
    <w:basedOn w:val="OPCCharBase"/>
    <w:uiPriority w:val="1"/>
    <w:qFormat/>
    <w:rsid w:val="005A03F9"/>
  </w:style>
  <w:style w:type="character" w:customStyle="1" w:styleId="CharItalic">
    <w:name w:val="CharItalic"/>
    <w:basedOn w:val="OPCCharBase"/>
    <w:uiPriority w:val="1"/>
    <w:qFormat/>
    <w:rsid w:val="005A03F9"/>
    <w:rPr>
      <w:i/>
    </w:rPr>
  </w:style>
  <w:style w:type="character" w:customStyle="1" w:styleId="CharPartNo">
    <w:name w:val="CharPartNo"/>
    <w:basedOn w:val="OPCCharBase"/>
    <w:uiPriority w:val="1"/>
    <w:qFormat/>
    <w:rsid w:val="005A03F9"/>
  </w:style>
  <w:style w:type="character" w:customStyle="1" w:styleId="CharPartText">
    <w:name w:val="CharPartText"/>
    <w:basedOn w:val="OPCCharBase"/>
    <w:uiPriority w:val="1"/>
    <w:qFormat/>
    <w:rsid w:val="005A03F9"/>
  </w:style>
  <w:style w:type="character" w:customStyle="1" w:styleId="CharSectno">
    <w:name w:val="CharSectno"/>
    <w:basedOn w:val="OPCCharBase"/>
    <w:qFormat/>
    <w:rsid w:val="005A03F9"/>
  </w:style>
  <w:style w:type="character" w:customStyle="1" w:styleId="CharSubdNo">
    <w:name w:val="CharSubdNo"/>
    <w:basedOn w:val="OPCCharBase"/>
    <w:uiPriority w:val="1"/>
    <w:qFormat/>
    <w:rsid w:val="005A03F9"/>
  </w:style>
  <w:style w:type="character" w:customStyle="1" w:styleId="CharSubdText">
    <w:name w:val="CharSubdText"/>
    <w:basedOn w:val="OPCCharBase"/>
    <w:uiPriority w:val="1"/>
    <w:qFormat/>
    <w:rsid w:val="005A03F9"/>
  </w:style>
  <w:style w:type="paragraph" w:customStyle="1" w:styleId="CTA--">
    <w:name w:val="CTA --"/>
    <w:basedOn w:val="OPCParaBase"/>
    <w:next w:val="Normal"/>
    <w:rsid w:val="005A03F9"/>
    <w:pPr>
      <w:spacing w:before="60" w:line="240" w:lineRule="atLeast"/>
      <w:ind w:left="142" w:hanging="142"/>
    </w:pPr>
    <w:rPr>
      <w:sz w:val="20"/>
    </w:rPr>
  </w:style>
  <w:style w:type="paragraph" w:customStyle="1" w:styleId="CTA-">
    <w:name w:val="CTA -"/>
    <w:basedOn w:val="OPCParaBase"/>
    <w:rsid w:val="005A03F9"/>
    <w:pPr>
      <w:spacing w:before="60" w:line="240" w:lineRule="atLeast"/>
      <w:ind w:left="85" w:hanging="85"/>
    </w:pPr>
    <w:rPr>
      <w:sz w:val="20"/>
    </w:rPr>
  </w:style>
  <w:style w:type="paragraph" w:customStyle="1" w:styleId="CTA---">
    <w:name w:val="CTA ---"/>
    <w:basedOn w:val="OPCParaBase"/>
    <w:next w:val="Normal"/>
    <w:rsid w:val="005A03F9"/>
    <w:pPr>
      <w:spacing w:before="60" w:line="240" w:lineRule="atLeast"/>
      <w:ind w:left="198" w:hanging="198"/>
    </w:pPr>
    <w:rPr>
      <w:sz w:val="20"/>
    </w:rPr>
  </w:style>
  <w:style w:type="paragraph" w:customStyle="1" w:styleId="CTA----">
    <w:name w:val="CTA ----"/>
    <w:basedOn w:val="OPCParaBase"/>
    <w:next w:val="Normal"/>
    <w:rsid w:val="005A03F9"/>
    <w:pPr>
      <w:spacing w:before="60" w:line="240" w:lineRule="atLeast"/>
      <w:ind w:left="255" w:hanging="255"/>
    </w:pPr>
    <w:rPr>
      <w:sz w:val="20"/>
    </w:rPr>
  </w:style>
  <w:style w:type="paragraph" w:customStyle="1" w:styleId="CTA1a">
    <w:name w:val="CTA 1(a)"/>
    <w:basedOn w:val="OPCParaBase"/>
    <w:rsid w:val="005A03F9"/>
    <w:pPr>
      <w:tabs>
        <w:tab w:val="right" w:pos="414"/>
      </w:tabs>
      <w:spacing w:before="40" w:line="240" w:lineRule="atLeast"/>
      <w:ind w:left="675" w:hanging="675"/>
    </w:pPr>
    <w:rPr>
      <w:sz w:val="20"/>
    </w:rPr>
  </w:style>
  <w:style w:type="paragraph" w:customStyle="1" w:styleId="CTA1ai">
    <w:name w:val="CTA 1(a)(i)"/>
    <w:basedOn w:val="OPCParaBase"/>
    <w:rsid w:val="005A03F9"/>
    <w:pPr>
      <w:tabs>
        <w:tab w:val="right" w:pos="1004"/>
      </w:tabs>
      <w:spacing w:before="40" w:line="240" w:lineRule="atLeast"/>
      <w:ind w:left="1253" w:hanging="1253"/>
    </w:pPr>
    <w:rPr>
      <w:sz w:val="20"/>
    </w:rPr>
  </w:style>
  <w:style w:type="paragraph" w:customStyle="1" w:styleId="CTA2a">
    <w:name w:val="CTA 2(a)"/>
    <w:basedOn w:val="OPCParaBase"/>
    <w:rsid w:val="005A03F9"/>
    <w:pPr>
      <w:tabs>
        <w:tab w:val="right" w:pos="482"/>
      </w:tabs>
      <w:spacing w:before="40" w:line="240" w:lineRule="atLeast"/>
      <w:ind w:left="748" w:hanging="748"/>
    </w:pPr>
    <w:rPr>
      <w:sz w:val="20"/>
    </w:rPr>
  </w:style>
  <w:style w:type="paragraph" w:customStyle="1" w:styleId="CTA2ai">
    <w:name w:val="CTA 2(a)(i)"/>
    <w:basedOn w:val="OPCParaBase"/>
    <w:rsid w:val="005A03F9"/>
    <w:pPr>
      <w:tabs>
        <w:tab w:val="right" w:pos="1089"/>
      </w:tabs>
      <w:spacing w:before="40" w:line="240" w:lineRule="atLeast"/>
      <w:ind w:left="1327" w:hanging="1327"/>
    </w:pPr>
    <w:rPr>
      <w:sz w:val="20"/>
    </w:rPr>
  </w:style>
  <w:style w:type="paragraph" w:customStyle="1" w:styleId="CTA3a">
    <w:name w:val="CTA 3(a)"/>
    <w:basedOn w:val="OPCParaBase"/>
    <w:rsid w:val="005A03F9"/>
    <w:pPr>
      <w:tabs>
        <w:tab w:val="right" w:pos="556"/>
      </w:tabs>
      <w:spacing w:before="40" w:line="240" w:lineRule="atLeast"/>
      <w:ind w:left="805" w:hanging="805"/>
    </w:pPr>
    <w:rPr>
      <w:sz w:val="20"/>
    </w:rPr>
  </w:style>
  <w:style w:type="paragraph" w:customStyle="1" w:styleId="CTA3ai">
    <w:name w:val="CTA 3(a)(i)"/>
    <w:basedOn w:val="OPCParaBase"/>
    <w:rsid w:val="005A03F9"/>
    <w:pPr>
      <w:tabs>
        <w:tab w:val="right" w:pos="1140"/>
      </w:tabs>
      <w:spacing w:before="40" w:line="240" w:lineRule="atLeast"/>
      <w:ind w:left="1361" w:hanging="1361"/>
    </w:pPr>
    <w:rPr>
      <w:sz w:val="20"/>
    </w:rPr>
  </w:style>
  <w:style w:type="paragraph" w:customStyle="1" w:styleId="CTA4a">
    <w:name w:val="CTA 4(a)"/>
    <w:basedOn w:val="OPCParaBase"/>
    <w:rsid w:val="005A03F9"/>
    <w:pPr>
      <w:tabs>
        <w:tab w:val="right" w:pos="624"/>
      </w:tabs>
      <w:spacing w:before="40" w:line="240" w:lineRule="atLeast"/>
      <w:ind w:left="873" w:hanging="873"/>
    </w:pPr>
    <w:rPr>
      <w:sz w:val="20"/>
    </w:rPr>
  </w:style>
  <w:style w:type="paragraph" w:customStyle="1" w:styleId="CTA4ai">
    <w:name w:val="CTA 4(a)(i)"/>
    <w:basedOn w:val="OPCParaBase"/>
    <w:rsid w:val="005A03F9"/>
    <w:pPr>
      <w:tabs>
        <w:tab w:val="right" w:pos="1213"/>
      </w:tabs>
      <w:spacing w:before="40" w:line="240" w:lineRule="atLeast"/>
      <w:ind w:left="1452" w:hanging="1452"/>
    </w:pPr>
    <w:rPr>
      <w:sz w:val="20"/>
    </w:rPr>
  </w:style>
  <w:style w:type="paragraph" w:customStyle="1" w:styleId="CTACAPS">
    <w:name w:val="CTA CAPS"/>
    <w:basedOn w:val="OPCParaBase"/>
    <w:rsid w:val="005A03F9"/>
    <w:pPr>
      <w:spacing w:before="60" w:line="240" w:lineRule="atLeast"/>
    </w:pPr>
    <w:rPr>
      <w:sz w:val="20"/>
    </w:rPr>
  </w:style>
  <w:style w:type="paragraph" w:customStyle="1" w:styleId="CTAright">
    <w:name w:val="CTA right"/>
    <w:basedOn w:val="OPCParaBase"/>
    <w:rsid w:val="005A03F9"/>
    <w:pPr>
      <w:spacing w:before="60" w:line="240" w:lineRule="auto"/>
      <w:jc w:val="right"/>
    </w:pPr>
    <w:rPr>
      <w:sz w:val="20"/>
    </w:rPr>
  </w:style>
  <w:style w:type="paragraph" w:customStyle="1" w:styleId="subsection">
    <w:name w:val="subsection"/>
    <w:aliases w:val="ss"/>
    <w:basedOn w:val="OPCParaBase"/>
    <w:link w:val="subsectionChar"/>
    <w:rsid w:val="005A03F9"/>
    <w:pPr>
      <w:tabs>
        <w:tab w:val="right" w:pos="1021"/>
      </w:tabs>
      <w:spacing w:before="180" w:line="240" w:lineRule="auto"/>
      <w:ind w:left="1134" w:hanging="1134"/>
    </w:pPr>
  </w:style>
  <w:style w:type="paragraph" w:customStyle="1" w:styleId="Definition">
    <w:name w:val="Definition"/>
    <w:aliases w:val="dd"/>
    <w:basedOn w:val="OPCParaBase"/>
    <w:rsid w:val="005A03F9"/>
    <w:pPr>
      <w:spacing w:before="180" w:line="240" w:lineRule="auto"/>
      <w:ind w:left="1134"/>
    </w:pPr>
  </w:style>
  <w:style w:type="paragraph" w:customStyle="1" w:styleId="ETAsubitem">
    <w:name w:val="ETA(subitem)"/>
    <w:basedOn w:val="OPCParaBase"/>
    <w:rsid w:val="005A03F9"/>
    <w:pPr>
      <w:tabs>
        <w:tab w:val="right" w:pos="340"/>
      </w:tabs>
      <w:spacing w:before="60" w:line="240" w:lineRule="auto"/>
      <w:ind w:left="454" w:hanging="454"/>
    </w:pPr>
    <w:rPr>
      <w:sz w:val="20"/>
    </w:rPr>
  </w:style>
  <w:style w:type="paragraph" w:customStyle="1" w:styleId="ETApara">
    <w:name w:val="ETA(para)"/>
    <w:basedOn w:val="OPCParaBase"/>
    <w:rsid w:val="005A03F9"/>
    <w:pPr>
      <w:tabs>
        <w:tab w:val="right" w:pos="754"/>
      </w:tabs>
      <w:spacing w:before="60" w:line="240" w:lineRule="auto"/>
      <w:ind w:left="828" w:hanging="828"/>
    </w:pPr>
    <w:rPr>
      <w:sz w:val="20"/>
    </w:rPr>
  </w:style>
  <w:style w:type="paragraph" w:customStyle="1" w:styleId="ETAsubpara">
    <w:name w:val="ETA(subpara)"/>
    <w:basedOn w:val="OPCParaBase"/>
    <w:rsid w:val="005A03F9"/>
    <w:pPr>
      <w:tabs>
        <w:tab w:val="right" w:pos="1083"/>
      </w:tabs>
      <w:spacing w:before="60" w:line="240" w:lineRule="auto"/>
      <w:ind w:left="1191" w:hanging="1191"/>
    </w:pPr>
    <w:rPr>
      <w:sz w:val="20"/>
    </w:rPr>
  </w:style>
  <w:style w:type="paragraph" w:customStyle="1" w:styleId="ETAsub-subpara">
    <w:name w:val="ETA(sub-subpara)"/>
    <w:basedOn w:val="OPCParaBase"/>
    <w:rsid w:val="005A03F9"/>
    <w:pPr>
      <w:tabs>
        <w:tab w:val="right" w:pos="1412"/>
      </w:tabs>
      <w:spacing w:before="60" w:line="240" w:lineRule="auto"/>
      <w:ind w:left="1525" w:hanging="1525"/>
    </w:pPr>
    <w:rPr>
      <w:sz w:val="20"/>
    </w:rPr>
  </w:style>
  <w:style w:type="paragraph" w:customStyle="1" w:styleId="Formula">
    <w:name w:val="Formula"/>
    <w:basedOn w:val="OPCParaBase"/>
    <w:rsid w:val="005A03F9"/>
    <w:pPr>
      <w:spacing w:line="240" w:lineRule="auto"/>
      <w:ind w:left="1134"/>
    </w:pPr>
    <w:rPr>
      <w:sz w:val="20"/>
    </w:rPr>
  </w:style>
  <w:style w:type="paragraph" w:styleId="Header">
    <w:name w:val="header"/>
    <w:basedOn w:val="OPCParaBase"/>
    <w:link w:val="HeaderChar"/>
    <w:unhideWhenUsed/>
    <w:rsid w:val="005A03F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A03F9"/>
    <w:rPr>
      <w:rFonts w:eastAsia="Times New Roman" w:cs="Times New Roman"/>
      <w:sz w:val="16"/>
      <w:lang w:eastAsia="en-AU"/>
    </w:rPr>
  </w:style>
  <w:style w:type="paragraph" w:customStyle="1" w:styleId="House">
    <w:name w:val="House"/>
    <w:basedOn w:val="OPCParaBase"/>
    <w:rsid w:val="005A03F9"/>
    <w:pPr>
      <w:spacing w:line="240" w:lineRule="auto"/>
    </w:pPr>
    <w:rPr>
      <w:sz w:val="28"/>
    </w:rPr>
  </w:style>
  <w:style w:type="paragraph" w:customStyle="1" w:styleId="Item">
    <w:name w:val="Item"/>
    <w:aliases w:val="i"/>
    <w:basedOn w:val="OPCParaBase"/>
    <w:next w:val="ItemHead"/>
    <w:rsid w:val="005A03F9"/>
    <w:pPr>
      <w:keepLines/>
      <w:spacing w:before="80" w:line="240" w:lineRule="auto"/>
      <w:ind w:left="709"/>
    </w:pPr>
  </w:style>
  <w:style w:type="paragraph" w:customStyle="1" w:styleId="ItemHead">
    <w:name w:val="ItemHead"/>
    <w:aliases w:val="ih"/>
    <w:basedOn w:val="OPCParaBase"/>
    <w:next w:val="Item"/>
    <w:rsid w:val="005A03F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A03F9"/>
    <w:pPr>
      <w:spacing w:line="240" w:lineRule="auto"/>
    </w:pPr>
    <w:rPr>
      <w:b/>
      <w:sz w:val="32"/>
    </w:rPr>
  </w:style>
  <w:style w:type="paragraph" w:customStyle="1" w:styleId="notedraft">
    <w:name w:val="note(draft)"/>
    <w:aliases w:val="nd"/>
    <w:basedOn w:val="OPCParaBase"/>
    <w:rsid w:val="005A03F9"/>
    <w:pPr>
      <w:spacing w:before="240" w:line="240" w:lineRule="auto"/>
      <w:ind w:left="284" w:hanging="284"/>
    </w:pPr>
    <w:rPr>
      <w:i/>
      <w:sz w:val="24"/>
    </w:rPr>
  </w:style>
  <w:style w:type="paragraph" w:customStyle="1" w:styleId="notemargin">
    <w:name w:val="note(margin)"/>
    <w:aliases w:val="nm"/>
    <w:basedOn w:val="OPCParaBase"/>
    <w:rsid w:val="005A03F9"/>
    <w:pPr>
      <w:tabs>
        <w:tab w:val="left" w:pos="709"/>
      </w:tabs>
      <w:spacing w:before="122" w:line="198" w:lineRule="exact"/>
      <w:ind w:left="709" w:hanging="709"/>
    </w:pPr>
    <w:rPr>
      <w:sz w:val="18"/>
    </w:rPr>
  </w:style>
  <w:style w:type="paragraph" w:customStyle="1" w:styleId="noteToPara">
    <w:name w:val="noteToPara"/>
    <w:aliases w:val="ntp"/>
    <w:basedOn w:val="OPCParaBase"/>
    <w:rsid w:val="005A03F9"/>
    <w:pPr>
      <w:spacing w:before="122" w:line="198" w:lineRule="exact"/>
      <w:ind w:left="2353" w:hanging="709"/>
    </w:pPr>
    <w:rPr>
      <w:sz w:val="18"/>
    </w:rPr>
  </w:style>
  <w:style w:type="paragraph" w:customStyle="1" w:styleId="noteParlAmend">
    <w:name w:val="note(ParlAmend)"/>
    <w:aliases w:val="npp"/>
    <w:basedOn w:val="OPCParaBase"/>
    <w:next w:val="ParlAmend"/>
    <w:rsid w:val="005A03F9"/>
    <w:pPr>
      <w:spacing w:line="240" w:lineRule="auto"/>
      <w:jc w:val="right"/>
    </w:pPr>
    <w:rPr>
      <w:rFonts w:ascii="Arial" w:hAnsi="Arial"/>
      <w:b/>
      <w:i/>
    </w:rPr>
  </w:style>
  <w:style w:type="paragraph" w:customStyle="1" w:styleId="Page1">
    <w:name w:val="Page1"/>
    <w:basedOn w:val="OPCParaBase"/>
    <w:rsid w:val="005A03F9"/>
    <w:pPr>
      <w:spacing w:before="5600" w:line="240" w:lineRule="auto"/>
    </w:pPr>
    <w:rPr>
      <w:b/>
      <w:sz w:val="32"/>
    </w:rPr>
  </w:style>
  <w:style w:type="paragraph" w:customStyle="1" w:styleId="PageBreak">
    <w:name w:val="PageBreak"/>
    <w:aliases w:val="pb"/>
    <w:basedOn w:val="OPCParaBase"/>
    <w:rsid w:val="005A03F9"/>
    <w:pPr>
      <w:spacing w:line="240" w:lineRule="auto"/>
    </w:pPr>
    <w:rPr>
      <w:sz w:val="20"/>
    </w:rPr>
  </w:style>
  <w:style w:type="paragraph" w:customStyle="1" w:styleId="paragraphsub">
    <w:name w:val="paragraph(sub)"/>
    <w:aliases w:val="aa"/>
    <w:basedOn w:val="OPCParaBase"/>
    <w:rsid w:val="005A03F9"/>
    <w:pPr>
      <w:tabs>
        <w:tab w:val="right" w:pos="1985"/>
      </w:tabs>
      <w:spacing w:before="40" w:line="240" w:lineRule="auto"/>
      <w:ind w:left="2098" w:hanging="2098"/>
    </w:pPr>
  </w:style>
  <w:style w:type="paragraph" w:customStyle="1" w:styleId="paragraphsub-sub">
    <w:name w:val="paragraph(sub-sub)"/>
    <w:aliases w:val="aaa"/>
    <w:basedOn w:val="OPCParaBase"/>
    <w:rsid w:val="005A03F9"/>
    <w:pPr>
      <w:tabs>
        <w:tab w:val="right" w:pos="2722"/>
      </w:tabs>
      <w:spacing w:before="40" w:line="240" w:lineRule="auto"/>
      <w:ind w:left="2835" w:hanging="2835"/>
    </w:pPr>
  </w:style>
  <w:style w:type="paragraph" w:customStyle="1" w:styleId="paragraph">
    <w:name w:val="paragraph"/>
    <w:aliases w:val="a"/>
    <w:basedOn w:val="OPCParaBase"/>
    <w:rsid w:val="005A03F9"/>
    <w:pPr>
      <w:tabs>
        <w:tab w:val="right" w:pos="1531"/>
      </w:tabs>
      <w:spacing w:before="40" w:line="240" w:lineRule="auto"/>
      <w:ind w:left="1644" w:hanging="1644"/>
    </w:pPr>
  </w:style>
  <w:style w:type="paragraph" w:customStyle="1" w:styleId="ParlAmend">
    <w:name w:val="ParlAmend"/>
    <w:aliases w:val="pp"/>
    <w:basedOn w:val="OPCParaBase"/>
    <w:rsid w:val="005A03F9"/>
    <w:pPr>
      <w:spacing w:before="240" w:line="240" w:lineRule="atLeast"/>
      <w:ind w:hanging="567"/>
    </w:pPr>
    <w:rPr>
      <w:sz w:val="24"/>
    </w:rPr>
  </w:style>
  <w:style w:type="paragraph" w:customStyle="1" w:styleId="Penalty">
    <w:name w:val="Penalty"/>
    <w:basedOn w:val="OPCParaBase"/>
    <w:rsid w:val="005A03F9"/>
    <w:pPr>
      <w:tabs>
        <w:tab w:val="left" w:pos="2977"/>
      </w:tabs>
      <w:spacing w:before="180" w:line="240" w:lineRule="auto"/>
      <w:ind w:left="1985" w:hanging="851"/>
    </w:pPr>
  </w:style>
  <w:style w:type="paragraph" w:customStyle="1" w:styleId="Portfolio">
    <w:name w:val="Portfolio"/>
    <w:basedOn w:val="OPCParaBase"/>
    <w:rsid w:val="005A03F9"/>
    <w:pPr>
      <w:spacing w:line="240" w:lineRule="auto"/>
    </w:pPr>
    <w:rPr>
      <w:i/>
      <w:sz w:val="20"/>
    </w:rPr>
  </w:style>
  <w:style w:type="paragraph" w:customStyle="1" w:styleId="Preamble">
    <w:name w:val="Preamble"/>
    <w:basedOn w:val="OPCParaBase"/>
    <w:next w:val="Normal"/>
    <w:rsid w:val="005A03F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A03F9"/>
    <w:pPr>
      <w:spacing w:line="240" w:lineRule="auto"/>
    </w:pPr>
    <w:rPr>
      <w:i/>
      <w:sz w:val="20"/>
    </w:rPr>
  </w:style>
  <w:style w:type="paragraph" w:customStyle="1" w:styleId="Session">
    <w:name w:val="Session"/>
    <w:basedOn w:val="OPCParaBase"/>
    <w:rsid w:val="005A03F9"/>
    <w:pPr>
      <w:spacing w:line="240" w:lineRule="auto"/>
    </w:pPr>
    <w:rPr>
      <w:sz w:val="28"/>
    </w:rPr>
  </w:style>
  <w:style w:type="paragraph" w:customStyle="1" w:styleId="Sponsor">
    <w:name w:val="Sponsor"/>
    <w:basedOn w:val="OPCParaBase"/>
    <w:rsid w:val="005A03F9"/>
    <w:pPr>
      <w:spacing w:line="240" w:lineRule="auto"/>
    </w:pPr>
    <w:rPr>
      <w:i/>
    </w:rPr>
  </w:style>
  <w:style w:type="paragraph" w:customStyle="1" w:styleId="Subitem">
    <w:name w:val="Subitem"/>
    <w:aliases w:val="iss"/>
    <w:basedOn w:val="OPCParaBase"/>
    <w:rsid w:val="005A03F9"/>
    <w:pPr>
      <w:spacing w:before="180" w:line="240" w:lineRule="auto"/>
      <w:ind w:left="709" w:hanging="709"/>
    </w:pPr>
  </w:style>
  <w:style w:type="paragraph" w:customStyle="1" w:styleId="SubitemHead">
    <w:name w:val="SubitemHead"/>
    <w:aliases w:val="issh"/>
    <w:basedOn w:val="OPCParaBase"/>
    <w:rsid w:val="005A03F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A03F9"/>
    <w:pPr>
      <w:spacing w:before="40" w:line="240" w:lineRule="auto"/>
      <w:ind w:left="1134"/>
    </w:pPr>
  </w:style>
  <w:style w:type="paragraph" w:customStyle="1" w:styleId="SubsectionHead">
    <w:name w:val="SubsectionHead"/>
    <w:aliases w:val="ssh"/>
    <w:basedOn w:val="OPCParaBase"/>
    <w:next w:val="subsection"/>
    <w:rsid w:val="005A03F9"/>
    <w:pPr>
      <w:keepNext/>
      <w:keepLines/>
      <w:spacing w:before="240" w:line="240" w:lineRule="auto"/>
      <w:ind w:left="1134"/>
    </w:pPr>
    <w:rPr>
      <w:i/>
    </w:rPr>
  </w:style>
  <w:style w:type="paragraph" w:customStyle="1" w:styleId="Tablea">
    <w:name w:val="Table(a)"/>
    <w:aliases w:val="ta"/>
    <w:basedOn w:val="OPCParaBase"/>
    <w:rsid w:val="005A03F9"/>
    <w:pPr>
      <w:spacing w:before="60" w:line="240" w:lineRule="auto"/>
      <w:ind w:left="284" w:hanging="284"/>
    </w:pPr>
    <w:rPr>
      <w:sz w:val="20"/>
    </w:rPr>
  </w:style>
  <w:style w:type="paragraph" w:customStyle="1" w:styleId="TableAA">
    <w:name w:val="Table(AA)"/>
    <w:aliases w:val="taaa"/>
    <w:basedOn w:val="OPCParaBase"/>
    <w:rsid w:val="005A03F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A03F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A03F9"/>
    <w:pPr>
      <w:spacing w:before="60" w:line="240" w:lineRule="atLeast"/>
    </w:pPr>
    <w:rPr>
      <w:sz w:val="20"/>
    </w:rPr>
  </w:style>
  <w:style w:type="paragraph" w:customStyle="1" w:styleId="TLPBoxTextnote">
    <w:name w:val="TLPBoxText(note"/>
    <w:aliases w:val="right)"/>
    <w:basedOn w:val="OPCParaBase"/>
    <w:rsid w:val="005A03F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A03F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A03F9"/>
    <w:pPr>
      <w:spacing w:before="122" w:line="198" w:lineRule="exact"/>
      <w:ind w:left="1985" w:hanging="851"/>
      <w:jc w:val="right"/>
    </w:pPr>
    <w:rPr>
      <w:sz w:val="18"/>
    </w:rPr>
  </w:style>
  <w:style w:type="paragraph" w:customStyle="1" w:styleId="TLPTableBullet">
    <w:name w:val="TLPTableBullet"/>
    <w:aliases w:val="ttb"/>
    <w:basedOn w:val="OPCParaBase"/>
    <w:rsid w:val="005A03F9"/>
    <w:pPr>
      <w:spacing w:line="240" w:lineRule="exact"/>
      <w:ind w:left="284" w:hanging="284"/>
    </w:pPr>
    <w:rPr>
      <w:sz w:val="20"/>
    </w:rPr>
  </w:style>
  <w:style w:type="paragraph" w:styleId="TOC1">
    <w:name w:val="toc 1"/>
    <w:basedOn w:val="OPCParaBase"/>
    <w:next w:val="Normal"/>
    <w:uiPriority w:val="39"/>
    <w:semiHidden/>
    <w:unhideWhenUsed/>
    <w:rsid w:val="005A03F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5A03F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5A03F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5A03F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5A03F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5A03F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5A03F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A03F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5A03F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A03F9"/>
    <w:pPr>
      <w:keepLines/>
      <w:spacing w:before="240" w:after="120" w:line="240" w:lineRule="auto"/>
      <w:ind w:left="794"/>
    </w:pPr>
    <w:rPr>
      <w:b/>
      <w:kern w:val="28"/>
      <w:sz w:val="20"/>
    </w:rPr>
  </w:style>
  <w:style w:type="paragraph" w:customStyle="1" w:styleId="TofSectsHeading">
    <w:name w:val="TofSects(Heading)"/>
    <w:basedOn w:val="OPCParaBase"/>
    <w:rsid w:val="005A03F9"/>
    <w:pPr>
      <w:spacing w:before="240" w:after="120" w:line="240" w:lineRule="auto"/>
    </w:pPr>
    <w:rPr>
      <w:b/>
      <w:sz w:val="24"/>
    </w:rPr>
  </w:style>
  <w:style w:type="paragraph" w:customStyle="1" w:styleId="TofSectsSection">
    <w:name w:val="TofSects(Section)"/>
    <w:basedOn w:val="OPCParaBase"/>
    <w:rsid w:val="005A03F9"/>
    <w:pPr>
      <w:keepLines/>
      <w:spacing w:before="40" w:line="240" w:lineRule="auto"/>
      <w:ind w:left="1588" w:hanging="794"/>
    </w:pPr>
    <w:rPr>
      <w:kern w:val="28"/>
      <w:sz w:val="18"/>
    </w:rPr>
  </w:style>
  <w:style w:type="paragraph" w:customStyle="1" w:styleId="TofSectsSubdiv">
    <w:name w:val="TofSects(Subdiv)"/>
    <w:basedOn w:val="OPCParaBase"/>
    <w:rsid w:val="005A03F9"/>
    <w:pPr>
      <w:keepLines/>
      <w:spacing w:before="80" w:line="240" w:lineRule="auto"/>
      <w:ind w:left="1588" w:hanging="794"/>
    </w:pPr>
    <w:rPr>
      <w:kern w:val="28"/>
    </w:rPr>
  </w:style>
  <w:style w:type="paragraph" w:customStyle="1" w:styleId="WRStyle">
    <w:name w:val="WR Style"/>
    <w:aliases w:val="WR"/>
    <w:basedOn w:val="OPCParaBase"/>
    <w:rsid w:val="005A03F9"/>
    <w:pPr>
      <w:spacing w:before="240" w:line="240" w:lineRule="auto"/>
      <w:ind w:left="284" w:hanging="284"/>
    </w:pPr>
    <w:rPr>
      <w:b/>
      <w:i/>
      <w:kern w:val="28"/>
      <w:sz w:val="24"/>
    </w:rPr>
  </w:style>
  <w:style w:type="paragraph" w:customStyle="1" w:styleId="notepara">
    <w:name w:val="note(para)"/>
    <w:aliases w:val="na"/>
    <w:basedOn w:val="OPCParaBase"/>
    <w:rsid w:val="005A03F9"/>
    <w:pPr>
      <w:spacing w:before="40" w:line="198" w:lineRule="exact"/>
      <w:ind w:left="2354" w:hanging="369"/>
    </w:pPr>
    <w:rPr>
      <w:sz w:val="18"/>
    </w:rPr>
  </w:style>
  <w:style w:type="paragraph" w:styleId="Footer">
    <w:name w:val="footer"/>
    <w:link w:val="FooterChar"/>
    <w:rsid w:val="005A03F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A03F9"/>
    <w:rPr>
      <w:rFonts w:eastAsia="Times New Roman" w:cs="Times New Roman"/>
      <w:sz w:val="22"/>
      <w:szCs w:val="24"/>
      <w:lang w:eastAsia="en-AU"/>
    </w:rPr>
  </w:style>
  <w:style w:type="character" w:styleId="LineNumber">
    <w:name w:val="line number"/>
    <w:basedOn w:val="OPCCharBase"/>
    <w:uiPriority w:val="99"/>
    <w:semiHidden/>
    <w:unhideWhenUsed/>
    <w:rsid w:val="005A03F9"/>
    <w:rPr>
      <w:sz w:val="16"/>
    </w:rPr>
  </w:style>
  <w:style w:type="table" w:customStyle="1" w:styleId="CFlag">
    <w:name w:val="CFlag"/>
    <w:basedOn w:val="TableNormal"/>
    <w:uiPriority w:val="99"/>
    <w:rsid w:val="005A03F9"/>
    <w:rPr>
      <w:rFonts w:eastAsia="Times New Roman" w:cs="Times New Roman"/>
      <w:lang w:eastAsia="en-AU"/>
    </w:rPr>
    <w:tblPr/>
  </w:style>
  <w:style w:type="paragraph" w:styleId="BalloonText">
    <w:name w:val="Balloon Text"/>
    <w:basedOn w:val="Normal"/>
    <w:link w:val="BalloonTextChar"/>
    <w:uiPriority w:val="99"/>
    <w:semiHidden/>
    <w:unhideWhenUsed/>
    <w:rsid w:val="005A03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3F9"/>
    <w:rPr>
      <w:rFonts w:ascii="Tahoma" w:hAnsi="Tahoma" w:cs="Tahoma"/>
      <w:sz w:val="16"/>
      <w:szCs w:val="16"/>
    </w:rPr>
  </w:style>
  <w:style w:type="table" w:styleId="TableGrid">
    <w:name w:val="Table Grid"/>
    <w:basedOn w:val="TableNormal"/>
    <w:uiPriority w:val="59"/>
    <w:rsid w:val="005A0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5A03F9"/>
    <w:rPr>
      <w:b/>
      <w:sz w:val="28"/>
      <w:szCs w:val="32"/>
    </w:rPr>
  </w:style>
  <w:style w:type="paragraph" w:customStyle="1" w:styleId="LegislationMadeUnder">
    <w:name w:val="LegislationMadeUnder"/>
    <w:basedOn w:val="OPCParaBase"/>
    <w:next w:val="Normal"/>
    <w:rsid w:val="005A03F9"/>
    <w:rPr>
      <w:i/>
      <w:sz w:val="32"/>
      <w:szCs w:val="32"/>
    </w:rPr>
  </w:style>
  <w:style w:type="paragraph" w:customStyle="1" w:styleId="SignCoverPageEnd">
    <w:name w:val="SignCoverPageEnd"/>
    <w:basedOn w:val="OPCParaBase"/>
    <w:next w:val="Normal"/>
    <w:rsid w:val="005A03F9"/>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5A03F9"/>
    <w:pPr>
      <w:pBdr>
        <w:top w:val="single" w:sz="4" w:space="1" w:color="auto"/>
      </w:pBdr>
      <w:spacing w:before="360"/>
      <w:ind w:right="397"/>
      <w:jc w:val="both"/>
    </w:pPr>
  </w:style>
  <w:style w:type="paragraph" w:customStyle="1" w:styleId="NotesHeading1">
    <w:name w:val="NotesHeading 1"/>
    <w:basedOn w:val="OPCParaBase"/>
    <w:next w:val="Normal"/>
    <w:rsid w:val="005A03F9"/>
    <w:rPr>
      <w:b/>
      <w:sz w:val="28"/>
      <w:szCs w:val="28"/>
    </w:rPr>
  </w:style>
  <w:style w:type="paragraph" w:customStyle="1" w:styleId="NotesHeading2">
    <w:name w:val="NotesHeading 2"/>
    <w:basedOn w:val="OPCParaBase"/>
    <w:next w:val="Normal"/>
    <w:rsid w:val="005A03F9"/>
    <w:rPr>
      <w:b/>
      <w:sz w:val="28"/>
      <w:szCs w:val="28"/>
    </w:rPr>
  </w:style>
  <w:style w:type="paragraph" w:customStyle="1" w:styleId="ENotesText">
    <w:name w:val="ENotesText"/>
    <w:aliases w:val="Ent"/>
    <w:basedOn w:val="OPCParaBase"/>
    <w:next w:val="Normal"/>
    <w:rsid w:val="005A03F9"/>
    <w:pPr>
      <w:spacing w:before="120"/>
    </w:pPr>
  </w:style>
  <w:style w:type="paragraph" w:customStyle="1" w:styleId="CompiledActNo">
    <w:name w:val="CompiledActNo"/>
    <w:basedOn w:val="OPCParaBase"/>
    <w:next w:val="Normal"/>
    <w:rsid w:val="005A03F9"/>
    <w:rPr>
      <w:b/>
      <w:sz w:val="24"/>
      <w:szCs w:val="24"/>
    </w:rPr>
  </w:style>
  <w:style w:type="paragraph" w:customStyle="1" w:styleId="CompiledMadeUnder">
    <w:name w:val="CompiledMadeUnder"/>
    <w:basedOn w:val="OPCParaBase"/>
    <w:next w:val="Normal"/>
    <w:rsid w:val="005A03F9"/>
    <w:rPr>
      <w:i/>
      <w:sz w:val="24"/>
      <w:szCs w:val="24"/>
    </w:rPr>
  </w:style>
  <w:style w:type="paragraph" w:customStyle="1" w:styleId="Paragraphsub-sub-sub">
    <w:name w:val="Paragraph(sub-sub-sub)"/>
    <w:aliases w:val="aaaa"/>
    <w:basedOn w:val="OPCParaBase"/>
    <w:rsid w:val="005A03F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A03F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A03F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A03F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A03F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A03F9"/>
    <w:pPr>
      <w:spacing w:before="60" w:line="240" w:lineRule="auto"/>
    </w:pPr>
    <w:rPr>
      <w:rFonts w:cs="Arial"/>
      <w:sz w:val="20"/>
      <w:szCs w:val="22"/>
    </w:rPr>
  </w:style>
  <w:style w:type="paragraph" w:customStyle="1" w:styleId="NoteToSubpara">
    <w:name w:val="NoteToSubpara"/>
    <w:aliases w:val="nts"/>
    <w:basedOn w:val="OPCParaBase"/>
    <w:rsid w:val="005A03F9"/>
    <w:pPr>
      <w:spacing w:before="40" w:line="198" w:lineRule="exact"/>
      <w:ind w:left="2835" w:hanging="709"/>
    </w:pPr>
    <w:rPr>
      <w:sz w:val="18"/>
    </w:rPr>
  </w:style>
  <w:style w:type="paragraph" w:customStyle="1" w:styleId="ENoteTableHeading">
    <w:name w:val="ENoteTableHeading"/>
    <w:aliases w:val="enth"/>
    <w:basedOn w:val="OPCParaBase"/>
    <w:rsid w:val="005A03F9"/>
    <w:pPr>
      <w:keepNext/>
      <w:spacing w:before="60" w:line="240" w:lineRule="atLeast"/>
    </w:pPr>
    <w:rPr>
      <w:rFonts w:ascii="Arial" w:hAnsi="Arial"/>
      <w:b/>
      <w:sz w:val="16"/>
    </w:rPr>
  </w:style>
  <w:style w:type="paragraph" w:customStyle="1" w:styleId="ENoteTTi">
    <w:name w:val="ENoteTTi"/>
    <w:aliases w:val="entti"/>
    <w:basedOn w:val="OPCParaBase"/>
    <w:rsid w:val="005A03F9"/>
    <w:pPr>
      <w:keepNext/>
      <w:spacing w:before="60" w:line="240" w:lineRule="atLeast"/>
      <w:ind w:left="170"/>
    </w:pPr>
    <w:rPr>
      <w:sz w:val="16"/>
    </w:rPr>
  </w:style>
  <w:style w:type="paragraph" w:customStyle="1" w:styleId="ENotesHeading1">
    <w:name w:val="ENotesHeading 1"/>
    <w:aliases w:val="Enh1"/>
    <w:basedOn w:val="OPCParaBase"/>
    <w:next w:val="Normal"/>
    <w:rsid w:val="005A03F9"/>
    <w:pPr>
      <w:spacing w:before="120"/>
      <w:outlineLvl w:val="1"/>
    </w:pPr>
    <w:rPr>
      <w:b/>
      <w:sz w:val="28"/>
      <w:szCs w:val="28"/>
    </w:rPr>
  </w:style>
  <w:style w:type="paragraph" w:customStyle="1" w:styleId="ENotesHeading2">
    <w:name w:val="ENotesHeading 2"/>
    <w:aliases w:val="Enh2"/>
    <w:basedOn w:val="OPCParaBase"/>
    <w:next w:val="Normal"/>
    <w:rsid w:val="005A03F9"/>
    <w:pPr>
      <w:spacing w:before="120" w:after="120"/>
      <w:outlineLvl w:val="2"/>
    </w:pPr>
    <w:rPr>
      <w:b/>
      <w:sz w:val="24"/>
      <w:szCs w:val="28"/>
    </w:rPr>
  </w:style>
  <w:style w:type="paragraph" w:customStyle="1" w:styleId="ENoteTTIndentHeading">
    <w:name w:val="ENoteTTIndentHeading"/>
    <w:aliases w:val="enTTHi"/>
    <w:basedOn w:val="OPCParaBase"/>
    <w:rsid w:val="005A03F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A03F9"/>
    <w:pPr>
      <w:spacing w:before="60" w:line="240" w:lineRule="atLeast"/>
    </w:pPr>
    <w:rPr>
      <w:sz w:val="16"/>
    </w:rPr>
  </w:style>
  <w:style w:type="paragraph" w:customStyle="1" w:styleId="MadeunderText">
    <w:name w:val="MadeunderText"/>
    <w:basedOn w:val="OPCParaBase"/>
    <w:next w:val="CompiledMadeUnder"/>
    <w:rsid w:val="005A03F9"/>
    <w:pPr>
      <w:spacing w:before="240"/>
    </w:pPr>
    <w:rPr>
      <w:sz w:val="24"/>
      <w:szCs w:val="24"/>
    </w:rPr>
  </w:style>
  <w:style w:type="paragraph" w:customStyle="1" w:styleId="ENotesHeading3">
    <w:name w:val="ENotesHeading 3"/>
    <w:aliases w:val="Enh3"/>
    <w:basedOn w:val="OPCParaBase"/>
    <w:next w:val="Normal"/>
    <w:rsid w:val="005A03F9"/>
    <w:pPr>
      <w:keepNext/>
      <w:spacing w:before="120" w:line="240" w:lineRule="auto"/>
      <w:outlineLvl w:val="4"/>
    </w:pPr>
    <w:rPr>
      <w:b/>
      <w:szCs w:val="24"/>
    </w:rPr>
  </w:style>
  <w:style w:type="character" w:customStyle="1" w:styleId="CharSubPartTextCASA">
    <w:name w:val="CharSubPartText(CASA)"/>
    <w:basedOn w:val="OPCCharBase"/>
    <w:uiPriority w:val="1"/>
    <w:rsid w:val="005A03F9"/>
  </w:style>
  <w:style w:type="character" w:customStyle="1" w:styleId="CharSubPartNoCASA">
    <w:name w:val="CharSubPartNo(CASA)"/>
    <w:basedOn w:val="OPCCharBase"/>
    <w:uiPriority w:val="1"/>
    <w:rsid w:val="005A03F9"/>
  </w:style>
  <w:style w:type="paragraph" w:customStyle="1" w:styleId="ENoteTTIndentHeadingSub">
    <w:name w:val="ENoteTTIndentHeadingSub"/>
    <w:aliases w:val="enTTHis"/>
    <w:basedOn w:val="OPCParaBase"/>
    <w:rsid w:val="005A03F9"/>
    <w:pPr>
      <w:keepNext/>
      <w:spacing w:before="60" w:line="240" w:lineRule="atLeast"/>
      <w:ind w:left="340"/>
    </w:pPr>
    <w:rPr>
      <w:b/>
      <w:sz w:val="16"/>
    </w:rPr>
  </w:style>
  <w:style w:type="paragraph" w:customStyle="1" w:styleId="ENoteTTiSub">
    <w:name w:val="ENoteTTiSub"/>
    <w:aliases w:val="enttis"/>
    <w:basedOn w:val="OPCParaBase"/>
    <w:rsid w:val="005A03F9"/>
    <w:pPr>
      <w:keepNext/>
      <w:spacing w:before="60" w:line="240" w:lineRule="atLeast"/>
      <w:ind w:left="340"/>
    </w:pPr>
    <w:rPr>
      <w:sz w:val="16"/>
    </w:rPr>
  </w:style>
  <w:style w:type="paragraph" w:customStyle="1" w:styleId="SubDivisionMigration">
    <w:name w:val="SubDivisionMigration"/>
    <w:aliases w:val="sdm"/>
    <w:basedOn w:val="OPCParaBase"/>
    <w:rsid w:val="005A03F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A03F9"/>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5A03F9"/>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5A03F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A03F9"/>
    <w:rPr>
      <w:sz w:val="22"/>
    </w:rPr>
  </w:style>
  <w:style w:type="paragraph" w:customStyle="1" w:styleId="SOTextNote">
    <w:name w:val="SO TextNote"/>
    <w:aliases w:val="sont"/>
    <w:basedOn w:val="SOText"/>
    <w:qFormat/>
    <w:rsid w:val="005A03F9"/>
    <w:pPr>
      <w:spacing w:before="122" w:line="198" w:lineRule="exact"/>
      <w:ind w:left="1843" w:hanging="709"/>
    </w:pPr>
    <w:rPr>
      <w:sz w:val="18"/>
    </w:rPr>
  </w:style>
  <w:style w:type="paragraph" w:customStyle="1" w:styleId="SOPara">
    <w:name w:val="SO Para"/>
    <w:aliases w:val="soa"/>
    <w:basedOn w:val="SOText"/>
    <w:link w:val="SOParaChar"/>
    <w:qFormat/>
    <w:rsid w:val="005A03F9"/>
    <w:pPr>
      <w:tabs>
        <w:tab w:val="right" w:pos="1786"/>
      </w:tabs>
      <w:spacing w:before="40"/>
      <w:ind w:left="2070" w:hanging="936"/>
    </w:pPr>
  </w:style>
  <w:style w:type="character" w:customStyle="1" w:styleId="SOParaChar">
    <w:name w:val="SO Para Char"/>
    <w:aliases w:val="soa Char"/>
    <w:basedOn w:val="DefaultParagraphFont"/>
    <w:link w:val="SOPara"/>
    <w:rsid w:val="005A03F9"/>
    <w:rPr>
      <w:sz w:val="22"/>
    </w:rPr>
  </w:style>
  <w:style w:type="paragraph" w:customStyle="1" w:styleId="FileName">
    <w:name w:val="FileName"/>
    <w:basedOn w:val="Normal"/>
    <w:rsid w:val="005A03F9"/>
  </w:style>
  <w:style w:type="paragraph" w:customStyle="1" w:styleId="TableHeading">
    <w:name w:val="TableHeading"/>
    <w:aliases w:val="th"/>
    <w:basedOn w:val="OPCParaBase"/>
    <w:next w:val="Tabletext"/>
    <w:rsid w:val="005A03F9"/>
    <w:pPr>
      <w:keepNext/>
      <w:spacing w:before="60" w:line="240" w:lineRule="atLeast"/>
    </w:pPr>
    <w:rPr>
      <w:b/>
      <w:sz w:val="20"/>
    </w:rPr>
  </w:style>
  <w:style w:type="paragraph" w:customStyle="1" w:styleId="SOHeadBold">
    <w:name w:val="SO HeadBold"/>
    <w:aliases w:val="sohb"/>
    <w:basedOn w:val="SOText"/>
    <w:next w:val="SOText"/>
    <w:link w:val="SOHeadBoldChar"/>
    <w:qFormat/>
    <w:rsid w:val="005A03F9"/>
    <w:rPr>
      <w:b/>
    </w:rPr>
  </w:style>
  <w:style w:type="character" w:customStyle="1" w:styleId="SOHeadBoldChar">
    <w:name w:val="SO HeadBold Char"/>
    <w:aliases w:val="sohb Char"/>
    <w:basedOn w:val="DefaultParagraphFont"/>
    <w:link w:val="SOHeadBold"/>
    <w:rsid w:val="005A03F9"/>
    <w:rPr>
      <w:b/>
      <w:sz w:val="22"/>
    </w:rPr>
  </w:style>
  <w:style w:type="paragraph" w:customStyle="1" w:styleId="SOHeadItalic">
    <w:name w:val="SO HeadItalic"/>
    <w:aliases w:val="sohi"/>
    <w:basedOn w:val="SOText"/>
    <w:next w:val="SOText"/>
    <w:link w:val="SOHeadItalicChar"/>
    <w:qFormat/>
    <w:rsid w:val="005A03F9"/>
    <w:rPr>
      <w:i/>
    </w:rPr>
  </w:style>
  <w:style w:type="character" w:customStyle="1" w:styleId="SOHeadItalicChar">
    <w:name w:val="SO HeadItalic Char"/>
    <w:aliases w:val="sohi Char"/>
    <w:basedOn w:val="DefaultParagraphFont"/>
    <w:link w:val="SOHeadItalic"/>
    <w:rsid w:val="005A03F9"/>
    <w:rPr>
      <w:i/>
      <w:sz w:val="22"/>
    </w:rPr>
  </w:style>
  <w:style w:type="paragraph" w:customStyle="1" w:styleId="SOBullet">
    <w:name w:val="SO Bullet"/>
    <w:aliases w:val="sotb"/>
    <w:basedOn w:val="SOText"/>
    <w:link w:val="SOBulletChar"/>
    <w:qFormat/>
    <w:rsid w:val="005A03F9"/>
    <w:pPr>
      <w:ind w:left="1559" w:hanging="425"/>
    </w:pPr>
  </w:style>
  <w:style w:type="character" w:customStyle="1" w:styleId="SOBulletChar">
    <w:name w:val="SO Bullet Char"/>
    <w:aliases w:val="sotb Char"/>
    <w:basedOn w:val="DefaultParagraphFont"/>
    <w:link w:val="SOBullet"/>
    <w:rsid w:val="005A03F9"/>
    <w:rPr>
      <w:sz w:val="22"/>
    </w:rPr>
  </w:style>
  <w:style w:type="paragraph" w:customStyle="1" w:styleId="SOBulletNote">
    <w:name w:val="SO BulletNote"/>
    <w:aliases w:val="sonb"/>
    <w:basedOn w:val="SOTextNote"/>
    <w:link w:val="SOBulletNoteChar"/>
    <w:qFormat/>
    <w:rsid w:val="005A03F9"/>
    <w:pPr>
      <w:tabs>
        <w:tab w:val="left" w:pos="1560"/>
      </w:tabs>
      <w:ind w:left="2268" w:hanging="1134"/>
    </w:pPr>
  </w:style>
  <w:style w:type="character" w:customStyle="1" w:styleId="SOBulletNoteChar">
    <w:name w:val="SO BulletNote Char"/>
    <w:aliases w:val="sonb Char"/>
    <w:basedOn w:val="DefaultParagraphFont"/>
    <w:link w:val="SOBulletNote"/>
    <w:rsid w:val="005A03F9"/>
    <w:rPr>
      <w:sz w:val="18"/>
    </w:rPr>
  </w:style>
  <w:style w:type="paragraph" w:customStyle="1" w:styleId="SOText2">
    <w:name w:val="SO Text2"/>
    <w:aliases w:val="sot2"/>
    <w:basedOn w:val="Normal"/>
    <w:next w:val="SOText"/>
    <w:link w:val="SOText2Char"/>
    <w:rsid w:val="005A03F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A03F9"/>
    <w:rPr>
      <w:sz w:val="22"/>
    </w:rPr>
  </w:style>
  <w:style w:type="paragraph" w:customStyle="1" w:styleId="SubPartCASA">
    <w:name w:val="SubPart(CASA)"/>
    <w:aliases w:val="csp"/>
    <w:basedOn w:val="OPCParaBase"/>
    <w:next w:val="ActHead3"/>
    <w:rsid w:val="005A03F9"/>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3254BD"/>
    <w:rPr>
      <w:rFonts w:eastAsia="Times New Roman" w:cs="Times New Roman"/>
      <w:sz w:val="22"/>
      <w:lang w:eastAsia="en-AU"/>
    </w:rPr>
  </w:style>
  <w:style w:type="character" w:customStyle="1" w:styleId="notetextChar">
    <w:name w:val="note(text) Char"/>
    <w:aliases w:val="n Char"/>
    <w:basedOn w:val="DefaultParagraphFont"/>
    <w:link w:val="notetext"/>
    <w:rsid w:val="003254BD"/>
    <w:rPr>
      <w:rFonts w:eastAsia="Times New Roman" w:cs="Times New Roman"/>
      <w:sz w:val="18"/>
      <w:lang w:eastAsia="en-AU"/>
    </w:rPr>
  </w:style>
  <w:style w:type="character" w:customStyle="1" w:styleId="Heading1Char">
    <w:name w:val="Heading 1 Char"/>
    <w:basedOn w:val="DefaultParagraphFont"/>
    <w:link w:val="Heading1"/>
    <w:uiPriority w:val="9"/>
    <w:rsid w:val="003254B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254B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254B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3254B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3254B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3254B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3254B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3254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3254BD"/>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C102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A03F9"/>
    <w:pPr>
      <w:spacing w:line="260" w:lineRule="atLeast"/>
    </w:pPr>
    <w:rPr>
      <w:sz w:val="22"/>
    </w:rPr>
  </w:style>
  <w:style w:type="paragraph" w:styleId="Heading1">
    <w:name w:val="heading 1"/>
    <w:basedOn w:val="Normal"/>
    <w:next w:val="Normal"/>
    <w:link w:val="Heading1Char"/>
    <w:uiPriority w:val="9"/>
    <w:qFormat/>
    <w:rsid w:val="003254B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254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254B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254B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254B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254B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254B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254B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3254B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A03F9"/>
  </w:style>
  <w:style w:type="paragraph" w:customStyle="1" w:styleId="OPCParaBase">
    <w:name w:val="OPCParaBase"/>
    <w:qFormat/>
    <w:rsid w:val="005A03F9"/>
    <w:pPr>
      <w:spacing w:line="260" w:lineRule="atLeast"/>
    </w:pPr>
    <w:rPr>
      <w:rFonts w:eastAsia="Times New Roman" w:cs="Times New Roman"/>
      <w:sz w:val="22"/>
      <w:lang w:eastAsia="en-AU"/>
    </w:rPr>
  </w:style>
  <w:style w:type="paragraph" w:customStyle="1" w:styleId="ShortT">
    <w:name w:val="ShortT"/>
    <w:basedOn w:val="OPCParaBase"/>
    <w:next w:val="Normal"/>
    <w:qFormat/>
    <w:rsid w:val="005A03F9"/>
    <w:pPr>
      <w:spacing w:line="240" w:lineRule="auto"/>
    </w:pPr>
    <w:rPr>
      <w:b/>
      <w:sz w:val="40"/>
    </w:rPr>
  </w:style>
  <w:style w:type="paragraph" w:customStyle="1" w:styleId="ActHead1">
    <w:name w:val="ActHead 1"/>
    <w:aliases w:val="c"/>
    <w:basedOn w:val="OPCParaBase"/>
    <w:next w:val="Normal"/>
    <w:qFormat/>
    <w:rsid w:val="005A03F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A03F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A03F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A03F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A03F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A03F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A03F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A03F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A03F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A03F9"/>
  </w:style>
  <w:style w:type="paragraph" w:customStyle="1" w:styleId="Blocks">
    <w:name w:val="Blocks"/>
    <w:aliases w:val="bb"/>
    <w:basedOn w:val="OPCParaBase"/>
    <w:qFormat/>
    <w:rsid w:val="005A03F9"/>
    <w:pPr>
      <w:spacing w:line="240" w:lineRule="auto"/>
    </w:pPr>
    <w:rPr>
      <w:sz w:val="24"/>
    </w:rPr>
  </w:style>
  <w:style w:type="paragraph" w:customStyle="1" w:styleId="BoxText">
    <w:name w:val="BoxText"/>
    <w:aliases w:val="bt"/>
    <w:basedOn w:val="OPCParaBase"/>
    <w:qFormat/>
    <w:rsid w:val="005A03F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A03F9"/>
    <w:rPr>
      <w:b/>
    </w:rPr>
  </w:style>
  <w:style w:type="paragraph" w:customStyle="1" w:styleId="BoxHeadItalic">
    <w:name w:val="BoxHeadItalic"/>
    <w:aliases w:val="bhi"/>
    <w:basedOn w:val="BoxText"/>
    <w:next w:val="BoxStep"/>
    <w:qFormat/>
    <w:rsid w:val="005A03F9"/>
    <w:rPr>
      <w:i/>
    </w:rPr>
  </w:style>
  <w:style w:type="paragraph" w:customStyle="1" w:styleId="BoxList">
    <w:name w:val="BoxList"/>
    <w:aliases w:val="bl"/>
    <w:basedOn w:val="BoxText"/>
    <w:qFormat/>
    <w:rsid w:val="005A03F9"/>
    <w:pPr>
      <w:ind w:left="1559" w:hanging="425"/>
    </w:pPr>
  </w:style>
  <w:style w:type="paragraph" w:customStyle="1" w:styleId="BoxNote">
    <w:name w:val="BoxNote"/>
    <w:aliases w:val="bn"/>
    <w:basedOn w:val="BoxText"/>
    <w:qFormat/>
    <w:rsid w:val="005A03F9"/>
    <w:pPr>
      <w:tabs>
        <w:tab w:val="left" w:pos="1985"/>
      </w:tabs>
      <w:spacing w:before="122" w:line="198" w:lineRule="exact"/>
      <w:ind w:left="2948" w:hanging="1814"/>
    </w:pPr>
    <w:rPr>
      <w:sz w:val="18"/>
    </w:rPr>
  </w:style>
  <w:style w:type="paragraph" w:customStyle="1" w:styleId="BoxPara">
    <w:name w:val="BoxPara"/>
    <w:aliases w:val="bp"/>
    <w:basedOn w:val="BoxText"/>
    <w:qFormat/>
    <w:rsid w:val="005A03F9"/>
    <w:pPr>
      <w:tabs>
        <w:tab w:val="right" w:pos="2268"/>
      </w:tabs>
      <w:ind w:left="2552" w:hanging="1418"/>
    </w:pPr>
  </w:style>
  <w:style w:type="paragraph" w:customStyle="1" w:styleId="BoxStep">
    <w:name w:val="BoxStep"/>
    <w:aliases w:val="bs"/>
    <w:basedOn w:val="BoxText"/>
    <w:qFormat/>
    <w:rsid w:val="005A03F9"/>
    <w:pPr>
      <w:ind w:left="1985" w:hanging="851"/>
    </w:pPr>
  </w:style>
  <w:style w:type="character" w:customStyle="1" w:styleId="CharAmPartNo">
    <w:name w:val="CharAmPartNo"/>
    <w:basedOn w:val="OPCCharBase"/>
    <w:qFormat/>
    <w:rsid w:val="005A03F9"/>
  </w:style>
  <w:style w:type="character" w:customStyle="1" w:styleId="CharAmPartText">
    <w:name w:val="CharAmPartText"/>
    <w:basedOn w:val="OPCCharBase"/>
    <w:qFormat/>
    <w:rsid w:val="005A03F9"/>
  </w:style>
  <w:style w:type="character" w:customStyle="1" w:styleId="CharAmSchNo">
    <w:name w:val="CharAmSchNo"/>
    <w:basedOn w:val="OPCCharBase"/>
    <w:qFormat/>
    <w:rsid w:val="005A03F9"/>
  </w:style>
  <w:style w:type="character" w:customStyle="1" w:styleId="CharAmSchText">
    <w:name w:val="CharAmSchText"/>
    <w:basedOn w:val="OPCCharBase"/>
    <w:qFormat/>
    <w:rsid w:val="005A03F9"/>
  </w:style>
  <w:style w:type="character" w:customStyle="1" w:styleId="CharBoldItalic">
    <w:name w:val="CharBoldItalic"/>
    <w:basedOn w:val="OPCCharBase"/>
    <w:uiPriority w:val="1"/>
    <w:qFormat/>
    <w:rsid w:val="005A03F9"/>
    <w:rPr>
      <w:b/>
      <w:i/>
    </w:rPr>
  </w:style>
  <w:style w:type="character" w:customStyle="1" w:styleId="CharChapNo">
    <w:name w:val="CharChapNo"/>
    <w:basedOn w:val="OPCCharBase"/>
    <w:uiPriority w:val="1"/>
    <w:qFormat/>
    <w:rsid w:val="005A03F9"/>
  </w:style>
  <w:style w:type="character" w:customStyle="1" w:styleId="CharChapText">
    <w:name w:val="CharChapText"/>
    <w:basedOn w:val="OPCCharBase"/>
    <w:uiPriority w:val="1"/>
    <w:qFormat/>
    <w:rsid w:val="005A03F9"/>
  </w:style>
  <w:style w:type="character" w:customStyle="1" w:styleId="CharDivNo">
    <w:name w:val="CharDivNo"/>
    <w:basedOn w:val="OPCCharBase"/>
    <w:uiPriority w:val="1"/>
    <w:qFormat/>
    <w:rsid w:val="005A03F9"/>
  </w:style>
  <w:style w:type="character" w:customStyle="1" w:styleId="CharDivText">
    <w:name w:val="CharDivText"/>
    <w:basedOn w:val="OPCCharBase"/>
    <w:uiPriority w:val="1"/>
    <w:qFormat/>
    <w:rsid w:val="005A03F9"/>
  </w:style>
  <w:style w:type="character" w:customStyle="1" w:styleId="CharItalic">
    <w:name w:val="CharItalic"/>
    <w:basedOn w:val="OPCCharBase"/>
    <w:uiPriority w:val="1"/>
    <w:qFormat/>
    <w:rsid w:val="005A03F9"/>
    <w:rPr>
      <w:i/>
    </w:rPr>
  </w:style>
  <w:style w:type="character" w:customStyle="1" w:styleId="CharPartNo">
    <w:name w:val="CharPartNo"/>
    <w:basedOn w:val="OPCCharBase"/>
    <w:uiPriority w:val="1"/>
    <w:qFormat/>
    <w:rsid w:val="005A03F9"/>
  </w:style>
  <w:style w:type="character" w:customStyle="1" w:styleId="CharPartText">
    <w:name w:val="CharPartText"/>
    <w:basedOn w:val="OPCCharBase"/>
    <w:uiPriority w:val="1"/>
    <w:qFormat/>
    <w:rsid w:val="005A03F9"/>
  </w:style>
  <w:style w:type="character" w:customStyle="1" w:styleId="CharSectno">
    <w:name w:val="CharSectno"/>
    <w:basedOn w:val="OPCCharBase"/>
    <w:qFormat/>
    <w:rsid w:val="005A03F9"/>
  </w:style>
  <w:style w:type="character" w:customStyle="1" w:styleId="CharSubdNo">
    <w:name w:val="CharSubdNo"/>
    <w:basedOn w:val="OPCCharBase"/>
    <w:uiPriority w:val="1"/>
    <w:qFormat/>
    <w:rsid w:val="005A03F9"/>
  </w:style>
  <w:style w:type="character" w:customStyle="1" w:styleId="CharSubdText">
    <w:name w:val="CharSubdText"/>
    <w:basedOn w:val="OPCCharBase"/>
    <w:uiPriority w:val="1"/>
    <w:qFormat/>
    <w:rsid w:val="005A03F9"/>
  </w:style>
  <w:style w:type="paragraph" w:customStyle="1" w:styleId="CTA--">
    <w:name w:val="CTA --"/>
    <w:basedOn w:val="OPCParaBase"/>
    <w:next w:val="Normal"/>
    <w:rsid w:val="005A03F9"/>
    <w:pPr>
      <w:spacing w:before="60" w:line="240" w:lineRule="atLeast"/>
      <w:ind w:left="142" w:hanging="142"/>
    </w:pPr>
    <w:rPr>
      <w:sz w:val="20"/>
    </w:rPr>
  </w:style>
  <w:style w:type="paragraph" w:customStyle="1" w:styleId="CTA-">
    <w:name w:val="CTA -"/>
    <w:basedOn w:val="OPCParaBase"/>
    <w:rsid w:val="005A03F9"/>
    <w:pPr>
      <w:spacing w:before="60" w:line="240" w:lineRule="atLeast"/>
      <w:ind w:left="85" w:hanging="85"/>
    </w:pPr>
    <w:rPr>
      <w:sz w:val="20"/>
    </w:rPr>
  </w:style>
  <w:style w:type="paragraph" w:customStyle="1" w:styleId="CTA---">
    <w:name w:val="CTA ---"/>
    <w:basedOn w:val="OPCParaBase"/>
    <w:next w:val="Normal"/>
    <w:rsid w:val="005A03F9"/>
    <w:pPr>
      <w:spacing w:before="60" w:line="240" w:lineRule="atLeast"/>
      <w:ind w:left="198" w:hanging="198"/>
    </w:pPr>
    <w:rPr>
      <w:sz w:val="20"/>
    </w:rPr>
  </w:style>
  <w:style w:type="paragraph" w:customStyle="1" w:styleId="CTA----">
    <w:name w:val="CTA ----"/>
    <w:basedOn w:val="OPCParaBase"/>
    <w:next w:val="Normal"/>
    <w:rsid w:val="005A03F9"/>
    <w:pPr>
      <w:spacing w:before="60" w:line="240" w:lineRule="atLeast"/>
      <w:ind w:left="255" w:hanging="255"/>
    </w:pPr>
    <w:rPr>
      <w:sz w:val="20"/>
    </w:rPr>
  </w:style>
  <w:style w:type="paragraph" w:customStyle="1" w:styleId="CTA1a">
    <w:name w:val="CTA 1(a)"/>
    <w:basedOn w:val="OPCParaBase"/>
    <w:rsid w:val="005A03F9"/>
    <w:pPr>
      <w:tabs>
        <w:tab w:val="right" w:pos="414"/>
      </w:tabs>
      <w:spacing w:before="40" w:line="240" w:lineRule="atLeast"/>
      <w:ind w:left="675" w:hanging="675"/>
    </w:pPr>
    <w:rPr>
      <w:sz w:val="20"/>
    </w:rPr>
  </w:style>
  <w:style w:type="paragraph" w:customStyle="1" w:styleId="CTA1ai">
    <w:name w:val="CTA 1(a)(i)"/>
    <w:basedOn w:val="OPCParaBase"/>
    <w:rsid w:val="005A03F9"/>
    <w:pPr>
      <w:tabs>
        <w:tab w:val="right" w:pos="1004"/>
      </w:tabs>
      <w:spacing w:before="40" w:line="240" w:lineRule="atLeast"/>
      <w:ind w:left="1253" w:hanging="1253"/>
    </w:pPr>
    <w:rPr>
      <w:sz w:val="20"/>
    </w:rPr>
  </w:style>
  <w:style w:type="paragraph" w:customStyle="1" w:styleId="CTA2a">
    <w:name w:val="CTA 2(a)"/>
    <w:basedOn w:val="OPCParaBase"/>
    <w:rsid w:val="005A03F9"/>
    <w:pPr>
      <w:tabs>
        <w:tab w:val="right" w:pos="482"/>
      </w:tabs>
      <w:spacing w:before="40" w:line="240" w:lineRule="atLeast"/>
      <w:ind w:left="748" w:hanging="748"/>
    </w:pPr>
    <w:rPr>
      <w:sz w:val="20"/>
    </w:rPr>
  </w:style>
  <w:style w:type="paragraph" w:customStyle="1" w:styleId="CTA2ai">
    <w:name w:val="CTA 2(a)(i)"/>
    <w:basedOn w:val="OPCParaBase"/>
    <w:rsid w:val="005A03F9"/>
    <w:pPr>
      <w:tabs>
        <w:tab w:val="right" w:pos="1089"/>
      </w:tabs>
      <w:spacing w:before="40" w:line="240" w:lineRule="atLeast"/>
      <w:ind w:left="1327" w:hanging="1327"/>
    </w:pPr>
    <w:rPr>
      <w:sz w:val="20"/>
    </w:rPr>
  </w:style>
  <w:style w:type="paragraph" w:customStyle="1" w:styleId="CTA3a">
    <w:name w:val="CTA 3(a)"/>
    <w:basedOn w:val="OPCParaBase"/>
    <w:rsid w:val="005A03F9"/>
    <w:pPr>
      <w:tabs>
        <w:tab w:val="right" w:pos="556"/>
      </w:tabs>
      <w:spacing w:before="40" w:line="240" w:lineRule="atLeast"/>
      <w:ind w:left="805" w:hanging="805"/>
    </w:pPr>
    <w:rPr>
      <w:sz w:val="20"/>
    </w:rPr>
  </w:style>
  <w:style w:type="paragraph" w:customStyle="1" w:styleId="CTA3ai">
    <w:name w:val="CTA 3(a)(i)"/>
    <w:basedOn w:val="OPCParaBase"/>
    <w:rsid w:val="005A03F9"/>
    <w:pPr>
      <w:tabs>
        <w:tab w:val="right" w:pos="1140"/>
      </w:tabs>
      <w:spacing w:before="40" w:line="240" w:lineRule="atLeast"/>
      <w:ind w:left="1361" w:hanging="1361"/>
    </w:pPr>
    <w:rPr>
      <w:sz w:val="20"/>
    </w:rPr>
  </w:style>
  <w:style w:type="paragraph" w:customStyle="1" w:styleId="CTA4a">
    <w:name w:val="CTA 4(a)"/>
    <w:basedOn w:val="OPCParaBase"/>
    <w:rsid w:val="005A03F9"/>
    <w:pPr>
      <w:tabs>
        <w:tab w:val="right" w:pos="624"/>
      </w:tabs>
      <w:spacing w:before="40" w:line="240" w:lineRule="atLeast"/>
      <w:ind w:left="873" w:hanging="873"/>
    </w:pPr>
    <w:rPr>
      <w:sz w:val="20"/>
    </w:rPr>
  </w:style>
  <w:style w:type="paragraph" w:customStyle="1" w:styleId="CTA4ai">
    <w:name w:val="CTA 4(a)(i)"/>
    <w:basedOn w:val="OPCParaBase"/>
    <w:rsid w:val="005A03F9"/>
    <w:pPr>
      <w:tabs>
        <w:tab w:val="right" w:pos="1213"/>
      </w:tabs>
      <w:spacing w:before="40" w:line="240" w:lineRule="atLeast"/>
      <w:ind w:left="1452" w:hanging="1452"/>
    </w:pPr>
    <w:rPr>
      <w:sz w:val="20"/>
    </w:rPr>
  </w:style>
  <w:style w:type="paragraph" w:customStyle="1" w:styleId="CTACAPS">
    <w:name w:val="CTA CAPS"/>
    <w:basedOn w:val="OPCParaBase"/>
    <w:rsid w:val="005A03F9"/>
    <w:pPr>
      <w:spacing w:before="60" w:line="240" w:lineRule="atLeast"/>
    </w:pPr>
    <w:rPr>
      <w:sz w:val="20"/>
    </w:rPr>
  </w:style>
  <w:style w:type="paragraph" w:customStyle="1" w:styleId="CTAright">
    <w:name w:val="CTA right"/>
    <w:basedOn w:val="OPCParaBase"/>
    <w:rsid w:val="005A03F9"/>
    <w:pPr>
      <w:spacing w:before="60" w:line="240" w:lineRule="auto"/>
      <w:jc w:val="right"/>
    </w:pPr>
    <w:rPr>
      <w:sz w:val="20"/>
    </w:rPr>
  </w:style>
  <w:style w:type="paragraph" w:customStyle="1" w:styleId="subsection">
    <w:name w:val="subsection"/>
    <w:aliases w:val="ss"/>
    <w:basedOn w:val="OPCParaBase"/>
    <w:link w:val="subsectionChar"/>
    <w:rsid w:val="005A03F9"/>
    <w:pPr>
      <w:tabs>
        <w:tab w:val="right" w:pos="1021"/>
      </w:tabs>
      <w:spacing w:before="180" w:line="240" w:lineRule="auto"/>
      <w:ind w:left="1134" w:hanging="1134"/>
    </w:pPr>
  </w:style>
  <w:style w:type="paragraph" w:customStyle="1" w:styleId="Definition">
    <w:name w:val="Definition"/>
    <w:aliases w:val="dd"/>
    <w:basedOn w:val="OPCParaBase"/>
    <w:rsid w:val="005A03F9"/>
    <w:pPr>
      <w:spacing w:before="180" w:line="240" w:lineRule="auto"/>
      <w:ind w:left="1134"/>
    </w:pPr>
  </w:style>
  <w:style w:type="paragraph" w:customStyle="1" w:styleId="ETAsubitem">
    <w:name w:val="ETA(subitem)"/>
    <w:basedOn w:val="OPCParaBase"/>
    <w:rsid w:val="005A03F9"/>
    <w:pPr>
      <w:tabs>
        <w:tab w:val="right" w:pos="340"/>
      </w:tabs>
      <w:spacing w:before="60" w:line="240" w:lineRule="auto"/>
      <w:ind w:left="454" w:hanging="454"/>
    </w:pPr>
    <w:rPr>
      <w:sz w:val="20"/>
    </w:rPr>
  </w:style>
  <w:style w:type="paragraph" w:customStyle="1" w:styleId="ETApara">
    <w:name w:val="ETA(para)"/>
    <w:basedOn w:val="OPCParaBase"/>
    <w:rsid w:val="005A03F9"/>
    <w:pPr>
      <w:tabs>
        <w:tab w:val="right" w:pos="754"/>
      </w:tabs>
      <w:spacing w:before="60" w:line="240" w:lineRule="auto"/>
      <w:ind w:left="828" w:hanging="828"/>
    </w:pPr>
    <w:rPr>
      <w:sz w:val="20"/>
    </w:rPr>
  </w:style>
  <w:style w:type="paragraph" w:customStyle="1" w:styleId="ETAsubpara">
    <w:name w:val="ETA(subpara)"/>
    <w:basedOn w:val="OPCParaBase"/>
    <w:rsid w:val="005A03F9"/>
    <w:pPr>
      <w:tabs>
        <w:tab w:val="right" w:pos="1083"/>
      </w:tabs>
      <w:spacing w:before="60" w:line="240" w:lineRule="auto"/>
      <w:ind w:left="1191" w:hanging="1191"/>
    </w:pPr>
    <w:rPr>
      <w:sz w:val="20"/>
    </w:rPr>
  </w:style>
  <w:style w:type="paragraph" w:customStyle="1" w:styleId="ETAsub-subpara">
    <w:name w:val="ETA(sub-subpara)"/>
    <w:basedOn w:val="OPCParaBase"/>
    <w:rsid w:val="005A03F9"/>
    <w:pPr>
      <w:tabs>
        <w:tab w:val="right" w:pos="1412"/>
      </w:tabs>
      <w:spacing w:before="60" w:line="240" w:lineRule="auto"/>
      <w:ind w:left="1525" w:hanging="1525"/>
    </w:pPr>
    <w:rPr>
      <w:sz w:val="20"/>
    </w:rPr>
  </w:style>
  <w:style w:type="paragraph" w:customStyle="1" w:styleId="Formula">
    <w:name w:val="Formula"/>
    <w:basedOn w:val="OPCParaBase"/>
    <w:rsid w:val="005A03F9"/>
    <w:pPr>
      <w:spacing w:line="240" w:lineRule="auto"/>
      <w:ind w:left="1134"/>
    </w:pPr>
    <w:rPr>
      <w:sz w:val="20"/>
    </w:rPr>
  </w:style>
  <w:style w:type="paragraph" w:styleId="Header">
    <w:name w:val="header"/>
    <w:basedOn w:val="OPCParaBase"/>
    <w:link w:val="HeaderChar"/>
    <w:unhideWhenUsed/>
    <w:rsid w:val="005A03F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A03F9"/>
    <w:rPr>
      <w:rFonts w:eastAsia="Times New Roman" w:cs="Times New Roman"/>
      <w:sz w:val="16"/>
      <w:lang w:eastAsia="en-AU"/>
    </w:rPr>
  </w:style>
  <w:style w:type="paragraph" w:customStyle="1" w:styleId="House">
    <w:name w:val="House"/>
    <w:basedOn w:val="OPCParaBase"/>
    <w:rsid w:val="005A03F9"/>
    <w:pPr>
      <w:spacing w:line="240" w:lineRule="auto"/>
    </w:pPr>
    <w:rPr>
      <w:sz w:val="28"/>
    </w:rPr>
  </w:style>
  <w:style w:type="paragraph" w:customStyle="1" w:styleId="Item">
    <w:name w:val="Item"/>
    <w:aliases w:val="i"/>
    <w:basedOn w:val="OPCParaBase"/>
    <w:next w:val="ItemHead"/>
    <w:rsid w:val="005A03F9"/>
    <w:pPr>
      <w:keepLines/>
      <w:spacing w:before="80" w:line="240" w:lineRule="auto"/>
      <w:ind w:left="709"/>
    </w:pPr>
  </w:style>
  <w:style w:type="paragraph" w:customStyle="1" w:styleId="ItemHead">
    <w:name w:val="ItemHead"/>
    <w:aliases w:val="ih"/>
    <w:basedOn w:val="OPCParaBase"/>
    <w:next w:val="Item"/>
    <w:rsid w:val="005A03F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A03F9"/>
    <w:pPr>
      <w:spacing w:line="240" w:lineRule="auto"/>
    </w:pPr>
    <w:rPr>
      <w:b/>
      <w:sz w:val="32"/>
    </w:rPr>
  </w:style>
  <w:style w:type="paragraph" w:customStyle="1" w:styleId="notedraft">
    <w:name w:val="note(draft)"/>
    <w:aliases w:val="nd"/>
    <w:basedOn w:val="OPCParaBase"/>
    <w:rsid w:val="005A03F9"/>
    <w:pPr>
      <w:spacing w:before="240" w:line="240" w:lineRule="auto"/>
      <w:ind w:left="284" w:hanging="284"/>
    </w:pPr>
    <w:rPr>
      <w:i/>
      <w:sz w:val="24"/>
    </w:rPr>
  </w:style>
  <w:style w:type="paragraph" w:customStyle="1" w:styleId="notemargin">
    <w:name w:val="note(margin)"/>
    <w:aliases w:val="nm"/>
    <w:basedOn w:val="OPCParaBase"/>
    <w:rsid w:val="005A03F9"/>
    <w:pPr>
      <w:tabs>
        <w:tab w:val="left" w:pos="709"/>
      </w:tabs>
      <w:spacing w:before="122" w:line="198" w:lineRule="exact"/>
      <w:ind w:left="709" w:hanging="709"/>
    </w:pPr>
    <w:rPr>
      <w:sz w:val="18"/>
    </w:rPr>
  </w:style>
  <w:style w:type="paragraph" w:customStyle="1" w:styleId="noteToPara">
    <w:name w:val="noteToPara"/>
    <w:aliases w:val="ntp"/>
    <w:basedOn w:val="OPCParaBase"/>
    <w:rsid w:val="005A03F9"/>
    <w:pPr>
      <w:spacing w:before="122" w:line="198" w:lineRule="exact"/>
      <w:ind w:left="2353" w:hanging="709"/>
    </w:pPr>
    <w:rPr>
      <w:sz w:val="18"/>
    </w:rPr>
  </w:style>
  <w:style w:type="paragraph" w:customStyle="1" w:styleId="noteParlAmend">
    <w:name w:val="note(ParlAmend)"/>
    <w:aliases w:val="npp"/>
    <w:basedOn w:val="OPCParaBase"/>
    <w:next w:val="ParlAmend"/>
    <w:rsid w:val="005A03F9"/>
    <w:pPr>
      <w:spacing w:line="240" w:lineRule="auto"/>
      <w:jc w:val="right"/>
    </w:pPr>
    <w:rPr>
      <w:rFonts w:ascii="Arial" w:hAnsi="Arial"/>
      <w:b/>
      <w:i/>
    </w:rPr>
  </w:style>
  <w:style w:type="paragraph" w:customStyle="1" w:styleId="Page1">
    <w:name w:val="Page1"/>
    <w:basedOn w:val="OPCParaBase"/>
    <w:rsid w:val="005A03F9"/>
    <w:pPr>
      <w:spacing w:before="5600" w:line="240" w:lineRule="auto"/>
    </w:pPr>
    <w:rPr>
      <w:b/>
      <w:sz w:val="32"/>
    </w:rPr>
  </w:style>
  <w:style w:type="paragraph" w:customStyle="1" w:styleId="PageBreak">
    <w:name w:val="PageBreak"/>
    <w:aliases w:val="pb"/>
    <w:basedOn w:val="OPCParaBase"/>
    <w:rsid w:val="005A03F9"/>
    <w:pPr>
      <w:spacing w:line="240" w:lineRule="auto"/>
    </w:pPr>
    <w:rPr>
      <w:sz w:val="20"/>
    </w:rPr>
  </w:style>
  <w:style w:type="paragraph" w:customStyle="1" w:styleId="paragraphsub">
    <w:name w:val="paragraph(sub)"/>
    <w:aliases w:val="aa"/>
    <w:basedOn w:val="OPCParaBase"/>
    <w:rsid w:val="005A03F9"/>
    <w:pPr>
      <w:tabs>
        <w:tab w:val="right" w:pos="1985"/>
      </w:tabs>
      <w:spacing w:before="40" w:line="240" w:lineRule="auto"/>
      <w:ind w:left="2098" w:hanging="2098"/>
    </w:pPr>
  </w:style>
  <w:style w:type="paragraph" w:customStyle="1" w:styleId="paragraphsub-sub">
    <w:name w:val="paragraph(sub-sub)"/>
    <w:aliases w:val="aaa"/>
    <w:basedOn w:val="OPCParaBase"/>
    <w:rsid w:val="005A03F9"/>
    <w:pPr>
      <w:tabs>
        <w:tab w:val="right" w:pos="2722"/>
      </w:tabs>
      <w:spacing w:before="40" w:line="240" w:lineRule="auto"/>
      <w:ind w:left="2835" w:hanging="2835"/>
    </w:pPr>
  </w:style>
  <w:style w:type="paragraph" w:customStyle="1" w:styleId="paragraph">
    <w:name w:val="paragraph"/>
    <w:aliases w:val="a"/>
    <w:basedOn w:val="OPCParaBase"/>
    <w:rsid w:val="005A03F9"/>
    <w:pPr>
      <w:tabs>
        <w:tab w:val="right" w:pos="1531"/>
      </w:tabs>
      <w:spacing w:before="40" w:line="240" w:lineRule="auto"/>
      <w:ind w:left="1644" w:hanging="1644"/>
    </w:pPr>
  </w:style>
  <w:style w:type="paragraph" w:customStyle="1" w:styleId="ParlAmend">
    <w:name w:val="ParlAmend"/>
    <w:aliases w:val="pp"/>
    <w:basedOn w:val="OPCParaBase"/>
    <w:rsid w:val="005A03F9"/>
    <w:pPr>
      <w:spacing w:before="240" w:line="240" w:lineRule="atLeast"/>
      <w:ind w:hanging="567"/>
    </w:pPr>
    <w:rPr>
      <w:sz w:val="24"/>
    </w:rPr>
  </w:style>
  <w:style w:type="paragraph" w:customStyle="1" w:styleId="Penalty">
    <w:name w:val="Penalty"/>
    <w:basedOn w:val="OPCParaBase"/>
    <w:rsid w:val="005A03F9"/>
    <w:pPr>
      <w:tabs>
        <w:tab w:val="left" w:pos="2977"/>
      </w:tabs>
      <w:spacing w:before="180" w:line="240" w:lineRule="auto"/>
      <w:ind w:left="1985" w:hanging="851"/>
    </w:pPr>
  </w:style>
  <w:style w:type="paragraph" w:customStyle="1" w:styleId="Portfolio">
    <w:name w:val="Portfolio"/>
    <w:basedOn w:val="OPCParaBase"/>
    <w:rsid w:val="005A03F9"/>
    <w:pPr>
      <w:spacing w:line="240" w:lineRule="auto"/>
    </w:pPr>
    <w:rPr>
      <w:i/>
      <w:sz w:val="20"/>
    </w:rPr>
  </w:style>
  <w:style w:type="paragraph" w:customStyle="1" w:styleId="Preamble">
    <w:name w:val="Preamble"/>
    <w:basedOn w:val="OPCParaBase"/>
    <w:next w:val="Normal"/>
    <w:rsid w:val="005A03F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A03F9"/>
    <w:pPr>
      <w:spacing w:line="240" w:lineRule="auto"/>
    </w:pPr>
    <w:rPr>
      <w:i/>
      <w:sz w:val="20"/>
    </w:rPr>
  </w:style>
  <w:style w:type="paragraph" w:customStyle="1" w:styleId="Session">
    <w:name w:val="Session"/>
    <w:basedOn w:val="OPCParaBase"/>
    <w:rsid w:val="005A03F9"/>
    <w:pPr>
      <w:spacing w:line="240" w:lineRule="auto"/>
    </w:pPr>
    <w:rPr>
      <w:sz w:val="28"/>
    </w:rPr>
  </w:style>
  <w:style w:type="paragraph" w:customStyle="1" w:styleId="Sponsor">
    <w:name w:val="Sponsor"/>
    <w:basedOn w:val="OPCParaBase"/>
    <w:rsid w:val="005A03F9"/>
    <w:pPr>
      <w:spacing w:line="240" w:lineRule="auto"/>
    </w:pPr>
    <w:rPr>
      <w:i/>
    </w:rPr>
  </w:style>
  <w:style w:type="paragraph" w:customStyle="1" w:styleId="Subitem">
    <w:name w:val="Subitem"/>
    <w:aliases w:val="iss"/>
    <w:basedOn w:val="OPCParaBase"/>
    <w:rsid w:val="005A03F9"/>
    <w:pPr>
      <w:spacing w:before="180" w:line="240" w:lineRule="auto"/>
      <w:ind w:left="709" w:hanging="709"/>
    </w:pPr>
  </w:style>
  <w:style w:type="paragraph" w:customStyle="1" w:styleId="SubitemHead">
    <w:name w:val="SubitemHead"/>
    <w:aliases w:val="issh"/>
    <w:basedOn w:val="OPCParaBase"/>
    <w:rsid w:val="005A03F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A03F9"/>
    <w:pPr>
      <w:spacing w:before="40" w:line="240" w:lineRule="auto"/>
      <w:ind w:left="1134"/>
    </w:pPr>
  </w:style>
  <w:style w:type="paragraph" w:customStyle="1" w:styleId="SubsectionHead">
    <w:name w:val="SubsectionHead"/>
    <w:aliases w:val="ssh"/>
    <w:basedOn w:val="OPCParaBase"/>
    <w:next w:val="subsection"/>
    <w:rsid w:val="005A03F9"/>
    <w:pPr>
      <w:keepNext/>
      <w:keepLines/>
      <w:spacing w:before="240" w:line="240" w:lineRule="auto"/>
      <w:ind w:left="1134"/>
    </w:pPr>
    <w:rPr>
      <w:i/>
    </w:rPr>
  </w:style>
  <w:style w:type="paragraph" w:customStyle="1" w:styleId="Tablea">
    <w:name w:val="Table(a)"/>
    <w:aliases w:val="ta"/>
    <w:basedOn w:val="OPCParaBase"/>
    <w:rsid w:val="005A03F9"/>
    <w:pPr>
      <w:spacing w:before="60" w:line="240" w:lineRule="auto"/>
      <w:ind w:left="284" w:hanging="284"/>
    </w:pPr>
    <w:rPr>
      <w:sz w:val="20"/>
    </w:rPr>
  </w:style>
  <w:style w:type="paragraph" w:customStyle="1" w:styleId="TableAA">
    <w:name w:val="Table(AA)"/>
    <w:aliases w:val="taaa"/>
    <w:basedOn w:val="OPCParaBase"/>
    <w:rsid w:val="005A03F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A03F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A03F9"/>
    <w:pPr>
      <w:spacing w:before="60" w:line="240" w:lineRule="atLeast"/>
    </w:pPr>
    <w:rPr>
      <w:sz w:val="20"/>
    </w:rPr>
  </w:style>
  <w:style w:type="paragraph" w:customStyle="1" w:styleId="TLPBoxTextnote">
    <w:name w:val="TLPBoxText(note"/>
    <w:aliases w:val="right)"/>
    <w:basedOn w:val="OPCParaBase"/>
    <w:rsid w:val="005A03F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A03F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A03F9"/>
    <w:pPr>
      <w:spacing w:before="122" w:line="198" w:lineRule="exact"/>
      <w:ind w:left="1985" w:hanging="851"/>
      <w:jc w:val="right"/>
    </w:pPr>
    <w:rPr>
      <w:sz w:val="18"/>
    </w:rPr>
  </w:style>
  <w:style w:type="paragraph" w:customStyle="1" w:styleId="TLPTableBullet">
    <w:name w:val="TLPTableBullet"/>
    <w:aliases w:val="ttb"/>
    <w:basedOn w:val="OPCParaBase"/>
    <w:rsid w:val="005A03F9"/>
    <w:pPr>
      <w:spacing w:line="240" w:lineRule="exact"/>
      <w:ind w:left="284" w:hanging="284"/>
    </w:pPr>
    <w:rPr>
      <w:sz w:val="20"/>
    </w:rPr>
  </w:style>
  <w:style w:type="paragraph" w:styleId="TOC1">
    <w:name w:val="toc 1"/>
    <w:basedOn w:val="OPCParaBase"/>
    <w:next w:val="Normal"/>
    <w:uiPriority w:val="39"/>
    <w:semiHidden/>
    <w:unhideWhenUsed/>
    <w:rsid w:val="005A03F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5A03F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5A03F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5A03F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5A03F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5A03F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5A03F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A03F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5A03F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A03F9"/>
    <w:pPr>
      <w:keepLines/>
      <w:spacing w:before="240" w:after="120" w:line="240" w:lineRule="auto"/>
      <w:ind w:left="794"/>
    </w:pPr>
    <w:rPr>
      <w:b/>
      <w:kern w:val="28"/>
      <w:sz w:val="20"/>
    </w:rPr>
  </w:style>
  <w:style w:type="paragraph" w:customStyle="1" w:styleId="TofSectsHeading">
    <w:name w:val="TofSects(Heading)"/>
    <w:basedOn w:val="OPCParaBase"/>
    <w:rsid w:val="005A03F9"/>
    <w:pPr>
      <w:spacing w:before="240" w:after="120" w:line="240" w:lineRule="auto"/>
    </w:pPr>
    <w:rPr>
      <w:b/>
      <w:sz w:val="24"/>
    </w:rPr>
  </w:style>
  <w:style w:type="paragraph" w:customStyle="1" w:styleId="TofSectsSection">
    <w:name w:val="TofSects(Section)"/>
    <w:basedOn w:val="OPCParaBase"/>
    <w:rsid w:val="005A03F9"/>
    <w:pPr>
      <w:keepLines/>
      <w:spacing w:before="40" w:line="240" w:lineRule="auto"/>
      <w:ind w:left="1588" w:hanging="794"/>
    </w:pPr>
    <w:rPr>
      <w:kern w:val="28"/>
      <w:sz w:val="18"/>
    </w:rPr>
  </w:style>
  <w:style w:type="paragraph" w:customStyle="1" w:styleId="TofSectsSubdiv">
    <w:name w:val="TofSects(Subdiv)"/>
    <w:basedOn w:val="OPCParaBase"/>
    <w:rsid w:val="005A03F9"/>
    <w:pPr>
      <w:keepLines/>
      <w:spacing w:before="80" w:line="240" w:lineRule="auto"/>
      <w:ind w:left="1588" w:hanging="794"/>
    </w:pPr>
    <w:rPr>
      <w:kern w:val="28"/>
    </w:rPr>
  </w:style>
  <w:style w:type="paragraph" w:customStyle="1" w:styleId="WRStyle">
    <w:name w:val="WR Style"/>
    <w:aliases w:val="WR"/>
    <w:basedOn w:val="OPCParaBase"/>
    <w:rsid w:val="005A03F9"/>
    <w:pPr>
      <w:spacing w:before="240" w:line="240" w:lineRule="auto"/>
      <w:ind w:left="284" w:hanging="284"/>
    </w:pPr>
    <w:rPr>
      <w:b/>
      <w:i/>
      <w:kern w:val="28"/>
      <w:sz w:val="24"/>
    </w:rPr>
  </w:style>
  <w:style w:type="paragraph" w:customStyle="1" w:styleId="notepara">
    <w:name w:val="note(para)"/>
    <w:aliases w:val="na"/>
    <w:basedOn w:val="OPCParaBase"/>
    <w:rsid w:val="005A03F9"/>
    <w:pPr>
      <w:spacing w:before="40" w:line="198" w:lineRule="exact"/>
      <w:ind w:left="2354" w:hanging="369"/>
    </w:pPr>
    <w:rPr>
      <w:sz w:val="18"/>
    </w:rPr>
  </w:style>
  <w:style w:type="paragraph" w:styleId="Footer">
    <w:name w:val="footer"/>
    <w:link w:val="FooterChar"/>
    <w:rsid w:val="005A03F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A03F9"/>
    <w:rPr>
      <w:rFonts w:eastAsia="Times New Roman" w:cs="Times New Roman"/>
      <w:sz w:val="22"/>
      <w:szCs w:val="24"/>
      <w:lang w:eastAsia="en-AU"/>
    </w:rPr>
  </w:style>
  <w:style w:type="character" w:styleId="LineNumber">
    <w:name w:val="line number"/>
    <w:basedOn w:val="OPCCharBase"/>
    <w:uiPriority w:val="99"/>
    <w:semiHidden/>
    <w:unhideWhenUsed/>
    <w:rsid w:val="005A03F9"/>
    <w:rPr>
      <w:sz w:val="16"/>
    </w:rPr>
  </w:style>
  <w:style w:type="table" w:customStyle="1" w:styleId="CFlag">
    <w:name w:val="CFlag"/>
    <w:basedOn w:val="TableNormal"/>
    <w:uiPriority w:val="99"/>
    <w:rsid w:val="005A03F9"/>
    <w:rPr>
      <w:rFonts w:eastAsia="Times New Roman" w:cs="Times New Roman"/>
      <w:lang w:eastAsia="en-AU"/>
    </w:rPr>
    <w:tblPr/>
  </w:style>
  <w:style w:type="paragraph" w:styleId="BalloonText">
    <w:name w:val="Balloon Text"/>
    <w:basedOn w:val="Normal"/>
    <w:link w:val="BalloonTextChar"/>
    <w:uiPriority w:val="99"/>
    <w:semiHidden/>
    <w:unhideWhenUsed/>
    <w:rsid w:val="005A03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3F9"/>
    <w:rPr>
      <w:rFonts w:ascii="Tahoma" w:hAnsi="Tahoma" w:cs="Tahoma"/>
      <w:sz w:val="16"/>
      <w:szCs w:val="16"/>
    </w:rPr>
  </w:style>
  <w:style w:type="table" w:styleId="TableGrid">
    <w:name w:val="Table Grid"/>
    <w:basedOn w:val="TableNormal"/>
    <w:uiPriority w:val="59"/>
    <w:rsid w:val="005A0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5A03F9"/>
    <w:rPr>
      <w:b/>
      <w:sz w:val="28"/>
      <w:szCs w:val="32"/>
    </w:rPr>
  </w:style>
  <w:style w:type="paragraph" w:customStyle="1" w:styleId="LegislationMadeUnder">
    <w:name w:val="LegislationMadeUnder"/>
    <w:basedOn w:val="OPCParaBase"/>
    <w:next w:val="Normal"/>
    <w:rsid w:val="005A03F9"/>
    <w:rPr>
      <w:i/>
      <w:sz w:val="32"/>
      <w:szCs w:val="32"/>
    </w:rPr>
  </w:style>
  <w:style w:type="paragraph" w:customStyle="1" w:styleId="SignCoverPageEnd">
    <w:name w:val="SignCoverPageEnd"/>
    <w:basedOn w:val="OPCParaBase"/>
    <w:next w:val="Normal"/>
    <w:rsid w:val="005A03F9"/>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5A03F9"/>
    <w:pPr>
      <w:pBdr>
        <w:top w:val="single" w:sz="4" w:space="1" w:color="auto"/>
      </w:pBdr>
      <w:spacing w:before="360"/>
      <w:ind w:right="397"/>
      <w:jc w:val="both"/>
    </w:pPr>
  </w:style>
  <w:style w:type="paragraph" w:customStyle="1" w:styleId="NotesHeading1">
    <w:name w:val="NotesHeading 1"/>
    <w:basedOn w:val="OPCParaBase"/>
    <w:next w:val="Normal"/>
    <w:rsid w:val="005A03F9"/>
    <w:rPr>
      <w:b/>
      <w:sz w:val="28"/>
      <w:szCs w:val="28"/>
    </w:rPr>
  </w:style>
  <w:style w:type="paragraph" w:customStyle="1" w:styleId="NotesHeading2">
    <w:name w:val="NotesHeading 2"/>
    <w:basedOn w:val="OPCParaBase"/>
    <w:next w:val="Normal"/>
    <w:rsid w:val="005A03F9"/>
    <w:rPr>
      <w:b/>
      <w:sz w:val="28"/>
      <w:szCs w:val="28"/>
    </w:rPr>
  </w:style>
  <w:style w:type="paragraph" w:customStyle="1" w:styleId="ENotesText">
    <w:name w:val="ENotesText"/>
    <w:aliases w:val="Ent"/>
    <w:basedOn w:val="OPCParaBase"/>
    <w:next w:val="Normal"/>
    <w:rsid w:val="005A03F9"/>
    <w:pPr>
      <w:spacing w:before="120"/>
    </w:pPr>
  </w:style>
  <w:style w:type="paragraph" w:customStyle="1" w:styleId="CompiledActNo">
    <w:name w:val="CompiledActNo"/>
    <w:basedOn w:val="OPCParaBase"/>
    <w:next w:val="Normal"/>
    <w:rsid w:val="005A03F9"/>
    <w:rPr>
      <w:b/>
      <w:sz w:val="24"/>
      <w:szCs w:val="24"/>
    </w:rPr>
  </w:style>
  <w:style w:type="paragraph" w:customStyle="1" w:styleId="CompiledMadeUnder">
    <w:name w:val="CompiledMadeUnder"/>
    <w:basedOn w:val="OPCParaBase"/>
    <w:next w:val="Normal"/>
    <w:rsid w:val="005A03F9"/>
    <w:rPr>
      <w:i/>
      <w:sz w:val="24"/>
      <w:szCs w:val="24"/>
    </w:rPr>
  </w:style>
  <w:style w:type="paragraph" w:customStyle="1" w:styleId="Paragraphsub-sub-sub">
    <w:name w:val="Paragraph(sub-sub-sub)"/>
    <w:aliases w:val="aaaa"/>
    <w:basedOn w:val="OPCParaBase"/>
    <w:rsid w:val="005A03F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A03F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A03F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A03F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A03F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A03F9"/>
    <w:pPr>
      <w:spacing w:before="60" w:line="240" w:lineRule="auto"/>
    </w:pPr>
    <w:rPr>
      <w:rFonts w:cs="Arial"/>
      <w:sz w:val="20"/>
      <w:szCs w:val="22"/>
    </w:rPr>
  </w:style>
  <w:style w:type="paragraph" w:customStyle="1" w:styleId="NoteToSubpara">
    <w:name w:val="NoteToSubpara"/>
    <w:aliases w:val="nts"/>
    <w:basedOn w:val="OPCParaBase"/>
    <w:rsid w:val="005A03F9"/>
    <w:pPr>
      <w:spacing w:before="40" w:line="198" w:lineRule="exact"/>
      <w:ind w:left="2835" w:hanging="709"/>
    </w:pPr>
    <w:rPr>
      <w:sz w:val="18"/>
    </w:rPr>
  </w:style>
  <w:style w:type="paragraph" w:customStyle="1" w:styleId="ENoteTableHeading">
    <w:name w:val="ENoteTableHeading"/>
    <w:aliases w:val="enth"/>
    <w:basedOn w:val="OPCParaBase"/>
    <w:rsid w:val="005A03F9"/>
    <w:pPr>
      <w:keepNext/>
      <w:spacing w:before="60" w:line="240" w:lineRule="atLeast"/>
    </w:pPr>
    <w:rPr>
      <w:rFonts w:ascii="Arial" w:hAnsi="Arial"/>
      <w:b/>
      <w:sz w:val="16"/>
    </w:rPr>
  </w:style>
  <w:style w:type="paragraph" w:customStyle="1" w:styleId="ENoteTTi">
    <w:name w:val="ENoteTTi"/>
    <w:aliases w:val="entti"/>
    <w:basedOn w:val="OPCParaBase"/>
    <w:rsid w:val="005A03F9"/>
    <w:pPr>
      <w:keepNext/>
      <w:spacing w:before="60" w:line="240" w:lineRule="atLeast"/>
      <w:ind w:left="170"/>
    </w:pPr>
    <w:rPr>
      <w:sz w:val="16"/>
    </w:rPr>
  </w:style>
  <w:style w:type="paragraph" w:customStyle="1" w:styleId="ENotesHeading1">
    <w:name w:val="ENotesHeading 1"/>
    <w:aliases w:val="Enh1"/>
    <w:basedOn w:val="OPCParaBase"/>
    <w:next w:val="Normal"/>
    <w:rsid w:val="005A03F9"/>
    <w:pPr>
      <w:spacing w:before="120"/>
      <w:outlineLvl w:val="1"/>
    </w:pPr>
    <w:rPr>
      <w:b/>
      <w:sz w:val="28"/>
      <w:szCs w:val="28"/>
    </w:rPr>
  </w:style>
  <w:style w:type="paragraph" w:customStyle="1" w:styleId="ENotesHeading2">
    <w:name w:val="ENotesHeading 2"/>
    <w:aliases w:val="Enh2"/>
    <w:basedOn w:val="OPCParaBase"/>
    <w:next w:val="Normal"/>
    <w:rsid w:val="005A03F9"/>
    <w:pPr>
      <w:spacing w:before="120" w:after="120"/>
      <w:outlineLvl w:val="2"/>
    </w:pPr>
    <w:rPr>
      <w:b/>
      <w:sz w:val="24"/>
      <w:szCs w:val="28"/>
    </w:rPr>
  </w:style>
  <w:style w:type="paragraph" w:customStyle="1" w:styleId="ENoteTTIndentHeading">
    <w:name w:val="ENoteTTIndentHeading"/>
    <w:aliases w:val="enTTHi"/>
    <w:basedOn w:val="OPCParaBase"/>
    <w:rsid w:val="005A03F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A03F9"/>
    <w:pPr>
      <w:spacing w:before="60" w:line="240" w:lineRule="atLeast"/>
    </w:pPr>
    <w:rPr>
      <w:sz w:val="16"/>
    </w:rPr>
  </w:style>
  <w:style w:type="paragraph" w:customStyle="1" w:styleId="MadeunderText">
    <w:name w:val="MadeunderText"/>
    <w:basedOn w:val="OPCParaBase"/>
    <w:next w:val="CompiledMadeUnder"/>
    <w:rsid w:val="005A03F9"/>
    <w:pPr>
      <w:spacing w:before="240"/>
    </w:pPr>
    <w:rPr>
      <w:sz w:val="24"/>
      <w:szCs w:val="24"/>
    </w:rPr>
  </w:style>
  <w:style w:type="paragraph" w:customStyle="1" w:styleId="ENotesHeading3">
    <w:name w:val="ENotesHeading 3"/>
    <w:aliases w:val="Enh3"/>
    <w:basedOn w:val="OPCParaBase"/>
    <w:next w:val="Normal"/>
    <w:rsid w:val="005A03F9"/>
    <w:pPr>
      <w:keepNext/>
      <w:spacing w:before="120" w:line="240" w:lineRule="auto"/>
      <w:outlineLvl w:val="4"/>
    </w:pPr>
    <w:rPr>
      <w:b/>
      <w:szCs w:val="24"/>
    </w:rPr>
  </w:style>
  <w:style w:type="character" w:customStyle="1" w:styleId="CharSubPartTextCASA">
    <w:name w:val="CharSubPartText(CASA)"/>
    <w:basedOn w:val="OPCCharBase"/>
    <w:uiPriority w:val="1"/>
    <w:rsid w:val="005A03F9"/>
  </w:style>
  <w:style w:type="character" w:customStyle="1" w:styleId="CharSubPartNoCASA">
    <w:name w:val="CharSubPartNo(CASA)"/>
    <w:basedOn w:val="OPCCharBase"/>
    <w:uiPriority w:val="1"/>
    <w:rsid w:val="005A03F9"/>
  </w:style>
  <w:style w:type="paragraph" w:customStyle="1" w:styleId="ENoteTTIndentHeadingSub">
    <w:name w:val="ENoteTTIndentHeadingSub"/>
    <w:aliases w:val="enTTHis"/>
    <w:basedOn w:val="OPCParaBase"/>
    <w:rsid w:val="005A03F9"/>
    <w:pPr>
      <w:keepNext/>
      <w:spacing w:before="60" w:line="240" w:lineRule="atLeast"/>
      <w:ind w:left="340"/>
    </w:pPr>
    <w:rPr>
      <w:b/>
      <w:sz w:val="16"/>
    </w:rPr>
  </w:style>
  <w:style w:type="paragraph" w:customStyle="1" w:styleId="ENoteTTiSub">
    <w:name w:val="ENoteTTiSub"/>
    <w:aliases w:val="enttis"/>
    <w:basedOn w:val="OPCParaBase"/>
    <w:rsid w:val="005A03F9"/>
    <w:pPr>
      <w:keepNext/>
      <w:spacing w:before="60" w:line="240" w:lineRule="atLeast"/>
      <w:ind w:left="340"/>
    </w:pPr>
    <w:rPr>
      <w:sz w:val="16"/>
    </w:rPr>
  </w:style>
  <w:style w:type="paragraph" w:customStyle="1" w:styleId="SubDivisionMigration">
    <w:name w:val="SubDivisionMigration"/>
    <w:aliases w:val="sdm"/>
    <w:basedOn w:val="OPCParaBase"/>
    <w:rsid w:val="005A03F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A03F9"/>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5A03F9"/>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5A03F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A03F9"/>
    <w:rPr>
      <w:sz w:val="22"/>
    </w:rPr>
  </w:style>
  <w:style w:type="paragraph" w:customStyle="1" w:styleId="SOTextNote">
    <w:name w:val="SO TextNote"/>
    <w:aliases w:val="sont"/>
    <w:basedOn w:val="SOText"/>
    <w:qFormat/>
    <w:rsid w:val="005A03F9"/>
    <w:pPr>
      <w:spacing w:before="122" w:line="198" w:lineRule="exact"/>
      <w:ind w:left="1843" w:hanging="709"/>
    </w:pPr>
    <w:rPr>
      <w:sz w:val="18"/>
    </w:rPr>
  </w:style>
  <w:style w:type="paragraph" w:customStyle="1" w:styleId="SOPara">
    <w:name w:val="SO Para"/>
    <w:aliases w:val="soa"/>
    <w:basedOn w:val="SOText"/>
    <w:link w:val="SOParaChar"/>
    <w:qFormat/>
    <w:rsid w:val="005A03F9"/>
    <w:pPr>
      <w:tabs>
        <w:tab w:val="right" w:pos="1786"/>
      </w:tabs>
      <w:spacing w:before="40"/>
      <w:ind w:left="2070" w:hanging="936"/>
    </w:pPr>
  </w:style>
  <w:style w:type="character" w:customStyle="1" w:styleId="SOParaChar">
    <w:name w:val="SO Para Char"/>
    <w:aliases w:val="soa Char"/>
    <w:basedOn w:val="DefaultParagraphFont"/>
    <w:link w:val="SOPara"/>
    <w:rsid w:val="005A03F9"/>
    <w:rPr>
      <w:sz w:val="22"/>
    </w:rPr>
  </w:style>
  <w:style w:type="paragraph" w:customStyle="1" w:styleId="FileName">
    <w:name w:val="FileName"/>
    <w:basedOn w:val="Normal"/>
    <w:rsid w:val="005A03F9"/>
  </w:style>
  <w:style w:type="paragraph" w:customStyle="1" w:styleId="TableHeading">
    <w:name w:val="TableHeading"/>
    <w:aliases w:val="th"/>
    <w:basedOn w:val="OPCParaBase"/>
    <w:next w:val="Tabletext"/>
    <w:rsid w:val="005A03F9"/>
    <w:pPr>
      <w:keepNext/>
      <w:spacing w:before="60" w:line="240" w:lineRule="atLeast"/>
    </w:pPr>
    <w:rPr>
      <w:b/>
      <w:sz w:val="20"/>
    </w:rPr>
  </w:style>
  <w:style w:type="paragraph" w:customStyle="1" w:styleId="SOHeadBold">
    <w:name w:val="SO HeadBold"/>
    <w:aliases w:val="sohb"/>
    <w:basedOn w:val="SOText"/>
    <w:next w:val="SOText"/>
    <w:link w:val="SOHeadBoldChar"/>
    <w:qFormat/>
    <w:rsid w:val="005A03F9"/>
    <w:rPr>
      <w:b/>
    </w:rPr>
  </w:style>
  <w:style w:type="character" w:customStyle="1" w:styleId="SOHeadBoldChar">
    <w:name w:val="SO HeadBold Char"/>
    <w:aliases w:val="sohb Char"/>
    <w:basedOn w:val="DefaultParagraphFont"/>
    <w:link w:val="SOHeadBold"/>
    <w:rsid w:val="005A03F9"/>
    <w:rPr>
      <w:b/>
      <w:sz w:val="22"/>
    </w:rPr>
  </w:style>
  <w:style w:type="paragraph" w:customStyle="1" w:styleId="SOHeadItalic">
    <w:name w:val="SO HeadItalic"/>
    <w:aliases w:val="sohi"/>
    <w:basedOn w:val="SOText"/>
    <w:next w:val="SOText"/>
    <w:link w:val="SOHeadItalicChar"/>
    <w:qFormat/>
    <w:rsid w:val="005A03F9"/>
    <w:rPr>
      <w:i/>
    </w:rPr>
  </w:style>
  <w:style w:type="character" w:customStyle="1" w:styleId="SOHeadItalicChar">
    <w:name w:val="SO HeadItalic Char"/>
    <w:aliases w:val="sohi Char"/>
    <w:basedOn w:val="DefaultParagraphFont"/>
    <w:link w:val="SOHeadItalic"/>
    <w:rsid w:val="005A03F9"/>
    <w:rPr>
      <w:i/>
      <w:sz w:val="22"/>
    </w:rPr>
  </w:style>
  <w:style w:type="paragraph" w:customStyle="1" w:styleId="SOBullet">
    <w:name w:val="SO Bullet"/>
    <w:aliases w:val="sotb"/>
    <w:basedOn w:val="SOText"/>
    <w:link w:val="SOBulletChar"/>
    <w:qFormat/>
    <w:rsid w:val="005A03F9"/>
    <w:pPr>
      <w:ind w:left="1559" w:hanging="425"/>
    </w:pPr>
  </w:style>
  <w:style w:type="character" w:customStyle="1" w:styleId="SOBulletChar">
    <w:name w:val="SO Bullet Char"/>
    <w:aliases w:val="sotb Char"/>
    <w:basedOn w:val="DefaultParagraphFont"/>
    <w:link w:val="SOBullet"/>
    <w:rsid w:val="005A03F9"/>
    <w:rPr>
      <w:sz w:val="22"/>
    </w:rPr>
  </w:style>
  <w:style w:type="paragraph" w:customStyle="1" w:styleId="SOBulletNote">
    <w:name w:val="SO BulletNote"/>
    <w:aliases w:val="sonb"/>
    <w:basedOn w:val="SOTextNote"/>
    <w:link w:val="SOBulletNoteChar"/>
    <w:qFormat/>
    <w:rsid w:val="005A03F9"/>
    <w:pPr>
      <w:tabs>
        <w:tab w:val="left" w:pos="1560"/>
      </w:tabs>
      <w:ind w:left="2268" w:hanging="1134"/>
    </w:pPr>
  </w:style>
  <w:style w:type="character" w:customStyle="1" w:styleId="SOBulletNoteChar">
    <w:name w:val="SO BulletNote Char"/>
    <w:aliases w:val="sonb Char"/>
    <w:basedOn w:val="DefaultParagraphFont"/>
    <w:link w:val="SOBulletNote"/>
    <w:rsid w:val="005A03F9"/>
    <w:rPr>
      <w:sz w:val="18"/>
    </w:rPr>
  </w:style>
  <w:style w:type="paragraph" w:customStyle="1" w:styleId="SOText2">
    <w:name w:val="SO Text2"/>
    <w:aliases w:val="sot2"/>
    <w:basedOn w:val="Normal"/>
    <w:next w:val="SOText"/>
    <w:link w:val="SOText2Char"/>
    <w:rsid w:val="005A03F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A03F9"/>
    <w:rPr>
      <w:sz w:val="22"/>
    </w:rPr>
  </w:style>
  <w:style w:type="paragraph" w:customStyle="1" w:styleId="SubPartCASA">
    <w:name w:val="SubPart(CASA)"/>
    <w:aliases w:val="csp"/>
    <w:basedOn w:val="OPCParaBase"/>
    <w:next w:val="ActHead3"/>
    <w:rsid w:val="005A03F9"/>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3254BD"/>
    <w:rPr>
      <w:rFonts w:eastAsia="Times New Roman" w:cs="Times New Roman"/>
      <w:sz w:val="22"/>
      <w:lang w:eastAsia="en-AU"/>
    </w:rPr>
  </w:style>
  <w:style w:type="character" w:customStyle="1" w:styleId="notetextChar">
    <w:name w:val="note(text) Char"/>
    <w:aliases w:val="n Char"/>
    <w:basedOn w:val="DefaultParagraphFont"/>
    <w:link w:val="notetext"/>
    <w:rsid w:val="003254BD"/>
    <w:rPr>
      <w:rFonts w:eastAsia="Times New Roman" w:cs="Times New Roman"/>
      <w:sz w:val="18"/>
      <w:lang w:eastAsia="en-AU"/>
    </w:rPr>
  </w:style>
  <w:style w:type="character" w:customStyle="1" w:styleId="Heading1Char">
    <w:name w:val="Heading 1 Char"/>
    <w:basedOn w:val="DefaultParagraphFont"/>
    <w:link w:val="Heading1"/>
    <w:uiPriority w:val="9"/>
    <w:rsid w:val="003254B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254B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254B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3254B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3254B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3254B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3254B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3254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3254BD"/>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C102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39</Pages>
  <Words>6605</Words>
  <Characters>37654</Characters>
  <Application>Microsoft Office Word</Application>
  <DocSecurity>4</DocSecurity>
  <PresentationFormat/>
  <Lines>313</Lines>
  <Paragraphs>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44171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2016-09-23T08:32:00Z</cp:lastPrinted>
  <dcterms:created xsi:type="dcterms:W3CDTF">2016-10-05T02:39:00Z</dcterms:created>
  <dcterms:modified xsi:type="dcterms:W3CDTF">2016-10-05T02:39:00Z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Therapeutic Goods (Permissible Ingredients) Amendment (2016 Measures No. 1) Determination 2016</vt:lpwstr>
  </property>
  <property fmtid="{D5CDD505-2E9C-101B-9397-08002B2CF9AE}" pid="4" name="Class">
    <vt:lpwstr>Determination</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
  </property>
  <property fmtid="{D5CDD505-2E9C-101B-9397-08002B2CF9AE}" pid="9" name="ID">
    <vt:lpwstr>OPC62258</vt:lpwstr>
  </property>
  <property fmtid="{D5CDD505-2E9C-101B-9397-08002B2CF9AE}" pid="10" name="Classification">
    <vt:lpwstr> </vt:lpwstr>
  </property>
  <property fmtid="{D5CDD505-2E9C-101B-9397-08002B2CF9AE}" pid="11" name="DLM">
    <vt:lpwstr> </vt:lpwstr>
  </property>
  <property fmtid="{D5CDD505-2E9C-101B-9397-08002B2CF9AE}" pid="12" name="ActMadeUnder">
    <vt:lpwstr>subsection 26BB(1) of the Therapeutic Goods Act 1989</vt:lpwstr>
  </property>
  <property fmtid="{D5CDD505-2E9C-101B-9397-08002B2CF9AE}" pid="13" name="NonLegInst">
    <vt:lpwstr>0</vt:lpwstr>
  </property>
  <property fmtid="{D5CDD505-2E9C-101B-9397-08002B2CF9AE}" pid="14" name="DoNotAsk">
    <vt:lpwstr>0</vt:lpwstr>
  </property>
  <property fmtid="{D5CDD505-2E9C-101B-9397-08002B2CF9AE}" pid="15" name="ChangedTitle">
    <vt:lpwstr/>
  </property>
  <property fmtid="{D5CDD505-2E9C-101B-9397-08002B2CF9AE}" pid="16" name="Number">
    <vt:lpwstr>A</vt:lpwstr>
  </property>
  <property fmtid="{D5CDD505-2E9C-101B-9397-08002B2CF9AE}" pid="17" name="CounterSign">
    <vt:lpwstr/>
  </property>
  <property fmtid="{D5CDD505-2E9C-101B-9397-08002B2CF9AE}" pid="18" name="DateMade">
    <vt:lpwstr>30 September 2016</vt:lpwstr>
  </property>
</Properties>
</file>