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3321F5" w:rsidRDefault="00193461" w:rsidP="00C63713">
      <w:pPr>
        <w:rPr>
          <w:sz w:val="28"/>
        </w:rPr>
      </w:pPr>
      <w:r w:rsidRPr="003321F5">
        <w:rPr>
          <w:noProof/>
          <w:lang w:eastAsia="en-AU"/>
        </w:rPr>
        <w:drawing>
          <wp:inline distT="0" distB="0" distL="0" distR="0" wp14:anchorId="279E2B24" wp14:editId="79E9D718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3321F5" w:rsidRDefault="0048364F" w:rsidP="0048364F">
      <w:pPr>
        <w:rPr>
          <w:sz w:val="19"/>
        </w:rPr>
      </w:pPr>
    </w:p>
    <w:p w:rsidR="0048364F" w:rsidRPr="003321F5" w:rsidRDefault="005330BD" w:rsidP="0048364F">
      <w:pPr>
        <w:pStyle w:val="ShortT"/>
      </w:pPr>
      <w:r w:rsidRPr="003321F5">
        <w:t xml:space="preserve">Environment Protection and Biodiversity Conservation Amendment </w:t>
      </w:r>
      <w:r w:rsidR="000B2A72" w:rsidRPr="003321F5">
        <w:t xml:space="preserve">(Cost Recovery) </w:t>
      </w:r>
      <w:r w:rsidRPr="003321F5">
        <w:t>Regulation</w:t>
      </w:r>
      <w:r w:rsidR="003321F5" w:rsidRPr="003321F5">
        <w:t> </w:t>
      </w:r>
      <w:r w:rsidR="000B2A72" w:rsidRPr="003321F5">
        <w:t>2016</w:t>
      </w:r>
    </w:p>
    <w:p w:rsidR="005330BD" w:rsidRPr="003321F5" w:rsidRDefault="005330BD" w:rsidP="002F675F">
      <w:pPr>
        <w:pStyle w:val="SignCoverPageStart"/>
        <w:spacing w:before="240"/>
        <w:rPr>
          <w:szCs w:val="22"/>
        </w:rPr>
      </w:pPr>
      <w:r w:rsidRPr="003321F5">
        <w:rPr>
          <w:szCs w:val="22"/>
        </w:rPr>
        <w:t>I, General the Honourable Sir Peter Cosgrove AK MC (Ret</w:t>
      </w:r>
      <w:r w:rsidR="00A919F9" w:rsidRPr="003321F5">
        <w:rPr>
          <w:szCs w:val="22"/>
        </w:rPr>
        <w:t>’</w:t>
      </w:r>
      <w:r w:rsidRPr="003321F5">
        <w:rPr>
          <w:szCs w:val="22"/>
        </w:rPr>
        <w:t xml:space="preserve">d), </w:t>
      </w:r>
      <w:r w:rsidR="003321F5" w:rsidRPr="003321F5">
        <w:rPr>
          <w:szCs w:val="22"/>
        </w:rPr>
        <w:t>Governor</w:t>
      </w:r>
      <w:r w:rsidR="003321F5">
        <w:rPr>
          <w:szCs w:val="22"/>
        </w:rPr>
        <w:noBreakHyphen/>
      </w:r>
      <w:r w:rsidR="003321F5" w:rsidRPr="003321F5">
        <w:rPr>
          <w:szCs w:val="22"/>
        </w:rPr>
        <w:t>General</w:t>
      </w:r>
      <w:r w:rsidRPr="003321F5">
        <w:rPr>
          <w:szCs w:val="22"/>
        </w:rPr>
        <w:t xml:space="preserve"> of the Commonwealth of Australia, acting with the advice of the Federal Executive Council, make the following regulation.</w:t>
      </w:r>
    </w:p>
    <w:p w:rsidR="005330BD" w:rsidRPr="003321F5" w:rsidRDefault="005330BD" w:rsidP="002F675F">
      <w:pPr>
        <w:keepNext/>
        <w:spacing w:before="720" w:line="240" w:lineRule="atLeast"/>
        <w:ind w:right="397"/>
        <w:jc w:val="both"/>
        <w:rPr>
          <w:szCs w:val="22"/>
        </w:rPr>
      </w:pPr>
      <w:r w:rsidRPr="003321F5">
        <w:rPr>
          <w:szCs w:val="22"/>
        </w:rPr>
        <w:t xml:space="preserve">Dated </w:t>
      </w:r>
      <w:bookmarkStart w:id="0" w:name="BKCheck15B_1"/>
      <w:bookmarkEnd w:id="0"/>
      <w:r w:rsidRPr="003321F5">
        <w:rPr>
          <w:szCs w:val="22"/>
        </w:rPr>
        <w:fldChar w:fldCharType="begin"/>
      </w:r>
      <w:r w:rsidRPr="003321F5">
        <w:rPr>
          <w:szCs w:val="22"/>
        </w:rPr>
        <w:instrText xml:space="preserve"> DOCPROPERTY  DateMade </w:instrText>
      </w:r>
      <w:r w:rsidRPr="003321F5">
        <w:rPr>
          <w:szCs w:val="22"/>
        </w:rPr>
        <w:fldChar w:fldCharType="separate"/>
      </w:r>
      <w:r w:rsidR="006D3851">
        <w:rPr>
          <w:szCs w:val="22"/>
        </w:rPr>
        <w:t>28 September 2016</w:t>
      </w:r>
      <w:r w:rsidRPr="003321F5">
        <w:rPr>
          <w:szCs w:val="22"/>
        </w:rPr>
        <w:fldChar w:fldCharType="end"/>
      </w:r>
    </w:p>
    <w:p w:rsidR="005330BD" w:rsidRPr="003321F5" w:rsidRDefault="005330BD" w:rsidP="002F675F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3321F5">
        <w:rPr>
          <w:szCs w:val="22"/>
        </w:rPr>
        <w:t>Peter Cosgrove</w:t>
      </w:r>
    </w:p>
    <w:p w:rsidR="005330BD" w:rsidRPr="003321F5" w:rsidRDefault="003321F5" w:rsidP="002F675F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3321F5">
        <w:rPr>
          <w:szCs w:val="22"/>
        </w:rPr>
        <w:t>Governor</w:t>
      </w:r>
      <w:r>
        <w:rPr>
          <w:szCs w:val="22"/>
        </w:rPr>
        <w:noBreakHyphen/>
      </w:r>
      <w:r w:rsidRPr="003321F5">
        <w:rPr>
          <w:szCs w:val="22"/>
        </w:rPr>
        <w:t>General</w:t>
      </w:r>
    </w:p>
    <w:p w:rsidR="005330BD" w:rsidRPr="003321F5" w:rsidRDefault="005330BD" w:rsidP="002F675F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3321F5">
        <w:rPr>
          <w:szCs w:val="22"/>
        </w:rPr>
        <w:t>By His Excellency</w:t>
      </w:r>
      <w:r w:rsidR="00A919F9" w:rsidRPr="003321F5">
        <w:rPr>
          <w:szCs w:val="22"/>
        </w:rPr>
        <w:t>’</w:t>
      </w:r>
      <w:r w:rsidRPr="003321F5">
        <w:rPr>
          <w:szCs w:val="22"/>
        </w:rPr>
        <w:t>s Command</w:t>
      </w:r>
    </w:p>
    <w:p w:rsidR="005330BD" w:rsidRPr="003321F5" w:rsidRDefault="00033709" w:rsidP="002F675F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3321F5">
        <w:rPr>
          <w:szCs w:val="22"/>
        </w:rPr>
        <w:t>Josh Frydenberg</w:t>
      </w:r>
    </w:p>
    <w:p w:rsidR="005330BD" w:rsidRPr="003321F5" w:rsidRDefault="005330BD" w:rsidP="002F675F">
      <w:pPr>
        <w:pStyle w:val="SignCoverPageEnd"/>
        <w:rPr>
          <w:szCs w:val="22"/>
        </w:rPr>
      </w:pPr>
      <w:r w:rsidRPr="003321F5">
        <w:rPr>
          <w:szCs w:val="22"/>
        </w:rPr>
        <w:t>Minister for the Environment</w:t>
      </w:r>
      <w:r w:rsidR="00033709" w:rsidRPr="003321F5">
        <w:rPr>
          <w:szCs w:val="22"/>
        </w:rPr>
        <w:t xml:space="preserve"> and Energy</w:t>
      </w:r>
    </w:p>
    <w:p w:rsidR="005330BD" w:rsidRPr="003321F5" w:rsidRDefault="005330BD" w:rsidP="002F675F"/>
    <w:p w:rsidR="005330BD" w:rsidRPr="003321F5" w:rsidRDefault="005330BD" w:rsidP="002F675F"/>
    <w:p w:rsidR="005330BD" w:rsidRPr="003321F5" w:rsidRDefault="005330BD" w:rsidP="002F675F"/>
    <w:p w:rsidR="005330BD" w:rsidRPr="003321F5" w:rsidRDefault="005330BD" w:rsidP="005330BD"/>
    <w:p w:rsidR="0048364F" w:rsidRPr="003321F5" w:rsidRDefault="0048364F" w:rsidP="0048364F">
      <w:pPr>
        <w:pStyle w:val="Header"/>
        <w:tabs>
          <w:tab w:val="clear" w:pos="4150"/>
          <w:tab w:val="clear" w:pos="8307"/>
        </w:tabs>
      </w:pPr>
      <w:r w:rsidRPr="003321F5">
        <w:rPr>
          <w:rStyle w:val="CharAmSchNo"/>
        </w:rPr>
        <w:t xml:space="preserve"> </w:t>
      </w:r>
      <w:r w:rsidRPr="003321F5">
        <w:rPr>
          <w:rStyle w:val="CharAmSchText"/>
        </w:rPr>
        <w:t xml:space="preserve"> </w:t>
      </w:r>
    </w:p>
    <w:p w:rsidR="0048364F" w:rsidRPr="003321F5" w:rsidRDefault="0048364F" w:rsidP="0048364F">
      <w:pPr>
        <w:pStyle w:val="Header"/>
        <w:tabs>
          <w:tab w:val="clear" w:pos="4150"/>
          <w:tab w:val="clear" w:pos="8307"/>
        </w:tabs>
      </w:pPr>
      <w:r w:rsidRPr="003321F5">
        <w:rPr>
          <w:rStyle w:val="CharAmPartNo"/>
        </w:rPr>
        <w:t xml:space="preserve"> </w:t>
      </w:r>
      <w:r w:rsidRPr="003321F5">
        <w:rPr>
          <w:rStyle w:val="CharAmPartText"/>
        </w:rPr>
        <w:t xml:space="preserve"> </w:t>
      </w:r>
    </w:p>
    <w:p w:rsidR="0048364F" w:rsidRPr="003321F5" w:rsidRDefault="0048364F" w:rsidP="0048364F">
      <w:pPr>
        <w:sectPr w:rsidR="0048364F" w:rsidRPr="003321F5" w:rsidSect="00CB706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:rsidR="0048364F" w:rsidRPr="003321F5" w:rsidRDefault="0048364F" w:rsidP="00E029BB">
      <w:pPr>
        <w:rPr>
          <w:sz w:val="36"/>
        </w:rPr>
      </w:pPr>
      <w:r w:rsidRPr="003321F5">
        <w:rPr>
          <w:sz w:val="36"/>
        </w:rPr>
        <w:lastRenderedPageBreak/>
        <w:t>Contents</w:t>
      </w:r>
    </w:p>
    <w:bookmarkStart w:id="1" w:name="BKCheck15B_2"/>
    <w:bookmarkEnd w:id="1"/>
    <w:p w:rsidR="008B064E" w:rsidRPr="003321F5" w:rsidRDefault="008B064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321F5">
        <w:fldChar w:fldCharType="begin"/>
      </w:r>
      <w:r w:rsidRPr="003321F5">
        <w:instrText xml:space="preserve"> TOC \o "1-9" </w:instrText>
      </w:r>
      <w:r w:rsidRPr="003321F5">
        <w:fldChar w:fldCharType="separate"/>
      </w:r>
      <w:r w:rsidRPr="003321F5">
        <w:rPr>
          <w:noProof/>
        </w:rPr>
        <w:t>1</w:t>
      </w:r>
      <w:r w:rsidRPr="003321F5">
        <w:rPr>
          <w:noProof/>
        </w:rPr>
        <w:tab/>
        <w:t>Name</w:t>
      </w:r>
      <w:r w:rsidRPr="003321F5">
        <w:rPr>
          <w:noProof/>
        </w:rPr>
        <w:tab/>
      </w:r>
      <w:r w:rsidRPr="003321F5">
        <w:rPr>
          <w:noProof/>
        </w:rPr>
        <w:fldChar w:fldCharType="begin"/>
      </w:r>
      <w:r w:rsidRPr="003321F5">
        <w:rPr>
          <w:noProof/>
        </w:rPr>
        <w:instrText xml:space="preserve"> PAGEREF _Toc460853504 \h </w:instrText>
      </w:r>
      <w:r w:rsidRPr="003321F5">
        <w:rPr>
          <w:noProof/>
        </w:rPr>
      </w:r>
      <w:r w:rsidRPr="003321F5">
        <w:rPr>
          <w:noProof/>
        </w:rPr>
        <w:fldChar w:fldCharType="separate"/>
      </w:r>
      <w:r w:rsidR="006D3851">
        <w:rPr>
          <w:noProof/>
        </w:rPr>
        <w:t>1</w:t>
      </w:r>
      <w:r w:rsidRPr="003321F5">
        <w:rPr>
          <w:noProof/>
        </w:rPr>
        <w:fldChar w:fldCharType="end"/>
      </w:r>
    </w:p>
    <w:p w:rsidR="008B064E" w:rsidRPr="003321F5" w:rsidRDefault="008B064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321F5">
        <w:rPr>
          <w:noProof/>
        </w:rPr>
        <w:t>2</w:t>
      </w:r>
      <w:r w:rsidRPr="003321F5">
        <w:rPr>
          <w:noProof/>
        </w:rPr>
        <w:tab/>
        <w:t>Commencement</w:t>
      </w:r>
      <w:r w:rsidRPr="003321F5">
        <w:rPr>
          <w:noProof/>
        </w:rPr>
        <w:tab/>
      </w:r>
      <w:r w:rsidRPr="003321F5">
        <w:rPr>
          <w:noProof/>
        </w:rPr>
        <w:fldChar w:fldCharType="begin"/>
      </w:r>
      <w:r w:rsidRPr="003321F5">
        <w:rPr>
          <w:noProof/>
        </w:rPr>
        <w:instrText xml:space="preserve"> PAGEREF _Toc460853505 \h </w:instrText>
      </w:r>
      <w:r w:rsidRPr="003321F5">
        <w:rPr>
          <w:noProof/>
        </w:rPr>
      </w:r>
      <w:r w:rsidRPr="003321F5">
        <w:rPr>
          <w:noProof/>
        </w:rPr>
        <w:fldChar w:fldCharType="separate"/>
      </w:r>
      <w:r w:rsidR="006D3851">
        <w:rPr>
          <w:noProof/>
        </w:rPr>
        <w:t>1</w:t>
      </w:r>
      <w:r w:rsidRPr="003321F5">
        <w:rPr>
          <w:noProof/>
        </w:rPr>
        <w:fldChar w:fldCharType="end"/>
      </w:r>
    </w:p>
    <w:p w:rsidR="008B064E" w:rsidRPr="003321F5" w:rsidRDefault="008B064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321F5">
        <w:rPr>
          <w:noProof/>
        </w:rPr>
        <w:t>3</w:t>
      </w:r>
      <w:r w:rsidRPr="003321F5">
        <w:rPr>
          <w:noProof/>
        </w:rPr>
        <w:tab/>
        <w:t>Authority</w:t>
      </w:r>
      <w:r w:rsidRPr="003321F5">
        <w:rPr>
          <w:noProof/>
        </w:rPr>
        <w:tab/>
      </w:r>
      <w:r w:rsidRPr="003321F5">
        <w:rPr>
          <w:noProof/>
        </w:rPr>
        <w:fldChar w:fldCharType="begin"/>
      </w:r>
      <w:r w:rsidRPr="003321F5">
        <w:rPr>
          <w:noProof/>
        </w:rPr>
        <w:instrText xml:space="preserve"> PAGEREF _Toc460853506 \h </w:instrText>
      </w:r>
      <w:r w:rsidRPr="003321F5">
        <w:rPr>
          <w:noProof/>
        </w:rPr>
      </w:r>
      <w:r w:rsidRPr="003321F5">
        <w:rPr>
          <w:noProof/>
        </w:rPr>
        <w:fldChar w:fldCharType="separate"/>
      </w:r>
      <w:r w:rsidR="006D3851">
        <w:rPr>
          <w:noProof/>
        </w:rPr>
        <w:t>1</w:t>
      </w:r>
      <w:r w:rsidRPr="003321F5">
        <w:rPr>
          <w:noProof/>
        </w:rPr>
        <w:fldChar w:fldCharType="end"/>
      </w:r>
    </w:p>
    <w:p w:rsidR="008B064E" w:rsidRPr="003321F5" w:rsidRDefault="008B064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3321F5">
        <w:rPr>
          <w:noProof/>
        </w:rPr>
        <w:t>4</w:t>
      </w:r>
      <w:r w:rsidRPr="003321F5">
        <w:rPr>
          <w:noProof/>
        </w:rPr>
        <w:tab/>
        <w:t>Schedules</w:t>
      </w:r>
      <w:r w:rsidRPr="003321F5">
        <w:rPr>
          <w:noProof/>
        </w:rPr>
        <w:tab/>
      </w:r>
      <w:r w:rsidRPr="003321F5">
        <w:rPr>
          <w:noProof/>
        </w:rPr>
        <w:fldChar w:fldCharType="begin"/>
      </w:r>
      <w:r w:rsidRPr="003321F5">
        <w:rPr>
          <w:noProof/>
        </w:rPr>
        <w:instrText xml:space="preserve"> PAGEREF _Toc460853507 \h </w:instrText>
      </w:r>
      <w:r w:rsidRPr="003321F5">
        <w:rPr>
          <w:noProof/>
        </w:rPr>
      </w:r>
      <w:r w:rsidRPr="003321F5">
        <w:rPr>
          <w:noProof/>
        </w:rPr>
        <w:fldChar w:fldCharType="separate"/>
      </w:r>
      <w:r w:rsidR="006D3851">
        <w:rPr>
          <w:noProof/>
        </w:rPr>
        <w:t>1</w:t>
      </w:r>
      <w:r w:rsidRPr="003321F5">
        <w:rPr>
          <w:noProof/>
        </w:rPr>
        <w:fldChar w:fldCharType="end"/>
      </w:r>
    </w:p>
    <w:p w:rsidR="008B064E" w:rsidRPr="003321F5" w:rsidRDefault="008B064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3321F5">
        <w:rPr>
          <w:noProof/>
        </w:rPr>
        <w:t>Schedule</w:t>
      </w:r>
      <w:r w:rsidR="003321F5" w:rsidRPr="003321F5">
        <w:rPr>
          <w:noProof/>
        </w:rPr>
        <w:t> </w:t>
      </w:r>
      <w:r w:rsidRPr="003321F5">
        <w:rPr>
          <w:noProof/>
        </w:rPr>
        <w:t>1—Amendments</w:t>
      </w:r>
      <w:r w:rsidRPr="003321F5">
        <w:rPr>
          <w:b w:val="0"/>
          <w:noProof/>
          <w:sz w:val="18"/>
        </w:rPr>
        <w:tab/>
      </w:r>
      <w:r w:rsidRPr="003321F5">
        <w:rPr>
          <w:b w:val="0"/>
          <w:noProof/>
          <w:sz w:val="18"/>
        </w:rPr>
        <w:fldChar w:fldCharType="begin"/>
      </w:r>
      <w:r w:rsidRPr="003321F5">
        <w:rPr>
          <w:b w:val="0"/>
          <w:noProof/>
          <w:sz w:val="18"/>
        </w:rPr>
        <w:instrText xml:space="preserve"> PAGEREF _Toc460853508 \h </w:instrText>
      </w:r>
      <w:r w:rsidRPr="003321F5">
        <w:rPr>
          <w:b w:val="0"/>
          <w:noProof/>
          <w:sz w:val="18"/>
        </w:rPr>
      </w:r>
      <w:r w:rsidRPr="003321F5">
        <w:rPr>
          <w:b w:val="0"/>
          <w:noProof/>
          <w:sz w:val="18"/>
        </w:rPr>
        <w:fldChar w:fldCharType="separate"/>
      </w:r>
      <w:r w:rsidR="006D3851">
        <w:rPr>
          <w:b w:val="0"/>
          <w:noProof/>
          <w:sz w:val="18"/>
        </w:rPr>
        <w:t>2</w:t>
      </w:r>
      <w:r w:rsidRPr="003321F5">
        <w:rPr>
          <w:b w:val="0"/>
          <w:noProof/>
          <w:sz w:val="18"/>
        </w:rPr>
        <w:fldChar w:fldCharType="end"/>
      </w:r>
    </w:p>
    <w:p w:rsidR="008B064E" w:rsidRPr="003321F5" w:rsidRDefault="008B064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3321F5">
        <w:rPr>
          <w:noProof/>
        </w:rPr>
        <w:t>Environment Protection and Biodiversity Conservation Regulations</w:t>
      </w:r>
      <w:r w:rsidR="003321F5" w:rsidRPr="003321F5">
        <w:rPr>
          <w:noProof/>
        </w:rPr>
        <w:t> </w:t>
      </w:r>
      <w:r w:rsidRPr="003321F5">
        <w:rPr>
          <w:noProof/>
        </w:rPr>
        <w:t>2000</w:t>
      </w:r>
      <w:r w:rsidRPr="003321F5">
        <w:rPr>
          <w:i w:val="0"/>
          <w:noProof/>
          <w:sz w:val="18"/>
        </w:rPr>
        <w:tab/>
      </w:r>
      <w:r w:rsidRPr="003321F5">
        <w:rPr>
          <w:i w:val="0"/>
          <w:noProof/>
          <w:sz w:val="18"/>
        </w:rPr>
        <w:fldChar w:fldCharType="begin"/>
      </w:r>
      <w:r w:rsidRPr="003321F5">
        <w:rPr>
          <w:i w:val="0"/>
          <w:noProof/>
          <w:sz w:val="18"/>
        </w:rPr>
        <w:instrText xml:space="preserve"> PAGEREF _Toc460853509 \h </w:instrText>
      </w:r>
      <w:r w:rsidRPr="003321F5">
        <w:rPr>
          <w:i w:val="0"/>
          <w:noProof/>
          <w:sz w:val="18"/>
        </w:rPr>
      </w:r>
      <w:r w:rsidRPr="003321F5">
        <w:rPr>
          <w:i w:val="0"/>
          <w:noProof/>
          <w:sz w:val="18"/>
        </w:rPr>
        <w:fldChar w:fldCharType="separate"/>
      </w:r>
      <w:r w:rsidR="006D3851">
        <w:rPr>
          <w:i w:val="0"/>
          <w:noProof/>
          <w:sz w:val="18"/>
        </w:rPr>
        <w:t>2</w:t>
      </w:r>
      <w:r w:rsidRPr="003321F5">
        <w:rPr>
          <w:i w:val="0"/>
          <w:noProof/>
          <w:sz w:val="18"/>
        </w:rPr>
        <w:fldChar w:fldCharType="end"/>
      </w:r>
    </w:p>
    <w:p w:rsidR="00833416" w:rsidRPr="003321F5" w:rsidRDefault="008B064E" w:rsidP="0048364F">
      <w:r w:rsidRPr="003321F5">
        <w:fldChar w:fldCharType="end"/>
      </w:r>
    </w:p>
    <w:p w:rsidR="00722023" w:rsidRPr="003321F5" w:rsidRDefault="00722023" w:rsidP="0048364F">
      <w:pPr>
        <w:sectPr w:rsidR="00722023" w:rsidRPr="003321F5" w:rsidSect="00CB706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3321F5" w:rsidRDefault="0048364F" w:rsidP="0048364F">
      <w:pPr>
        <w:pStyle w:val="ActHead5"/>
      </w:pPr>
      <w:bookmarkStart w:id="2" w:name="_Toc460853504"/>
      <w:r w:rsidRPr="003321F5">
        <w:rPr>
          <w:rStyle w:val="CharSectno"/>
        </w:rPr>
        <w:lastRenderedPageBreak/>
        <w:t>1</w:t>
      </w:r>
      <w:r w:rsidRPr="003321F5">
        <w:t xml:space="preserve">  </w:t>
      </w:r>
      <w:r w:rsidR="004F676E" w:rsidRPr="003321F5">
        <w:t>Name</w:t>
      </w:r>
      <w:bookmarkEnd w:id="2"/>
    </w:p>
    <w:p w:rsidR="0048364F" w:rsidRPr="003321F5" w:rsidRDefault="0048364F" w:rsidP="0048364F">
      <w:pPr>
        <w:pStyle w:val="subsection"/>
      </w:pPr>
      <w:r w:rsidRPr="003321F5">
        <w:tab/>
      </w:r>
      <w:r w:rsidRPr="003321F5">
        <w:tab/>
        <w:t>Th</w:t>
      </w:r>
      <w:r w:rsidR="00F24C35" w:rsidRPr="003321F5">
        <w:t>is</w:t>
      </w:r>
      <w:r w:rsidRPr="003321F5">
        <w:t xml:space="preserve"> </w:t>
      </w:r>
      <w:r w:rsidR="00F24C35" w:rsidRPr="003321F5">
        <w:t>is</w:t>
      </w:r>
      <w:r w:rsidR="003801D0" w:rsidRPr="003321F5">
        <w:t xml:space="preserve"> the</w:t>
      </w:r>
      <w:r w:rsidRPr="003321F5">
        <w:t xml:space="preserve"> </w:t>
      </w:r>
      <w:bookmarkStart w:id="3" w:name="BKCheck15B_3"/>
      <w:bookmarkEnd w:id="3"/>
      <w:r w:rsidR="00CB0180" w:rsidRPr="003321F5">
        <w:rPr>
          <w:i/>
        </w:rPr>
        <w:fldChar w:fldCharType="begin"/>
      </w:r>
      <w:r w:rsidR="00CB0180" w:rsidRPr="003321F5">
        <w:rPr>
          <w:i/>
        </w:rPr>
        <w:instrText xml:space="preserve"> STYLEREF  ShortT </w:instrText>
      </w:r>
      <w:r w:rsidR="00CB0180" w:rsidRPr="003321F5">
        <w:rPr>
          <w:i/>
        </w:rPr>
        <w:fldChar w:fldCharType="separate"/>
      </w:r>
      <w:r w:rsidR="006D3851">
        <w:rPr>
          <w:i/>
          <w:noProof/>
        </w:rPr>
        <w:t>Environment Protection and Biodiversity Conservation Amendment (Cost Recovery) Regulation 2016</w:t>
      </w:r>
      <w:r w:rsidR="00CB0180" w:rsidRPr="003321F5">
        <w:rPr>
          <w:i/>
        </w:rPr>
        <w:fldChar w:fldCharType="end"/>
      </w:r>
      <w:r w:rsidRPr="003321F5">
        <w:t>.</w:t>
      </w:r>
    </w:p>
    <w:p w:rsidR="0048364F" w:rsidRPr="003321F5" w:rsidRDefault="0048364F" w:rsidP="0048364F">
      <w:pPr>
        <w:pStyle w:val="ActHead5"/>
      </w:pPr>
      <w:bookmarkStart w:id="4" w:name="_Toc460853505"/>
      <w:r w:rsidRPr="003321F5">
        <w:rPr>
          <w:rStyle w:val="CharSectno"/>
        </w:rPr>
        <w:t>2</w:t>
      </w:r>
      <w:r w:rsidRPr="003321F5">
        <w:t xml:space="preserve">  Commencement</w:t>
      </w:r>
      <w:bookmarkEnd w:id="4"/>
    </w:p>
    <w:p w:rsidR="005330BD" w:rsidRPr="003321F5" w:rsidRDefault="005330BD" w:rsidP="002F675F">
      <w:pPr>
        <w:pStyle w:val="subsection"/>
      </w:pPr>
      <w:bookmarkStart w:id="5" w:name="_GoBack"/>
      <w:r w:rsidRPr="003321F5">
        <w:tab/>
        <w:t>(1)</w:t>
      </w:r>
      <w:r w:rsidRPr="003321F5">
        <w:tab/>
        <w:t>Each provision of this instrument specified in column 1 of the table commences, or is taken to have commenced, in accordance with column 2 of the table. Any other statement in column 2 has effect according to its terms.</w:t>
      </w:r>
      <w:bookmarkEnd w:id="5"/>
    </w:p>
    <w:p w:rsidR="005330BD" w:rsidRPr="003321F5" w:rsidRDefault="005330BD" w:rsidP="002F675F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040"/>
        <w:gridCol w:w="4591"/>
        <w:gridCol w:w="1896"/>
      </w:tblGrid>
      <w:tr w:rsidR="005330BD" w:rsidRPr="003321F5" w:rsidTr="005330BD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5330BD" w:rsidRPr="003321F5" w:rsidRDefault="005330BD" w:rsidP="002F675F">
            <w:pPr>
              <w:pStyle w:val="TableHeading"/>
            </w:pPr>
            <w:r w:rsidRPr="003321F5">
              <w:t>Commencement information</w:t>
            </w:r>
          </w:p>
        </w:tc>
      </w:tr>
      <w:tr w:rsidR="005330BD" w:rsidRPr="003321F5" w:rsidTr="005330BD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5330BD" w:rsidRPr="003321F5" w:rsidRDefault="005330BD" w:rsidP="002F675F">
            <w:pPr>
              <w:pStyle w:val="TableHeading"/>
            </w:pPr>
            <w:r w:rsidRPr="003321F5">
              <w:t>Column 1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5330BD" w:rsidRPr="003321F5" w:rsidRDefault="005330BD" w:rsidP="002F675F">
            <w:pPr>
              <w:pStyle w:val="TableHeading"/>
            </w:pPr>
            <w:r w:rsidRPr="003321F5">
              <w:t>Column 2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5330BD" w:rsidRPr="003321F5" w:rsidRDefault="005330BD" w:rsidP="002F675F">
            <w:pPr>
              <w:pStyle w:val="TableHeading"/>
            </w:pPr>
            <w:r w:rsidRPr="003321F5">
              <w:t>Column 3</w:t>
            </w:r>
          </w:p>
        </w:tc>
      </w:tr>
      <w:tr w:rsidR="005330BD" w:rsidRPr="003321F5" w:rsidTr="005330BD">
        <w:trPr>
          <w:tblHeader/>
        </w:trPr>
        <w:tc>
          <w:tcPr>
            <w:tcW w:w="119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5330BD" w:rsidRPr="003321F5" w:rsidRDefault="005330BD" w:rsidP="002F675F">
            <w:pPr>
              <w:pStyle w:val="TableHeading"/>
            </w:pPr>
            <w:r w:rsidRPr="003321F5">
              <w:t>Provisions</w:t>
            </w:r>
          </w:p>
        </w:tc>
        <w:tc>
          <w:tcPr>
            <w:tcW w:w="269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5330BD" w:rsidRPr="003321F5" w:rsidRDefault="005330BD" w:rsidP="002F675F">
            <w:pPr>
              <w:pStyle w:val="TableHeading"/>
            </w:pPr>
            <w:r w:rsidRPr="003321F5">
              <w:t>Commencement</w:t>
            </w:r>
          </w:p>
        </w:tc>
        <w:tc>
          <w:tcPr>
            <w:tcW w:w="1112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5330BD" w:rsidRPr="003321F5" w:rsidRDefault="005330BD" w:rsidP="002F675F">
            <w:pPr>
              <w:pStyle w:val="TableHeading"/>
            </w:pPr>
            <w:r w:rsidRPr="003321F5">
              <w:t>Date/Details</w:t>
            </w:r>
          </w:p>
        </w:tc>
      </w:tr>
      <w:tr w:rsidR="005330BD" w:rsidRPr="003321F5" w:rsidTr="005330BD">
        <w:tc>
          <w:tcPr>
            <w:tcW w:w="11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330BD" w:rsidRPr="003321F5" w:rsidRDefault="005330BD" w:rsidP="002F675F">
            <w:pPr>
              <w:pStyle w:val="Tabletext"/>
            </w:pPr>
            <w:r w:rsidRPr="003321F5">
              <w:t>1.  The whole of this instrument</w:t>
            </w:r>
          </w:p>
        </w:tc>
        <w:tc>
          <w:tcPr>
            <w:tcW w:w="26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330BD" w:rsidRPr="003321F5" w:rsidRDefault="005330BD" w:rsidP="00532282">
            <w:pPr>
              <w:pStyle w:val="Tabletext"/>
            </w:pPr>
            <w:r w:rsidRPr="003321F5">
              <w:t>1</w:t>
            </w:r>
            <w:r w:rsidR="003321F5" w:rsidRPr="003321F5">
              <w:t> </w:t>
            </w:r>
            <w:r w:rsidR="00532282" w:rsidRPr="003321F5">
              <w:t>October</w:t>
            </w:r>
            <w:r w:rsidRPr="003321F5">
              <w:t xml:space="preserve"> 2016.</w:t>
            </w:r>
          </w:p>
        </w:tc>
        <w:tc>
          <w:tcPr>
            <w:tcW w:w="11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330BD" w:rsidRPr="003321F5" w:rsidRDefault="005330BD" w:rsidP="00532282">
            <w:pPr>
              <w:pStyle w:val="Tabletext"/>
            </w:pPr>
            <w:r w:rsidRPr="003321F5">
              <w:t>1</w:t>
            </w:r>
            <w:r w:rsidR="003321F5" w:rsidRPr="003321F5">
              <w:t> </w:t>
            </w:r>
            <w:r w:rsidR="00532282" w:rsidRPr="003321F5">
              <w:t>October</w:t>
            </w:r>
            <w:r w:rsidRPr="003321F5">
              <w:t xml:space="preserve"> 2016</w:t>
            </w:r>
          </w:p>
        </w:tc>
      </w:tr>
    </w:tbl>
    <w:p w:rsidR="005330BD" w:rsidRPr="003321F5" w:rsidRDefault="005330BD" w:rsidP="002F675F">
      <w:pPr>
        <w:pStyle w:val="notetext"/>
      </w:pPr>
      <w:r w:rsidRPr="003321F5">
        <w:rPr>
          <w:snapToGrid w:val="0"/>
          <w:lang w:eastAsia="en-US"/>
        </w:rPr>
        <w:t>Note:</w:t>
      </w:r>
      <w:r w:rsidRPr="003321F5">
        <w:rPr>
          <w:snapToGrid w:val="0"/>
          <w:lang w:eastAsia="en-US"/>
        </w:rPr>
        <w:tab/>
        <w:t xml:space="preserve">This table relates only to the provisions of this </w:t>
      </w:r>
      <w:r w:rsidRPr="003321F5">
        <w:t xml:space="preserve">instrument </w:t>
      </w:r>
      <w:r w:rsidRPr="003321F5">
        <w:rPr>
          <w:snapToGrid w:val="0"/>
          <w:lang w:eastAsia="en-US"/>
        </w:rPr>
        <w:t xml:space="preserve">as originally made. It will not be amended to deal with any later amendments of this </w:t>
      </w:r>
      <w:r w:rsidRPr="003321F5">
        <w:t>instrument</w:t>
      </w:r>
      <w:r w:rsidRPr="003321F5">
        <w:rPr>
          <w:snapToGrid w:val="0"/>
          <w:lang w:eastAsia="en-US"/>
        </w:rPr>
        <w:t>.</w:t>
      </w:r>
    </w:p>
    <w:p w:rsidR="005330BD" w:rsidRPr="003321F5" w:rsidRDefault="005330BD" w:rsidP="002F675F">
      <w:pPr>
        <w:pStyle w:val="subsection"/>
      </w:pPr>
      <w:r w:rsidRPr="003321F5">
        <w:tab/>
        <w:t>(2)</w:t>
      </w:r>
      <w:r w:rsidRPr="003321F5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7769D4" w:rsidRPr="003321F5" w:rsidRDefault="007769D4" w:rsidP="007769D4">
      <w:pPr>
        <w:pStyle w:val="ActHead5"/>
      </w:pPr>
      <w:bookmarkStart w:id="6" w:name="_Toc460853506"/>
      <w:r w:rsidRPr="003321F5">
        <w:rPr>
          <w:rStyle w:val="CharSectno"/>
        </w:rPr>
        <w:t>3</w:t>
      </w:r>
      <w:r w:rsidRPr="003321F5">
        <w:t xml:space="preserve">  Authority</w:t>
      </w:r>
      <w:bookmarkEnd w:id="6"/>
    </w:p>
    <w:p w:rsidR="007769D4" w:rsidRPr="003321F5" w:rsidRDefault="007769D4" w:rsidP="007769D4">
      <w:pPr>
        <w:pStyle w:val="subsection"/>
      </w:pPr>
      <w:r w:rsidRPr="003321F5">
        <w:tab/>
      </w:r>
      <w:r w:rsidRPr="003321F5">
        <w:tab/>
      </w:r>
      <w:r w:rsidR="00AF0336" w:rsidRPr="003321F5">
        <w:t xml:space="preserve">This </w:t>
      </w:r>
      <w:r w:rsidR="005330BD" w:rsidRPr="003321F5">
        <w:t>instrument</w:t>
      </w:r>
      <w:r w:rsidR="00AF0336" w:rsidRPr="003321F5">
        <w:t xml:space="preserve"> is made under the </w:t>
      </w:r>
      <w:r w:rsidR="0010170E" w:rsidRPr="003321F5">
        <w:rPr>
          <w:i/>
        </w:rPr>
        <w:t>Environment Protection and Biodiversity Conservation Act 1999</w:t>
      </w:r>
      <w:r w:rsidR="00D83D21" w:rsidRPr="003321F5">
        <w:rPr>
          <w:i/>
        </w:rPr>
        <w:t>.</w:t>
      </w:r>
    </w:p>
    <w:p w:rsidR="00557C7A" w:rsidRPr="003321F5" w:rsidRDefault="007769D4" w:rsidP="00557C7A">
      <w:pPr>
        <w:pStyle w:val="ActHead5"/>
      </w:pPr>
      <w:bookmarkStart w:id="7" w:name="_Toc460853507"/>
      <w:r w:rsidRPr="003321F5">
        <w:rPr>
          <w:rStyle w:val="CharSectno"/>
        </w:rPr>
        <w:t>4</w:t>
      </w:r>
      <w:r w:rsidR="00557C7A" w:rsidRPr="003321F5">
        <w:t xml:space="preserve">  </w:t>
      </w:r>
      <w:r w:rsidR="00B332B8" w:rsidRPr="003321F5">
        <w:t>Schedules</w:t>
      </w:r>
      <w:bookmarkEnd w:id="7"/>
    </w:p>
    <w:p w:rsidR="000F6B02" w:rsidRPr="003321F5" w:rsidRDefault="00557C7A" w:rsidP="000F6B02">
      <w:pPr>
        <w:pStyle w:val="subsection"/>
      </w:pPr>
      <w:r w:rsidRPr="003321F5">
        <w:tab/>
      </w:r>
      <w:r w:rsidRPr="003321F5">
        <w:tab/>
      </w:r>
      <w:r w:rsidR="000F6B02" w:rsidRPr="003321F5">
        <w:t xml:space="preserve">Each instrument that is specified in a Schedule to </w:t>
      </w:r>
      <w:r w:rsidR="005330BD" w:rsidRPr="003321F5">
        <w:t>this instrument</w:t>
      </w:r>
      <w:r w:rsidR="000F6B02" w:rsidRPr="003321F5">
        <w:t xml:space="preserve"> is amended or repealed as set out in the applicable items in the Schedule concerned, and any other item in a Schedule to </w:t>
      </w:r>
      <w:r w:rsidR="005330BD" w:rsidRPr="003321F5">
        <w:t>this instrument</w:t>
      </w:r>
      <w:r w:rsidR="000F6B02" w:rsidRPr="003321F5">
        <w:t xml:space="preserve"> has effect according to its terms.</w:t>
      </w:r>
    </w:p>
    <w:p w:rsidR="0048364F" w:rsidRPr="003321F5" w:rsidRDefault="0048364F" w:rsidP="00FF3089">
      <w:pPr>
        <w:pStyle w:val="ActHead6"/>
        <w:pageBreakBefore/>
      </w:pPr>
      <w:bookmarkStart w:id="8" w:name="_Toc460853508"/>
      <w:bookmarkStart w:id="9" w:name="opcAmSched"/>
      <w:bookmarkStart w:id="10" w:name="opcCurrentFind"/>
      <w:r w:rsidRPr="003321F5">
        <w:rPr>
          <w:rStyle w:val="CharAmSchNo"/>
        </w:rPr>
        <w:t>Schedule</w:t>
      </w:r>
      <w:r w:rsidR="003321F5" w:rsidRPr="003321F5">
        <w:rPr>
          <w:rStyle w:val="CharAmSchNo"/>
        </w:rPr>
        <w:t> </w:t>
      </w:r>
      <w:r w:rsidRPr="003321F5">
        <w:rPr>
          <w:rStyle w:val="CharAmSchNo"/>
        </w:rPr>
        <w:t>1</w:t>
      </w:r>
      <w:r w:rsidRPr="003321F5">
        <w:t>—</w:t>
      </w:r>
      <w:r w:rsidR="00460499" w:rsidRPr="003321F5">
        <w:rPr>
          <w:rStyle w:val="CharAmSchText"/>
        </w:rPr>
        <w:t>Amendments</w:t>
      </w:r>
      <w:bookmarkEnd w:id="8"/>
    </w:p>
    <w:bookmarkEnd w:id="9"/>
    <w:bookmarkEnd w:id="10"/>
    <w:p w:rsidR="0004044E" w:rsidRPr="003321F5" w:rsidRDefault="0004044E" w:rsidP="0004044E">
      <w:pPr>
        <w:pStyle w:val="Header"/>
      </w:pPr>
      <w:r w:rsidRPr="003321F5">
        <w:rPr>
          <w:rStyle w:val="CharAmPartNo"/>
        </w:rPr>
        <w:t xml:space="preserve"> </w:t>
      </w:r>
      <w:r w:rsidRPr="003321F5">
        <w:rPr>
          <w:rStyle w:val="CharAmPartText"/>
        </w:rPr>
        <w:t xml:space="preserve"> </w:t>
      </w:r>
    </w:p>
    <w:p w:rsidR="00610E91" w:rsidRPr="003321F5" w:rsidRDefault="00610E91" w:rsidP="00610E91">
      <w:pPr>
        <w:pStyle w:val="ActHead9"/>
      </w:pPr>
      <w:bookmarkStart w:id="11" w:name="_Toc460853509"/>
      <w:r w:rsidRPr="003321F5">
        <w:t>Environment Protection and Biodiversity Conservation Regulations</w:t>
      </w:r>
      <w:r w:rsidR="003321F5" w:rsidRPr="003321F5">
        <w:t> </w:t>
      </w:r>
      <w:r w:rsidRPr="003321F5">
        <w:t>2000</w:t>
      </w:r>
      <w:bookmarkEnd w:id="11"/>
    </w:p>
    <w:p w:rsidR="006D3667" w:rsidRPr="003321F5" w:rsidRDefault="009E1E71" w:rsidP="006C2C12">
      <w:pPr>
        <w:pStyle w:val="ItemHead"/>
        <w:tabs>
          <w:tab w:val="left" w:pos="6663"/>
        </w:tabs>
      </w:pPr>
      <w:r w:rsidRPr="003321F5">
        <w:t>1</w:t>
      </w:r>
      <w:r w:rsidR="00BB6E79" w:rsidRPr="003321F5">
        <w:t xml:space="preserve">  </w:t>
      </w:r>
      <w:r w:rsidR="00610E91" w:rsidRPr="003321F5">
        <w:t>Subregulation</w:t>
      </w:r>
      <w:r w:rsidR="00463171" w:rsidRPr="003321F5">
        <w:t>s</w:t>
      </w:r>
      <w:r w:rsidR="003321F5" w:rsidRPr="003321F5">
        <w:t> </w:t>
      </w:r>
      <w:r w:rsidR="00610E91" w:rsidRPr="003321F5">
        <w:t>4.02(2)</w:t>
      </w:r>
      <w:r w:rsidR="00463171" w:rsidRPr="003321F5">
        <w:t xml:space="preserve"> and (3)</w:t>
      </w:r>
    </w:p>
    <w:p w:rsidR="00610E91" w:rsidRPr="003321F5" w:rsidRDefault="00610E91" w:rsidP="00610E91">
      <w:pPr>
        <w:pStyle w:val="Item"/>
      </w:pPr>
      <w:r w:rsidRPr="003321F5">
        <w:t xml:space="preserve">Omit </w:t>
      </w:r>
      <w:r w:rsidR="00A919F9" w:rsidRPr="003321F5">
        <w:t>“</w:t>
      </w:r>
      <w:r w:rsidR="00DF7828" w:rsidRPr="003321F5">
        <w:t>$</w:t>
      </w:r>
      <w:r w:rsidRPr="003321F5">
        <w:t>7</w:t>
      </w:r>
      <w:r w:rsidR="003321F5" w:rsidRPr="003321F5">
        <w:t> </w:t>
      </w:r>
      <w:r w:rsidRPr="003321F5">
        <w:t>352.00</w:t>
      </w:r>
      <w:r w:rsidR="00A919F9" w:rsidRPr="003321F5">
        <w:t>”</w:t>
      </w:r>
      <w:r w:rsidRPr="003321F5">
        <w:t xml:space="preserve">, substitute </w:t>
      </w:r>
      <w:r w:rsidR="00A919F9" w:rsidRPr="003321F5">
        <w:t>“</w:t>
      </w:r>
      <w:r w:rsidRPr="003321F5">
        <w:t>$6</w:t>
      </w:r>
      <w:r w:rsidR="00295476" w:rsidRPr="003321F5">
        <w:t>,</w:t>
      </w:r>
      <w:r w:rsidRPr="003321F5">
        <w:t>577</w:t>
      </w:r>
      <w:r w:rsidR="00A83869" w:rsidRPr="003321F5">
        <w:t>.00</w:t>
      </w:r>
      <w:r w:rsidR="00A919F9" w:rsidRPr="003321F5">
        <w:t>”</w:t>
      </w:r>
      <w:r w:rsidRPr="003321F5">
        <w:t>.</w:t>
      </w:r>
    </w:p>
    <w:p w:rsidR="00D31066" w:rsidRPr="003321F5" w:rsidRDefault="009E1E71" w:rsidP="000D2708">
      <w:pPr>
        <w:pStyle w:val="ItemHead"/>
      </w:pPr>
      <w:r w:rsidRPr="003321F5">
        <w:t>2</w:t>
      </w:r>
      <w:r w:rsidR="00D31066" w:rsidRPr="003321F5">
        <w:t xml:space="preserve">  Regulation</w:t>
      </w:r>
      <w:r w:rsidR="003321F5" w:rsidRPr="003321F5">
        <w:t> </w:t>
      </w:r>
      <w:r w:rsidR="00D31066" w:rsidRPr="003321F5">
        <w:t xml:space="preserve">5.12A (definition of </w:t>
      </w:r>
      <w:r w:rsidR="00D31066" w:rsidRPr="003321F5">
        <w:rPr>
          <w:i/>
        </w:rPr>
        <w:t>category</w:t>
      </w:r>
      <w:r w:rsidR="00D31066" w:rsidRPr="003321F5">
        <w:t>)</w:t>
      </w:r>
    </w:p>
    <w:p w:rsidR="00D31066" w:rsidRPr="003321F5" w:rsidRDefault="00D31066" w:rsidP="00D31066">
      <w:pPr>
        <w:pStyle w:val="Item"/>
      </w:pPr>
      <w:r w:rsidRPr="003321F5">
        <w:t>Repeal the definition.</w:t>
      </w:r>
    </w:p>
    <w:p w:rsidR="00F539D4" w:rsidRPr="003321F5" w:rsidRDefault="009E1E71" w:rsidP="000D2708">
      <w:pPr>
        <w:pStyle w:val="ItemHead"/>
      </w:pPr>
      <w:r w:rsidRPr="003321F5">
        <w:t>3</w:t>
      </w:r>
      <w:r w:rsidR="00F539D4" w:rsidRPr="003321F5">
        <w:t xml:space="preserve">  Regulation</w:t>
      </w:r>
      <w:r w:rsidR="003321F5" w:rsidRPr="003321F5">
        <w:t> </w:t>
      </w:r>
      <w:r w:rsidR="00F539D4" w:rsidRPr="003321F5">
        <w:t xml:space="preserve">5.12A (definition of </w:t>
      </w:r>
      <w:r w:rsidR="00F539D4" w:rsidRPr="003321F5">
        <w:rPr>
          <w:i/>
        </w:rPr>
        <w:t>complexity fee</w:t>
      </w:r>
      <w:r w:rsidR="00F539D4" w:rsidRPr="003321F5">
        <w:t>)</w:t>
      </w:r>
    </w:p>
    <w:p w:rsidR="00F539D4" w:rsidRPr="003321F5" w:rsidRDefault="00F539D4" w:rsidP="00F539D4">
      <w:pPr>
        <w:pStyle w:val="Item"/>
      </w:pPr>
      <w:r w:rsidRPr="003321F5">
        <w:t>Repeal the definition, substitute:</w:t>
      </w:r>
    </w:p>
    <w:p w:rsidR="00F539D4" w:rsidRPr="003321F5" w:rsidRDefault="00F539D4" w:rsidP="00F539D4">
      <w:pPr>
        <w:pStyle w:val="Definition"/>
      </w:pPr>
      <w:r w:rsidRPr="003321F5">
        <w:rPr>
          <w:b/>
          <w:i/>
        </w:rPr>
        <w:t>complexity fee</w:t>
      </w:r>
      <w:r w:rsidR="00A573AD" w:rsidRPr="003321F5">
        <w:t xml:space="preserve">, for an assessment of the impacts of an action, </w:t>
      </w:r>
      <w:r w:rsidRPr="003321F5">
        <w:t>means the sum of the</w:t>
      </w:r>
      <w:r w:rsidR="00355F9C" w:rsidRPr="003321F5">
        <w:t xml:space="preserve"> </w:t>
      </w:r>
      <w:r w:rsidR="00671A7B" w:rsidRPr="003321F5">
        <w:t>amounts payable for</w:t>
      </w:r>
      <w:r w:rsidRPr="003321F5">
        <w:t>:</w:t>
      </w:r>
    </w:p>
    <w:p w:rsidR="00355F9C" w:rsidRPr="003321F5" w:rsidRDefault="00355F9C" w:rsidP="00355F9C">
      <w:pPr>
        <w:pStyle w:val="paragraph"/>
      </w:pPr>
      <w:r w:rsidRPr="003321F5">
        <w:tab/>
        <w:t>(a)</w:t>
      </w:r>
      <w:r w:rsidRPr="003321F5">
        <w:tab/>
      </w:r>
      <w:r w:rsidR="00C70E62" w:rsidRPr="003321F5">
        <w:t>each</w:t>
      </w:r>
      <w:r w:rsidR="00671A7B" w:rsidRPr="003321F5">
        <w:t xml:space="preserve"> </w:t>
      </w:r>
      <w:r w:rsidRPr="003321F5">
        <w:t>application component;</w:t>
      </w:r>
      <w:r w:rsidR="00671A7B" w:rsidRPr="003321F5">
        <w:t xml:space="preserve"> and</w:t>
      </w:r>
    </w:p>
    <w:p w:rsidR="00355F9C" w:rsidRPr="003321F5" w:rsidRDefault="00355F9C" w:rsidP="00355F9C">
      <w:pPr>
        <w:pStyle w:val="paragraph"/>
      </w:pPr>
      <w:r w:rsidRPr="003321F5">
        <w:tab/>
        <w:t>(b)</w:t>
      </w:r>
      <w:r w:rsidRPr="003321F5">
        <w:tab/>
      </w:r>
      <w:r w:rsidR="00C70E62" w:rsidRPr="003321F5">
        <w:t>each</w:t>
      </w:r>
      <w:r w:rsidRPr="003321F5">
        <w:t xml:space="preserve"> controlling provision component;</w:t>
      </w:r>
      <w:r w:rsidR="00671A7B" w:rsidRPr="003321F5">
        <w:t xml:space="preserve"> and</w:t>
      </w:r>
    </w:p>
    <w:p w:rsidR="00355F9C" w:rsidRPr="003321F5" w:rsidRDefault="00355F9C" w:rsidP="00355F9C">
      <w:pPr>
        <w:pStyle w:val="paragraph"/>
      </w:pPr>
      <w:r w:rsidRPr="003321F5">
        <w:tab/>
        <w:t>(c)</w:t>
      </w:r>
      <w:r w:rsidRPr="003321F5">
        <w:tab/>
        <w:t>if applicable—the exceptional case component;</w:t>
      </w:r>
      <w:r w:rsidR="00671A7B" w:rsidRPr="003321F5">
        <w:t xml:space="preserve"> and</w:t>
      </w:r>
    </w:p>
    <w:p w:rsidR="00355F9C" w:rsidRPr="003321F5" w:rsidRDefault="00355F9C" w:rsidP="00355F9C">
      <w:pPr>
        <w:pStyle w:val="paragraph"/>
      </w:pPr>
      <w:r w:rsidRPr="003321F5">
        <w:tab/>
        <w:t>(d)</w:t>
      </w:r>
      <w:r w:rsidRPr="003321F5">
        <w:tab/>
      </w:r>
      <w:r w:rsidR="00A573AD" w:rsidRPr="003321F5">
        <w:t>the legislative impact component;</w:t>
      </w:r>
      <w:r w:rsidR="00671A7B" w:rsidRPr="003321F5">
        <w:t xml:space="preserve"> and</w:t>
      </w:r>
    </w:p>
    <w:p w:rsidR="0017335C" w:rsidRPr="003321F5" w:rsidRDefault="00A573AD" w:rsidP="0017335C">
      <w:pPr>
        <w:pStyle w:val="paragraph"/>
      </w:pPr>
      <w:r w:rsidRPr="003321F5">
        <w:tab/>
        <w:t>(e)</w:t>
      </w:r>
      <w:r w:rsidRPr="003321F5">
        <w:tab/>
        <w:t xml:space="preserve">the </w:t>
      </w:r>
      <w:r w:rsidR="00597FFC" w:rsidRPr="003321F5">
        <w:t>project composition component</w:t>
      </w:r>
      <w:r w:rsidRPr="003321F5">
        <w:t>.</w:t>
      </w:r>
    </w:p>
    <w:p w:rsidR="002A0767" w:rsidRPr="003321F5" w:rsidRDefault="009E1E71" w:rsidP="000D2708">
      <w:pPr>
        <w:pStyle w:val="ItemHead"/>
      </w:pPr>
      <w:r w:rsidRPr="003321F5">
        <w:t>4</w:t>
      </w:r>
      <w:r w:rsidR="002A0767" w:rsidRPr="003321F5">
        <w:t xml:space="preserve">  Regulation</w:t>
      </w:r>
      <w:r w:rsidR="003321F5" w:rsidRPr="003321F5">
        <w:t> </w:t>
      </w:r>
      <w:r w:rsidR="002A0767" w:rsidRPr="003321F5">
        <w:t>5.12A</w:t>
      </w:r>
      <w:r w:rsidR="00813F85" w:rsidRPr="003321F5">
        <w:t xml:space="preserve"> (definition of </w:t>
      </w:r>
      <w:r w:rsidR="00813F85" w:rsidRPr="003321F5">
        <w:rPr>
          <w:i/>
        </w:rPr>
        <w:t>extinct in the wild</w:t>
      </w:r>
      <w:r w:rsidR="00813F85" w:rsidRPr="003321F5">
        <w:t>)</w:t>
      </w:r>
    </w:p>
    <w:p w:rsidR="002A0767" w:rsidRPr="003321F5" w:rsidRDefault="000D6117" w:rsidP="002A0767">
      <w:pPr>
        <w:pStyle w:val="Item"/>
      </w:pPr>
      <w:r w:rsidRPr="003321F5">
        <w:t>Repeal the definition</w:t>
      </w:r>
      <w:r w:rsidR="00813F85" w:rsidRPr="003321F5">
        <w:t>.</w:t>
      </w:r>
    </w:p>
    <w:p w:rsidR="00813F85" w:rsidRPr="003321F5" w:rsidRDefault="009E1E71" w:rsidP="00813F85">
      <w:pPr>
        <w:pStyle w:val="ItemHead"/>
      </w:pPr>
      <w:r w:rsidRPr="003321F5">
        <w:t>5</w:t>
      </w:r>
      <w:r w:rsidR="00813F85" w:rsidRPr="003321F5">
        <w:t xml:space="preserve">  Regulation</w:t>
      </w:r>
      <w:r w:rsidR="003321F5" w:rsidRPr="003321F5">
        <w:t> </w:t>
      </w:r>
      <w:r w:rsidR="00813F85" w:rsidRPr="003321F5">
        <w:t>5.12A (</w:t>
      </w:r>
      <w:r w:rsidR="003321F5" w:rsidRPr="003321F5">
        <w:t>paragraphs (</w:t>
      </w:r>
      <w:r w:rsidR="00092CE9" w:rsidRPr="003321F5">
        <w:t xml:space="preserve">b) and </w:t>
      </w:r>
      <w:r w:rsidR="00813F85" w:rsidRPr="003321F5">
        <w:t xml:space="preserve">(c) of the definition of </w:t>
      </w:r>
      <w:r w:rsidR="00813F85" w:rsidRPr="003321F5">
        <w:rPr>
          <w:i/>
        </w:rPr>
        <w:t>high complexity</w:t>
      </w:r>
      <w:r w:rsidR="00813F85" w:rsidRPr="003321F5">
        <w:t>)</w:t>
      </w:r>
    </w:p>
    <w:p w:rsidR="00092CE9" w:rsidRPr="003321F5" w:rsidRDefault="00092CE9" w:rsidP="00092CE9">
      <w:pPr>
        <w:pStyle w:val="Item"/>
      </w:pPr>
      <w:r w:rsidRPr="003321F5">
        <w:t>Repeal the paragraphs, substitute:</w:t>
      </w:r>
    </w:p>
    <w:p w:rsidR="00092CE9" w:rsidRPr="003321F5" w:rsidRDefault="00092CE9" w:rsidP="00092CE9">
      <w:pPr>
        <w:pStyle w:val="paragraph"/>
      </w:pPr>
      <w:r w:rsidRPr="003321F5">
        <w:tab/>
        <w:t>(b)</w:t>
      </w:r>
      <w:r w:rsidRPr="003321F5">
        <w:tab/>
        <w:t>in relation to a controlling provision component: see subregulation</w:t>
      </w:r>
      <w:r w:rsidR="003321F5" w:rsidRPr="003321F5">
        <w:t> </w:t>
      </w:r>
      <w:r w:rsidRPr="003321F5">
        <w:t>5.12D(1); and</w:t>
      </w:r>
    </w:p>
    <w:p w:rsidR="00813F85" w:rsidRPr="003321F5" w:rsidRDefault="00092CE9" w:rsidP="00092CE9">
      <w:pPr>
        <w:pStyle w:val="paragraph"/>
      </w:pPr>
      <w:r w:rsidRPr="003321F5">
        <w:tab/>
        <w:t>(c)</w:t>
      </w:r>
      <w:r w:rsidRPr="003321F5">
        <w:tab/>
        <w:t>in relation to a legislative impact component: see subregulation</w:t>
      </w:r>
      <w:r w:rsidR="003321F5" w:rsidRPr="003321F5">
        <w:t> </w:t>
      </w:r>
      <w:r w:rsidR="00813F85" w:rsidRPr="003321F5">
        <w:t>5.12F(1).</w:t>
      </w:r>
    </w:p>
    <w:p w:rsidR="00BD7E2B" w:rsidRPr="003321F5" w:rsidRDefault="009E1E71" w:rsidP="00BD7E2B">
      <w:pPr>
        <w:pStyle w:val="ItemHead"/>
      </w:pPr>
      <w:r w:rsidRPr="003321F5">
        <w:t>6</w:t>
      </w:r>
      <w:r w:rsidR="00BD7E2B" w:rsidRPr="003321F5">
        <w:t xml:space="preserve">  Regulation</w:t>
      </w:r>
      <w:r w:rsidR="003321F5" w:rsidRPr="003321F5">
        <w:t> </w:t>
      </w:r>
      <w:r w:rsidR="00BD7E2B" w:rsidRPr="003321F5">
        <w:t>5.12A (</w:t>
      </w:r>
      <w:r w:rsidR="003321F5" w:rsidRPr="003321F5">
        <w:t>paragraph (</w:t>
      </w:r>
      <w:r w:rsidR="00BD7E2B" w:rsidRPr="003321F5">
        <w:t xml:space="preserve">b) of the definition of </w:t>
      </w:r>
      <w:r w:rsidR="00BD7E2B" w:rsidRPr="003321F5">
        <w:rPr>
          <w:i/>
        </w:rPr>
        <w:t>low complexity</w:t>
      </w:r>
      <w:r w:rsidR="00BD7E2B" w:rsidRPr="003321F5">
        <w:t>)</w:t>
      </w:r>
    </w:p>
    <w:p w:rsidR="00BD7E2B" w:rsidRPr="003321F5" w:rsidRDefault="00BD7E2B" w:rsidP="00BD7E2B">
      <w:pPr>
        <w:pStyle w:val="Item"/>
      </w:pPr>
      <w:r w:rsidRPr="003321F5">
        <w:t xml:space="preserve">Omit </w:t>
      </w:r>
      <w:r w:rsidR="00A919F9" w:rsidRPr="003321F5">
        <w:t>“</w:t>
      </w:r>
      <w:r w:rsidRPr="003321F5">
        <w:t>5.12F(2)</w:t>
      </w:r>
      <w:r w:rsidR="00A919F9" w:rsidRPr="003321F5">
        <w:t>”</w:t>
      </w:r>
      <w:r w:rsidRPr="003321F5">
        <w:t xml:space="preserve">, substitute </w:t>
      </w:r>
      <w:r w:rsidR="00A919F9" w:rsidRPr="003321F5">
        <w:t>“</w:t>
      </w:r>
      <w:r w:rsidRPr="003321F5">
        <w:t>5.12F(1)</w:t>
      </w:r>
      <w:r w:rsidR="00A919F9" w:rsidRPr="003321F5">
        <w:t>”</w:t>
      </w:r>
      <w:r w:rsidRPr="003321F5">
        <w:t>.</w:t>
      </w:r>
    </w:p>
    <w:p w:rsidR="00BD7E2B" w:rsidRPr="003321F5" w:rsidRDefault="009E1E71" w:rsidP="00907C2C">
      <w:pPr>
        <w:pStyle w:val="ItemHead"/>
      </w:pPr>
      <w:r w:rsidRPr="003321F5">
        <w:t>7</w:t>
      </w:r>
      <w:r w:rsidR="00907C2C" w:rsidRPr="003321F5">
        <w:t xml:space="preserve">  Regulation</w:t>
      </w:r>
      <w:r w:rsidR="003321F5" w:rsidRPr="003321F5">
        <w:t> </w:t>
      </w:r>
      <w:r w:rsidR="00907C2C" w:rsidRPr="003321F5">
        <w:t>5.12A (</w:t>
      </w:r>
      <w:r w:rsidR="003321F5" w:rsidRPr="003321F5">
        <w:t>paragraphs (</w:t>
      </w:r>
      <w:r w:rsidR="00907C2C" w:rsidRPr="003321F5">
        <w:t xml:space="preserve">b) and (c) of the definition of </w:t>
      </w:r>
      <w:r w:rsidR="00907C2C" w:rsidRPr="003321F5">
        <w:rPr>
          <w:i/>
        </w:rPr>
        <w:t>moderate complexity</w:t>
      </w:r>
      <w:r w:rsidR="00907C2C" w:rsidRPr="003321F5">
        <w:t>)</w:t>
      </w:r>
    </w:p>
    <w:p w:rsidR="00907C2C" w:rsidRPr="003321F5" w:rsidRDefault="00907C2C" w:rsidP="00907C2C">
      <w:pPr>
        <w:pStyle w:val="Item"/>
      </w:pPr>
      <w:r w:rsidRPr="003321F5">
        <w:t>Repeal the paragraphs, substitute:</w:t>
      </w:r>
    </w:p>
    <w:p w:rsidR="00ED6539" w:rsidRPr="003321F5" w:rsidRDefault="00907C2C" w:rsidP="00ED6539">
      <w:pPr>
        <w:pStyle w:val="paragraph"/>
      </w:pPr>
      <w:r w:rsidRPr="003321F5">
        <w:tab/>
        <w:t>(b)</w:t>
      </w:r>
      <w:r w:rsidRPr="003321F5">
        <w:tab/>
      </w:r>
      <w:r w:rsidR="00ED6539" w:rsidRPr="003321F5">
        <w:t>in relation to a controlling provision component: see subregulation</w:t>
      </w:r>
      <w:r w:rsidR="003321F5" w:rsidRPr="003321F5">
        <w:t> </w:t>
      </w:r>
      <w:r w:rsidR="00ED6539" w:rsidRPr="003321F5">
        <w:t>5.12D(1); and</w:t>
      </w:r>
    </w:p>
    <w:p w:rsidR="00ED6539" w:rsidRPr="003321F5" w:rsidRDefault="00ED6539" w:rsidP="00ED6539">
      <w:pPr>
        <w:pStyle w:val="paragraph"/>
      </w:pPr>
      <w:r w:rsidRPr="003321F5">
        <w:tab/>
        <w:t>(c)</w:t>
      </w:r>
      <w:r w:rsidRPr="003321F5">
        <w:tab/>
        <w:t>in relation to a legislative impact component: see subregulation</w:t>
      </w:r>
      <w:r w:rsidR="003321F5" w:rsidRPr="003321F5">
        <w:t> </w:t>
      </w:r>
      <w:r w:rsidRPr="003321F5">
        <w:t>5.12F(1).</w:t>
      </w:r>
    </w:p>
    <w:p w:rsidR="00495D5A" w:rsidRPr="003321F5" w:rsidRDefault="009E1E71" w:rsidP="00813F85">
      <w:pPr>
        <w:pStyle w:val="ItemHead"/>
      </w:pPr>
      <w:r w:rsidRPr="003321F5">
        <w:t>8</w:t>
      </w:r>
      <w:r w:rsidR="00813F85" w:rsidRPr="003321F5">
        <w:t xml:space="preserve">  Regulation</w:t>
      </w:r>
      <w:r w:rsidR="003321F5" w:rsidRPr="003321F5">
        <w:t> </w:t>
      </w:r>
      <w:r w:rsidR="00813F85" w:rsidRPr="003321F5">
        <w:t xml:space="preserve">5.12A (definition of </w:t>
      </w:r>
      <w:r w:rsidR="00512120" w:rsidRPr="003321F5">
        <w:rPr>
          <w:i/>
        </w:rPr>
        <w:t>point value</w:t>
      </w:r>
      <w:r w:rsidR="00813F85" w:rsidRPr="003321F5">
        <w:t>)</w:t>
      </w:r>
    </w:p>
    <w:p w:rsidR="00813F85" w:rsidRPr="003321F5" w:rsidRDefault="00813F85" w:rsidP="00813F85">
      <w:pPr>
        <w:pStyle w:val="Item"/>
      </w:pPr>
      <w:r w:rsidRPr="003321F5">
        <w:t>Repeal the definition.</w:t>
      </w:r>
    </w:p>
    <w:p w:rsidR="00495D5A" w:rsidRPr="003321F5" w:rsidRDefault="009E1E71" w:rsidP="00495D5A">
      <w:pPr>
        <w:pStyle w:val="ItemHead"/>
      </w:pPr>
      <w:r w:rsidRPr="003321F5">
        <w:t>9</w:t>
      </w:r>
      <w:r w:rsidR="00495D5A" w:rsidRPr="003321F5">
        <w:t xml:space="preserve">  Regulation</w:t>
      </w:r>
      <w:r w:rsidR="003321F5" w:rsidRPr="003321F5">
        <w:t> </w:t>
      </w:r>
      <w:r w:rsidR="00495D5A" w:rsidRPr="003321F5">
        <w:t xml:space="preserve">5.12A (definition of </w:t>
      </w:r>
      <w:r w:rsidR="00495D5A" w:rsidRPr="003321F5">
        <w:rPr>
          <w:i/>
        </w:rPr>
        <w:t>project component</w:t>
      </w:r>
      <w:r w:rsidR="00495D5A" w:rsidRPr="003321F5">
        <w:t>)</w:t>
      </w:r>
    </w:p>
    <w:p w:rsidR="005F2B27" w:rsidRPr="003321F5" w:rsidRDefault="005F2B27" w:rsidP="00495D5A">
      <w:pPr>
        <w:pStyle w:val="Definition"/>
      </w:pPr>
      <w:r w:rsidRPr="003321F5">
        <w:t xml:space="preserve">Omit </w:t>
      </w:r>
      <w:r w:rsidR="00A919F9" w:rsidRPr="003321F5">
        <w:t>“</w:t>
      </w:r>
      <w:r w:rsidRPr="003321F5">
        <w:t>subregulation</w:t>
      </w:r>
      <w:r w:rsidR="003321F5" w:rsidRPr="003321F5">
        <w:t> </w:t>
      </w:r>
      <w:r w:rsidRPr="003321F5">
        <w:t>5.12B(6)</w:t>
      </w:r>
      <w:r w:rsidR="00A919F9" w:rsidRPr="003321F5">
        <w:t>”</w:t>
      </w:r>
      <w:r w:rsidRPr="003321F5">
        <w:t xml:space="preserve">, substitute </w:t>
      </w:r>
      <w:r w:rsidR="00A919F9" w:rsidRPr="003321F5">
        <w:t>“</w:t>
      </w:r>
      <w:r w:rsidRPr="003321F5">
        <w:t>paragraph</w:t>
      </w:r>
      <w:r w:rsidR="003321F5" w:rsidRPr="003321F5">
        <w:t> </w:t>
      </w:r>
      <w:r w:rsidRPr="003321F5">
        <w:t>5.12G(1)(b)</w:t>
      </w:r>
      <w:r w:rsidR="00A919F9" w:rsidRPr="003321F5">
        <w:t>”</w:t>
      </w:r>
      <w:r w:rsidRPr="003321F5">
        <w:t>.</w:t>
      </w:r>
    </w:p>
    <w:p w:rsidR="00495D5A" w:rsidRPr="003321F5" w:rsidRDefault="009E1E71" w:rsidP="00495D5A">
      <w:pPr>
        <w:pStyle w:val="ItemHead"/>
      </w:pPr>
      <w:r w:rsidRPr="003321F5">
        <w:t>10</w:t>
      </w:r>
      <w:r w:rsidR="00495D5A" w:rsidRPr="003321F5">
        <w:t xml:space="preserve">  </w:t>
      </w:r>
      <w:r w:rsidR="00CF54AC" w:rsidRPr="003321F5">
        <w:t>Regula</w:t>
      </w:r>
      <w:r w:rsidR="00495D5A" w:rsidRPr="003321F5">
        <w:t>tion</w:t>
      </w:r>
      <w:r w:rsidR="003321F5" w:rsidRPr="003321F5">
        <w:t> </w:t>
      </w:r>
      <w:r w:rsidR="00495D5A" w:rsidRPr="003321F5">
        <w:t>5.12A</w:t>
      </w:r>
    </w:p>
    <w:p w:rsidR="00495D5A" w:rsidRPr="003321F5" w:rsidRDefault="00495D5A" w:rsidP="00495D5A">
      <w:pPr>
        <w:pStyle w:val="Item"/>
      </w:pPr>
      <w:r w:rsidRPr="003321F5">
        <w:t>Insert:</w:t>
      </w:r>
    </w:p>
    <w:p w:rsidR="00495D5A" w:rsidRPr="003321F5" w:rsidRDefault="00597FFC" w:rsidP="00495D5A">
      <w:pPr>
        <w:pStyle w:val="Definition"/>
      </w:pPr>
      <w:r w:rsidRPr="003321F5">
        <w:rPr>
          <w:b/>
          <w:i/>
        </w:rPr>
        <w:t>project composition component</w:t>
      </w:r>
      <w:r w:rsidR="00495D5A" w:rsidRPr="003321F5">
        <w:t>: see subregulation</w:t>
      </w:r>
      <w:r w:rsidR="003321F5" w:rsidRPr="003321F5">
        <w:t> </w:t>
      </w:r>
      <w:r w:rsidR="00495D5A" w:rsidRPr="003321F5">
        <w:t>5.12B(6).</w:t>
      </w:r>
    </w:p>
    <w:p w:rsidR="00495D5A" w:rsidRPr="003321F5" w:rsidRDefault="009E1E71" w:rsidP="00495D5A">
      <w:pPr>
        <w:pStyle w:val="ItemHead"/>
      </w:pPr>
      <w:r w:rsidRPr="003321F5">
        <w:t>11</w:t>
      </w:r>
      <w:r w:rsidR="00495D5A" w:rsidRPr="003321F5">
        <w:t xml:space="preserve">  Regulation</w:t>
      </w:r>
      <w:r w:rsidR="003321F5" w:rsidRPr="003321F5">
        <w:t> </w:t>
      </w:r>
      <w:r w:rsidR="00495D5A" w:rsidRPr="003321F5">
        <w:t>5.12A</w:t>
      </w:r>
    </w:p>
    <w:p w:rsidR="00495D5A" w:rsidRPr="003321F5" w:rsidRDefault="00495D5A" w:rsidP="00495D5A">
      <w:pPr>
        <w:pStyle w:val="Item"/>
      </w:pPr>
      <w:r w:rsidRPr="003321F5">
        <w:t>Repeal the following definitions:</w:t>
      </w:r>
    </w:p>
    <w:p w:rsidR="00512120" w:rsidRPr="003321F5" w:rsidRDefault="004133A9" w:rsidP="00512120">
      <w:pPr>
        <w:pStyle w:val="paragraph"/>
      </w:pPr>
      <w:r w:rsidRPr="003321F5">
        <w:tab/>
        <w:t>(</w:t>
      </w:r>
      <w:r w:rsidR="00495D5A" w:rsidRPr="003321F5">
        <w:t>a</w:t>
      </w:r>
      <w:r w:rsidRPr="003321F5">
        <w:t>)</w:t>
      </w:r>
      <w:r w:rsidRPr="003321F5">
        <w:tab/>
      </w:r>
      <w:r w:rsidR="00512120" w:rsidRPr="003321F5">
        <w:t xml:space="preserve">definition of </w:t>
      </w:r>
      <w:r w:rsidR="00512120" w:rsidRPr="003321F5">
        <w:rPr>
          <w:b/>
          <w:i/>
        </w:rPr>
        <w:t>seabird</w:t>
      </w:r>
      <w:r w:rsidR="00512120" w:rsidRPr="003321F5">
        <w:t>;</w:t>
      </w:r>
    </w:p>
    <w:p w:rsidR="00512120" w:rsidRPr="003321F5" w:rsidRDefault="00495D5A" w:rsidP="00512120">
      <w:pPr>
        <w:pStyle w:val="paragraph"/>
      </w:pPr>
      <w:r w:rsidRPr="003321F5">
        <w:tab/>
        <w:t>(b</w:t>
      </w:r>
      <w:r w:rsidR="004133A9" w:rsidRPr="003321F5">
        <w:t>)</w:t>
      </w:r>
      <w:r w:rsidR="004133A9" w:rsidRPr="003321F5">
        <w:tab/>
      </w:r>
      <w:r w:rsidR="00512120" w:rsidRPr="003321F5">
        <w:t xml:space="preserve">definition of </w:t>
      </w:r>
      <w:r w:rsidR="00512120" w:rsidRPr="003321F5">
        <w:rPr>
          <w:b/>
          <w:i/>
        </w:rPr>
        <w:t>shorebird</w:t>
      </w:r>
      <w:r w:rsidR="00ED6539" w:rsidRPr="003321F5">
        <w:t>.</w:t>
      </w:r>
    </w:p>
    <w:p w:rsidR="00ED6539" w:rsidRPr="003321F5" w:rsidRDefault="009E1E71" w:rsidP="00ED6539">
      <w:pPr>
        <w:pStyle w:val="ItemHead"/>
      </w:pPr>
      <w:r w:rsidRPr="003321F5">
        <w:t>12</w:t>
      </w:r>
      <w:r w:rsidR="00ED6539" w:rsidRPr="003321F5">
        <w:t xml:space="preserve">  Section</w:t>
      </w:r>
      <w:r w:rsidR="003321F5" w:rsidRPr="003321F5">
        <w:t> </w:t>
      </w:r>
      <w:r w:rsidR="00ED6539" w:rsidRPr="003321F5">
        <w:t xml:space="preserve">5.12A (definition of </w:t>
      </w:r>
      <w:r w:rsidR="00ED6539" w:rsidRPr="003321F5">
        <w:rPr>
          <w:i/>
        </w:rPr>
        <w:t>very high complexity</w:t>
      </w:r>
      <w:r w:rsidR="00ED6539" w:rsidRPr="003321F5">
        <w:t>)</w:t>
      </w:r>
    </w:p>
    <w:p w:rsidR="00ED6539" w:rsidRPr="003321F5" w:rsidRDefault="00ED6539" w:rsidP="00ED6539">
      <w:pPr>
        <w:pStyle w:val="Item"/>
      </w:pPr>
      <w:r w:rsidRPr="003321F5">
        <w:t xml:space="preserve">Repeal the </w:t>
      </w:r>
      <w:r w:rsidR="00A919F9" w:rsidRPr="003321F5">
        <w:t>definition</w:t>
      </w:r>
      <w:r w:rsidRPr="003321F5">
        <w:t>, substitute:</w:t>
      </w:r>
    </w:p>
    <w:p w:rsidR="00A919F9" w:rsidRPr="003321F5" w:rsidRDefault="00A919F9" w:rsidP="00A919F9">
      <w:pPr>
        <w:pStyle w:val="Definition"/>
      </w:pPr>
      <w:r w:rsidRPr="003321F5">
        <w:rPr>
          <w:b/>
          <w:i/>
        </w:rPr>
        <w:t>very high complexity</w:t>
      </w:r>
      <w:r w:rsidRPr="003321F5">
        <w:t>:</w:t>
      </w:r>
    </w:p>
    <w:p w:rsidR="007E37BC" w:rsidRPr="003321F5" w:rsidRDefault="007E37BC" w:rsidP="00ED6539">
      <w:pPr>
        <w:pStyle w:val="paragraph"/>
      </w:pPr>
      <w:r w:rsidRPr="003321F5">
        <w:tab/>
        <w:t>(a)</w:t>
      </w:r>
      <w:r w:rsidRPr="003321F5">
        <w:tab/>
        <w:t>in relation to an application component: see subregulation</w:t>
      </w:r>
      <w:r w:rsidR="003321F5" w:rsidRPr="003321F5">
        <w:t> </w:t>
      </w:r>
      <w:r w:rsidRPr="003321F5">
        <w:t>5.12C(1); and</w:t>
      </w:r>
    </w:p>
    <w:p w:rsidR="00ED6539" w:rsidRPr="003321F5" w:rsidRDefault="00ED6539" w:rsidP="00ED6539">
      <w:pPr>
        <w:pStyle w:val="paragraph"/>
      </w:pPr>
      <w:r w:rsidRPr="003321F5">
        <w:tab/>
        <w:t>(</w:t>
      </w:r>
      <w:r w:rsidR="007E37BC" w:rsidRPr="003321F5">
        <w:t>b</w:t>
      </w:r>
      <w:r w:rsidRPr="003321F5">
        <w:t>)</w:t>
      </w:r>
      <w:r w:rsidRPr="003321F5">
        <w:tab/>
        <w:t>in relation to a controlling provision component: see subregulation</w:t>
      </w:r>
      <w:r w:rsidR="003321F5" w:rsidRPr="003321F5">
        <w:t> </w:t>
      </w:r>
      <w:r w:rsidRPr="003321F5">
        <w:t>5.12D(1); and</w:t>
      </w:r>
    </w:p>
    <w:p w:rsidR="00ED6539" w:rsidRPr="003321F5" w:rsidRDefault="007E37BC" w:rsidP="00ED6539">
      <w:pPr>
        <w:pStyle w:val="paragraph"/>
      </w:pPr>
      <w:r w:rsidRPr="003321F5">
        <w:tab/>
        <w:t>(c</w:t>
      </w:r>
      <w:r w:rsidR="00ED6539" w:rsidRPr="003321F5">
        <w:t>)</w:t>
      </w:r>
      <w:r w:rsidR="00ED6539" w:rsidRPr="003321F5">
        <w:tab/>
        <w:t>in relation to a legislative impact component: see subregulation</w:t>
      </w:r>
      <w:r w:rsidR="003321F5" w:rsidRPr="003321F5">
        <w:t> </w:t>
      </w:r>
      <w:r w:rsidR="00ED6539" w:rsidRPr="003321F5">
        <w:t>5.12F(1).</w:t>
      </w:r>
    </w:p>
    <w:p w:rsidR="00E97472" w:rsidRPr="003321F5" w:rsidRDefault="009E1E71" w:rsidP="00E97472">
      <w:pPr>
        <w:pStyle w:val="ItemHead"/>
      </w:pPr>
      <w:r w:rsidRPr="003321F5">
        <w:t>13</w:t>
      </w:r>
      <w:r w:rsidR="00E97472" w:rsidRPr="003321F5">
        <w:t xml:space="preserve">  Subregulation</w:t>
      </w:r>
      <w:r w:rsidR="006C426F" w:rsidRPr="003321F5">
        <w:t>s</w:t>
      </w:r>
      <w:r w:rsidR="003321F5" w:rsidRPr="003321F5">
        <w:t> </w:t>
      </w:r>
      <w:r w:rsidR="00E97472" w:rsidRPr="003321F5">
        <w:t>5.12B(1)</w:t>
      </w:r>
      <w:r w:rsidR="006C426F" w:rsidRPr="003321F5">
        <w:t>, (2) and (3)</w:t>
      </w:r>
    </w:p>
    <w:p w:rsidR="00E97472" w:rsidRPr="003321F5" w:rsidRDefault="00E97472" w:rsidP="00E97472">
      <w:pPr>
        <w:pStyle w:val="Item"/>
      </w:pPr>
      <w:r w:rsidRPr="003321F5">
        <w:t>Repeal the subregulation</w:t>
      </w:r>
      <w:r w:rsidR="006C426F" w:rsidRPr="003321F5">
        <w:t>s</w:t>
      </w:r>
      <w:r w:rsidRPr="003321F5">
        <w:t>, substitute:</w:t>
      </w:r>
    </w:p>
    <w:p w:rsidR="00E97472" w:rsidRPr="003321F5" w:rsidRDefault="00E97472" w:rsidP="00E97472">
      <w:pPr>
        <w:pStyle w:val="subsection"/>
      </w:pPr>
      <w:r w:rsidRPr="003321F5">
        <w:tab/>
        <w:t>(1)</w:t>
      </w:r>
      <w:r w:rsidRPr="003321F5">
        <w:tab/>
        <w:t>The complexity fee for an assessment of the impacts of an action includes the following components:</w:t>
      </w:r>
    </w:p>
    <w:p w:rsidR="00E97472" w:rsidRPr="003321F5" w:rsidRDefault="00E97472" w:rsidP="00E97472">
      <w:pPr>
        <w:pStyle w:val="paragraph"/>
      </w:pPr>
      <w:r w:rsidRPr="003321F5">
        <w:tab/>
        <w:t>(a)</w:t>
      </w:r>
      <w:r w:rsidRPr="003321F5">
        <w:tab/>
      </w:r>
      <w:r w:rsidR="00255F06" w:rsidRPr="003321F5">
        <w:t>3</w:t>
      </w:r>
      <w:r w:rsidRPr="003321F5">
        <w:t xml:space="preserve"> application components;</w:t>
      </w:r>
    </w:p>
    <w:p w:rsidR="00E97472" w:rsidRPr="003321F5" w:rsidRDefault="00E97472" w:rsidP="00E97472">
      <w:pPr>
        <w:pStyle w:val="paragraph"/>
      </w:pPr>
      <w:r w:rsidRPr="003321F5">
        <w:tab/>
        <w:t>(b)</w:t>
      </w:r>
      <w:r w:rsidRPr="003321F5">
        <w:tab/>
        <w:t>one or more controlling provision components;</w:t>
      </w:r>
    </w:p>
    <w:p w:rsidR="00E97472" w:rsidRPr="003321F5" w:rsidRDefault="00E97472" w:rsidP="00E97472">
      <w:pPr>
        <w:pStyle w:val="paragraph"/>
      </w:pPr>
      <w:r w:rsidRPr="003321F5">
        <w:tab/>
        <w:t>(c)</w:t>
      </w:r>
      <w:r w:rsidRPr="003321F5">
        <w:tab/>
      </w:r>
      <w:r w:rsidR="00D77C82" w:rsidRPr="003321F5">
        <w:t>if applicable—</w:t>
      </w:r>
      <w:r w:rsidR="00A573AD" w:rsidRPr="003321F5">
        <w:t>the</w:t>
      </w:r>
      <w:r w:rsidRPr="003321F5">
        <w:t xml:space="preserve"> exceptional case component;</w:t>
      </w:r>
    </w:p>
    <w:p w:rsidR="00E97472" w:rsidRPr="003321F5" w:rsidRDefault="00E97472" w:rsidP="00E97472">
      <w:pPr>
        <w:pStyle w:val="paragraph"/>
      </w:pPr>
      <w:r w:rsidRPr="003321F5">
        <w:tab/>
        <w:t>(d)</w:t>
      </w:r>
      <w:r w:rsidRPr="003321F5">
        <w:tab/>
      </w:r>
      <w:r w:rsidR="006B6280" w:rsidRPr="003321F5">
        <w:t>a</w:t>
      </w:r>
      <w:r w:rsidRPr="003321F5">
        <w:t xml:space="preserve"> legislative impact component;</w:t>
      </w:r>
    </w:p>
    <w:p w:rsidR="00E97472" w:rsidRPr="003321F5" w:rsidRDefault="00E97472" w:rsidP="00E97472">
      <w:pPr>
        <w:pStyle w:val="paragraph"/>
      </w:pPr>
      <w:r w:rsidRPr="003321F5">
        <w:tab/>
        <w:t>(e)</w:t>
      </w:r>
      <w:r w:rsidRPr="003321F5">
        <w:tab/>
      </w:r>
      <w:r w:rsidR="006B6280" w:rsidRPr="003321F5">
        <w:t>a</w:t>
      </w:r>
      <w:r w:rsidRPr="003321F5">
        <w:t xml:space="preserve"> </w:t>
      </w:r>
      <w:r w:rsidR="00597FFC" w:rsidRPr="003321F5">
        <w:t>project composition component</w:t>
      </w:r>
      <w:r w:rsidRPr="003321F5">
        <w:t>.</w:t>
      </w:r>
    </w:p>
    <w:p w:rsidR="0063197E" w:rsidRPr="003321F5" w:rsidRDefault="0063197E" w:rsidP="00E67507">
      <w:pPr>
        <w:pStyle w:val="subsection"/>
      </w:pPr>
      <w:r w:rsidRPr="003321F5">
        <w:tab/>
        <w:t>(2)</w:t>
      </w:r>
      <w:r w:rsidRPr="003321F5">
        <w:tab/>
        <w:t xml:space="preserve">An </w:t>
      </w:r>
      <w:r w:rsidRPr="003321F5">
        <w:rPr>
          <w:b/>
          <w:i/>
        </w:rPr>
        <w:t>application component</w:t>
      </w:r>
      <w:r w:rsidRPr="003321F5">
        <w:t xml:space="preserve"> applies</w:t>
      </w:r>
      <w:r w:rsidR="00D8017A" w:rsidRPr="003321F5">
        <w:t>,</w:t>
      </w:r>
      <w:r w:rsidRPr="003321F5">
        <w:t xml:space="preserve"> in relation to </w:t>
      </w:r>
      <w:r w:rsidR="003F0B53" w:rsidRPr="003321F5">
        <w:t>the</w:t>
      </w:r>
      <w:r w:rsidRPr="003321F5">
        <w:t xml:space="preserve"> assessment of the impacts of an action</w:t>
      </w:r>
      <w:r w:rsidR="00D8017A" w:rsidRPr="003321F5">
        <w:t>,</w:t>
      </w:r>
      <w:r w:rsidRPr="003321F5">
        <w:t xml:space="preserve"> </w:t>
      </w:r>
      <w:r w:rsidR="00D8017A" w:rsidRPr="003321F5">
        <w:t xml:space="preserve">for each </w:t>
      </w:r>
      <w:r w:rsidR="00466860" w:rsidRPr="003321F5">
        <w:t>of the following types of information</w:t>
      </w:r>
      <w:r w:rsidR="00D8017A" w:rsidRPr="003321F5">
        <w:t xml:space="preserve"> required to be included in the referral of the action</w:t>
      </w:r>
      <w:r w:rsidRPr="003321F5">
        <w:t>:</w:t>
      </w:r>
    </w:p>
    <w:p w:rsidR="00D83B83" w:rsidRPr="003321F5" w:rsidRDefault="00D83B83" w:rsidP="0063197E">
      <w:pPr>
        <w:pStyle w:val="paragraph"/>
      </w:pPr>
      <w:r w:rsidRPr="003321F5">
        <w:tab/>
        <w:t>(a)</w:t>
      </w:r>
      <w:r w:rsidRPr="003321F5">
        <w:tab/>
        <w:t xml:space="preserve">information </w:t>
      </w:r>
      <w:r w:rsidR="000D5D47" w:rsidRPr="003321F5">
        <w:t>mentioned</w:t>
      </w:r>
      <w:r w:rsidRPr="003321F5">
        <w:t xml:space="preserve"> in paragra</w:t>
      </w:r>
      <w:r w:rsidR="00854BD6" w:rsidRPr="003321F5">
        <w:t>ph</w:t>
      </w:r>
      <w:r w:rsidR="003321F5" w:rsidRPr="003321F5">
        <w:t> </w:t>
      </w:r>
      <w:r w:rsidR="00854BD6" w:rsidRPr="003321F5">
        <w:t>4.01(a) or (j) of Schedule</w:t>
      </w:r>
      <w:r w:rsidR="003321F5" w:rsidRPr="003321F5">
        <w:t> </w:t>
      </w:r>
      <w:r w:rsidR="00854BD6" w:rsidRPr="003321F5">
        <w:t>2</w:t>
      </w:r>
      <w:r w:rsidR="00595D20" w:rsidRPr="003321F5">
        <w:t xml:space="preserve"> (about the proposed action)</w:t>
      </w:r>
      <w:r w:rsidRPr="003321F5">
        <w:t>;</w:t>
      </w:r>
    </w:p>
    <w:p w:rsidR="00D83B83" w:rsidRPr="003321F5" w:rsidRDefault="00D83B83" w:rsidP="0063197E">
      <w:pPr>
        <w:pStyle w:val="paragraph"/>
      </w:pPr>
      <w:r w:rsidRPr="003321F5">
        <w:tab/>
        <w:t>(b)</w:t>
      </w:r>
      <w:r w:rsidRPr="003321F5">
        <w:tab/>
        <w:t xml:space="preserve">information </w:t>
      </w:r>
      <w:r w:rsidR="000D5D47" w:rsidRPr="003321F5">
        <w:t xml:space="preserve">mentioned </w:t>
      </w:r>
      <w:r w:rsidRPr="003321F5">
        <w:t>in item</w:t>
      </w:r>
      <w:r w:rsidR="003321F5" w:rsidRPr="003321F5">
        <w:t> </w:t>
      </w:r>
      <w:r w:rsidRPr="003321F5">
        <w:t>5.02, 5.04 or 5.05 of Schedule</w:t>
      </w:r>
      <w:r w:rsidR="003321F5" w:rsidRPr="003321F5">
        <w:t> </w:t>
      </w:r>
      <w:r w:rsidRPr="003321F5">
        <w:t>2</w:t>
      </w:r>
      <w:r w:rsidR="00595D20" w:rsidRPr="003321F5">
        <w:t xml:space="preserve"> (about the nature and extent of the likely impacts of the action)</w:t>
      </w:r>
      <w:r w:rsidRPr="003321F5">
        <w:t>;</w:t>
      </w:r>
    </w:p>
    <w:p w:rsidR="00D83B83" w:rsidRPr="003321F5" w:rsidRDefault="00D83B83" w:rsidP="0063197E">
      <w:pPr>
        <w:pStyle w:val="paragraph"/>
      </w:pPr>
      <w:r w:rsidRPr="003321F5">
        <w:tab/>
        <w:t>(c)</w:t>
      </w:r>
      <w:r w:rsidRPr="003321F5">
        <w:tab/>
        <w:t xml:space="preserve">information </w:t>
      </w:r>
      <w:r w:rsidR="000D5D47" w:rsidRPr="003321F5">
        <w:t xml:space="preserve">mentioned </w:t>
      </w:r>
      <w:r w:rsidRPr="003321F5">
        <w:t>in item</w:t>
      </w:r>
      <w:r w:rsidR="003321F5" w:rsidRPr="003321F5">
        <w:t> </w:t>
      </w:r>
      <w:r w:rsidRPr="003321F5">
        <w:t>6.01, 6.02 or 6.03 of Schedule</w:t>
      </w:r>
      <w:r w:rsidR="003321F5" w:rsidRPr="003321F5">
        <w:t> </w:t>
      </w:r>
      <w:r w:rsidRPr="003321F5">
        <w:t>2</w:t>
      </w:r>
      <w:r w:rsidR="00595D20" w:rsidRPr="003321F5">
        <w:t xml:space="preserve"> (about measures to avoid or reduce the impacts of the action)</w:t>
      </w:r>
      <w:r w:rsidRPr="003321F5">
        <w:t>.</w:t>
      </w:r>
    </w:p>
    <w:p w:rsidR="00667D99" w:rsidRPr="003321F5" w:rsidRDefault="00667D99" w:rsidP="0044056B">
      <w:pPr>
        <w:pStyle w:val="subsection"/>
      </w:pPr>
      <w:r w:rsidRPr="003321F5">
        <w:tab/>
        <w:t>(3)</w:t>
      </w:r>
      <w:r w:rsidRPr="003321F5">
        <w:tab/>
        <w:t xml:space="preserve">A </w:t>
      </w:r>
      <w:r w:rsidRPr="003321F5">
        <w:rPr>
          <w:b/>
          <w:i/>
        </w:rPr>
        <w:t xml:space="preserve">controlling provision component </w:t>
      </w:r>
      <w:r w:rsidRPr="003321F5">
        <w:t xml:space="preserve">applies, in relation to </w:t>
      </w:r>
      <w:r w:rsidR="003F0B53" w:rsidRPr="003321F5">
        <w:t>the</w:t>
      </w:r>
      <w:r w:rsidRPr="003321F5">
        <w:t xml:space="preserve"> assessment of the impacts of an action, for</w:t>
      </w:r>
      <w:r w:rsidR="003E7777" w:rsidRPr="003321F5">
        <w:rPr>
          <w:i/>
        </w:rPr>
        <w:t xml:space="preserve"> </w:t>
      </w:r>
      <w:r w:rsidRPr="003321F5">
        <w:t>each Subdivision of a Division of Part</w:t>
      </w:r>
      <w:r w:rsidR="003321F5" w:rsidRPr="003321F5">
        <w:t> </w:t>
      </w:r>
      <w:r w:rsidRPr="003321F5">
        <w:t>3 of the Act that includes a controlling provision for the action.</w:t>
      </w:r>
    </w:p>
    <w:p w:rsidR="003E7777" w:rsidRPr="003321F5" w:rsidRDefault="009E1E71" w:rsidP="000D2708">
      <w:pPr>
        <w:pStyle w:val="ItemHead"/>
      </w:pPr>
      <w:r w:rsidRPr="003321F5">
        <w:t>14</w:t>
      </w:r>
      <w:r w:rsidR="00B54569" w:rsidRPr="003321F5">
        <w:t xml:space="preserve">  Subregulation</w:t>
      </w:r>
      <w:r w:rsidR="00666F40" w:rsidRPr="003321F5">
        <w:t>s</w:t>
      </w:r>
      <w:r w:rsidR="003321F5" w:rsidRPr="003321F5">
        <w:t> </w:t>
      </w:r>
      <w:r w:rsidR="00B54569" w:rsidRPr="003321F5">
        <w:t>5.12B</w:t>
      </w:r>
      <w:r w:rsidR="00666F40" w:rsidRPr="003321F5">
        <w:t xml:space="preserve">(5) and </w:t>
      </w:r>
      <w:r w:rsidR="00B54569" w:rsidRPr="003321F5">
        <w:t>(6)</w:t>
      </w:r>
    </w:p>
    <w:p w:rsidR="00B54569" w:rsidRPr="003321F5" w:rsidRDefault="00B54569" w:rsidP="00B54569">
      <w:pPr>
        <w:pStyle w:val="Item"/>
      </w:pPr>
      <w:r w:rsidRPr="003321F5">
        <w:t>Repeal the subregulation</w:t>
      </w:r>
      <w:r w:rsidR="00666F40" w:rsidRPr="003321F5">
        <w:t>s</w:t>
      </w:r>
      <w:r w:rsidRPr="003321F5">
        <w:t>, substitute:</w:t>
      </w:r>
    </w:p>
    <w:p w:rsidR="00666F40" w:rsidRPr="003321F5" w:rsidRDefault="00666F40" w:rsidP="00B54569">
      <w:pPr>
        <w:pStyle w:val="subsection"/>
      </w:pPr>
      <w:r w:rsidRPr="003321F5">
        <w:tab/>
        <w:t>(5)</w:t>
      </w:r>
      <w:r w:rsidRPr="003321F5">
        <w:tab/>
        <w:t xml:space="preserve">A </w:t>
      </w:r>
      <w:r w:rsidRPr="003321F5">
        <w:rPr>
          <w:b/>
          <w:i/>
        </w:rPr>
        <w:t xml:space="preserve">legislative impact component </w:t>
      </w:r>
      <w:r w:rsidRPr="003321F5">
        <w:t>applies</w:t>
      </w:r>
      <w:r w:rsidR="004133A9" w:rsidRPr="003321F5">
        <w:t>,</w:t>
      </w:r>
      <w:r w:rsidRPr="003321F5">
        <w:t xml:space="preserve"> in relation to the assessment of the impacts of an action, for </w:t>
      </w:r>
      <w:r w:rsidR="00B73A5A" w:rsidRPr="003321F5">
        <w:t>the legislative processes</w:t>
      </w:r>
      <w:r w:rsidR="00844E49" w:rsidRPr="003321F5">
        <w:t xml:space="preserve"> </w:t>
      </w:r>
      <w:r w:rsidR="00B73A5A" w:rsidRPr="003321F5">
        <w:t>involved in the assessment</w:t>
      </w:r>
      <w:r w:rsidR="0036140C" w:rsidRPr="003321F5">
        <w:t xml:space="preserve"> (whether or not there are any)</w:t>
      </w:r>
      <w:r w:rsidR="00B73A5A" w:rsidRPr="003321F5">
        <w:t>.</w:t>
      </w:r>
    </w:p>
    <w:p w:rsidR="00B54569" w:rsidRPr="003321F5" w:rsidRDefault="00B54569" w:rsidP="00B54569">
      <w:pPr>
        <w:pStyle w:val="subsection"/>
      </w:pPr>
      <w:r w:rsidRPr="003321F5">
        <w:tab/>
        <w:t>(6)</w:t>
      </w:r>
      <w:r w:rsidRPr="003321F5">
        <w:tab/>
        <w:t xml:space="preserve">A </w:t>
      </w:r>
      <w:r w:rsidR="00597FFC" w:rsidRPr="003321F5">
        <w:rPr>
          <w:b/>
          <w:i/>
        </w:rPr>
        <w:t>project composition component</w:t>
      </w:r>
      <w:r w:rsidRPr="003321F5">
        <w:t xml:space="preserve"> applies</w:t>
      </w:r>
      <w:r w:rsidR="00A573AD" w:rsidRPr="003321F5">
        <w:t>, in relation to the assessment of the impacts of an action, for</w:t>
      </w:r>
      <w:r w:rsidR="00186A75" w:rsidRPr="003321F5">
        <w:t xml:space="preserve"> the activities</w:t>
      </w:r>
      <w:r w:rsidR="004133A9" w:rsidRPr="003321F5">
        <w:t xml:space="preserve"> </w:t>
      </w:r>
      <w:r w:rsidR="003C56B5" w:rsidRPr="003321F5">
        <w:t xml:space="preserve">to be carried out in taking </w:t>
      </w:r>
      <w:r w:rsidR="004133A9" w:rsidRPr="003321F5">
        <w:t>the action</w:t>
      </w:r>
      <w:r w:rsidR="00025425" w:rsidRPr="003321F5">
        <w:t xml:space="preserve"> (known as project components)</w:t>
      </w:r>
      <w:r w:rsidR="003C56B5" w:rsidRPr="003321F5">
        <w:t>,</w:t>
      </w:r>
      <w:r w:rsidR="00A573AD" w:rsidRPr="003321F5">
        <w:t xml:space="preserve"> </w:t>
      </w:r>
      <w:r w:rsidR="004133A9" w:rsidRPr="003321F5">
        <w:t>as determined by the</w:t>
      </w:r>
      <w:r w:rsidR="00A573AD" w:rsidRPr="003321F5">
        <w:t xml:space="preserve"> Minister </w:t>
      </w:r>
      <w:r w:rsidR="004133A9" w:rsidRPr="003321F5">
        <w:t>under subregulation</w:t>
      </w:r>
      <w:r w:rsidR="003321F5" w:rsidRPr="003321F5">
        <w:t> </w:t>
      </w:r>
      <w:r w:rsidR="004133A9" w:rsidRPr="003321F5">
        <w:t>5.12G(1)</w:t>
      </w:r>
      <w:r w:rsidR="00A573AD" w:rsidRPr="003321F5">
        <w:t>.</w:t>
      </w:r>
    </w:p>
    <w:p w:rsidR="007D65E0" w:rsidRPr="003321F5" w:rsidRDefault="009E1E71" w:rsidP="007D65E0">
      <w:pPr>
        <w:pStyle w:val="ItemHead"/>
      </w:pPr>
      <w:r w:rsidRPr="003321F5">
        <w:t>15</w:t>
      </w:r>
      <w:r w:rsidR="007D65E0" w:rsidRPr="003321F5">
        <w:t xml:space="preserve">  Subsection</w:t>
      </w:r>
      <w:r w:rsidR="003321F5" w:rsidRPr="003321F5">
        <w:t> </w:t>
      </w:r>
      <w:r w:rsidR="007D65E0" w:rsidRPr="003321F5">
        <w:t>5.12C(1)</w:t>
      </w:r>
    </w:p>
    <w:p w:rsidR="007D65E0" w:rsidRPr="003321F5" w:rsidRDefault="007D65E0" w:rsidP="007D65E0">
      <w:pPr>
        <w:pStyle w:val="Item"/>
      </w:pPr>
      <w:r w:rsidRPr="003321F5">
        <w:t xml:space="preserve">Omit </w:t>
      </w:r>
      <w:r w:rsidR="00A919F9" w:rsidRPr="003321F5">
        <w:t>“</w:t>
      </w:r>
      <w:r w:rsidRPr="003321F5">
        <w:t xml:space="preserve">or </w:t>
      </w:r>
      <w:r w:rsidRPr="003321F5">
        <w:rPr>
          <w:b/>
          <w:i/>
        </w:rPr>
        <w:t>high complexity</w:t>
      </w:r>
      <w:r w:rsidR="00A919F9" w:rsidRPr="003321F5">
        <w:t>”</w:t>
      </w:r>
      <w:r w:rsidRPr="003321F5">
        <w:t xml:space="preserve">, substitute </w:t>
      </w:r>
      <w:r w:rsidR="00A919F9" w:rsidRPr="003321F5">
        <w:t>“</w:t>
      </w:r>
      <w:r w:rsidRPr="003321F5">
        <w:t xml:space="preserve">, </w:t>
      </w:r>
      <w:r w:rsidRPr="003321F5">
        <w:rPr>
          <w:b/>
          <w:i/>
        </w:rPr>
        <w:t>high complexity</w:t>
      </w:r>
      <w:r w:rsidRPr="003321F5">
        <w:t xml:space="preserve"> or </w:t>
      </w:r>
      <w:r w:rsidRPr="003321F5">
        <w:rPr>
          <w:b/>
          <w:i/>
        </w:rPr>
        <w:t>very high complexity</w:t>
      </w:r>
      <w:r w:rsidR="00A919F9" w:rsidRPr="003321F5">
        <w:t>”</w:t>
      </w:r>
      <w:r w:rsidRPr="003321F5">
        <w:t>.</w:t>
      </w:r>
    </w:p>
    <w:p w:rsidR="005F3545" w:rsidRPr="003321F5" w:rsidRDefault="009E1E71" w:rsidP="000D2708">
      <w:pPr>
        <w:pStyle w:val="ItemHead"/>
      </w:pPr>
      <w:r w:rsidRPr="003321F5">
        <w:t>16</w:t>
      </w:r>
      <w:r w:rsidR="005F3545" w:rsidRPr="003321F5">
        <w:t xml:space="preserve">  Subregulation</w:t>
      </w:r>
      <w:r w:rsidR="003321F5" w:rsidRPr="003321F5">
        <w:t> </w:t>
      </w:r>
      <w:r w:rsidR="005F3545" w:rsidRPr="003321F5">
        <w:t>5.12C</w:t>
      </w:r>
      <w:r w:rsidR="000D6117" w:rsidRPr="003321F5">
        <w:t>(2)</w:t>
      </w:r>
    </w:p>
    <w:p w:rsidR="000D6117" w:rsidRPr="003321F5" w:rsidRDefault="000D6117" w:rsidP="000D6117">
      <w:pPr>
        <w:pStyle w:val="Item"/>
      </w:pPr>
      <w:r w:rsidRPr="003321F5">
        <w:t>Repeal the subregulation, substitute:</w:t>
      </w:r>
    </w:p>
    <w:p w:rsidR="002A329D" w:rsidRPr="003321F5" w:rsidRDefault="002A329D" w:rsidP="002A329D">
      <w:pPr>
        <w:pStyle w:val="subsection"/>
      </w:pPr>
      <w:r w:rsidRPr="003321F5">
        <w:tab/>
        <w:t>(2)</w:t>
      </w:r>
      <w:r w:rsidRPr="003321F5">
        <w:tab/>
        <w:t xml:space="preserve">When making a determination under </w:t>
      </w:r>
      <w:r w:rsidR="00813F85" w:rsidRPr="003321F5">
        <w:t xml:space="preserve">this </w:t>
      </w:r>
      <w:r w:rsidRPr="003321F5">
        <w:t xml:space="preserve">regulation, </w:t>
      </w:r>
      <w:r w:rsidR="009008AC" w:rsidRPr="003321F5">
        <w:t>t</w:t>
      </w:r>
      <w:r w:rsidRPr="003321F5">
        <w:t>he Minister must consider the adequacy of the information provided.</w:t>
      </w:r>
    </w:p>
    <w:p w:rsidR="000D2E0E" w:rsidRPr="003321F5" w:rsidRDefault="009E1E71" w:rsidP="000D2708">
      <w:pPr>
        <w:pStyle w:val="ItemHead"/>
      </w:pPr>
      <w:r w:rsidRPr="003321F5">
        <w:t>17</w:t>
      </w:r>
      <w:r w:rsidR="000D2E0E" w:rsidRPr="003321F5">
        <w:t xml:space="preserve">  Subregulations</w:t>
      </w:r>
      <w:r w:rsidR="003321F5" w:rsidRPr="003321F5">
        <w:t> </w:t>
      </w:r>
      <w:r w:rsidR="000D2E0E" w:rsidRPr="003321F5">
        <w:t>5.12D</w:t>
      </w:r>
      <w:r w:rsidR="0092451D" w:rsidRPr="003321F5">
        <w:t>(</w:t>
      </w:r>
      <w:r w:rsidR="006B6280" w:rsidRPr="003321F5">
        <w:t>2</w:t>
      </w:r>
      <w:r w:rsidR="0092451D" w:rsidRPr="003321F5">
        <w:t xml:space="preserve">) to </w:t>
      </w:r>
      <w:r w:rsidR="00403921" w:rsidRPr="003321F5">
        <w:t>(4)</w:t>
      </w:r>
    </w:p>
    <w:p w:rsidR="000D2E0E" w:rsidRPr="003321F5" w:rsidRDefault="000D2E0E" w:rsidP="000D2E0E">
      <w:pPr>
        <w:pStyle w:val="Item"/>
      </w:pPr>
      <w:r w:rsidRPr="003321F5">
        <w:t>Repeal the subregulations, substitute:</w:t>
      </w:r>
    </w:p>
    <w:p w:rsidR="000D2E0E" w:rsidRPr="003321F5" w:rsidRDefault="000D2E0E" w:rsidP="000D2E0E">
      <w:pPr>
        <w:pStyle w:val="subsection"/>
      </w:pPr>
      <w:r w:rsidRPr="003321F5">
        <w:tab/>
        <w:t>(2)</w:t>
      </w:r>
      <w:r w:rsidRPr="003321F5">
        <w:tab/>
        <w:t xml:space="preserve">When making a determination under </w:t>
      </w:r>
      <w:r w:rsidR="006B6280" w:rsidRPr="003321F5">
        <w:t xml:space="preserve">this </w:t>
      </w:r>
      <w:r w:rsidRPr="003321F5">
        <w:t>regulation</w:t>
      </w:r>
      <w:r w:rsidR="0044056B" w:rsidRPr="003321F5">
        <w:t xml:space="preserve">, </w:t>
      </w:r>
      <w:r w:rsidRPr="003321F5">
        <w:t>the Minister must consider the following:</w:t>
      </w:r>
    </w:p>
    <w:p w:rsidR="000D2E0E" w:rsidRPr="003321F5" w:rsidRDefault="00440C29" w:rsidP="000D2E0E">
      <w:pPr>
        <w:pStyle w:val="paragraph"/>
      </w:pPr>
      <w:r w:rsidRPr="003321F5">
        <w:tab/>
        <w:t>(a)</w:t>
      </w:r>
      <w:r w:rsidRPr="003321F5">
        <w:tab/>
      </w:r>
      <w:r w:rsidR="000D2E0E" w:rsidRPr="003321F5">
        <w:t>the matters referred to in paragraphs 87(3)(a) to (e) of the Act;</w:t>
      </w:r>
    </w:p>
    <w:p w:rsidR="00794324" w:rsidRPr="003321F5" w:rsidRDefault="00794324" w:rsidP="000D2E0E">
      <w:pPr>
        <w:pStyle w:val="paragraph"/>
      </w:pPr>
      <w:r w:rsidRPr="003321F5">
        <w:tab/>
        <w:t>(b)</w:t>
      </w:r>
      <w:r w:rsidRPr="003321F5">
        <w:tab/>
        <w:t>how well understood</w:t>
      </w:r>
      <w:r w:rsidR="001C2E92" w:rsidRPr="003321F5">
        <w:t xml:space="preserve"> are</w:t>
      </w:r>
      <w:r w:rsidR="006B6280" w:rsidRPr="003321F5">
        <w:t xml:space="preserve"> the impacts of the action</w:t>
      </w:r>
      <w:r w:rsidRPr="003321F5">
        <w:t xml:space="preserve"> on each matter protected by a controlling provision included in the Subdivision to which the controlling provision </w:t>
      </w:r>
      <w:r w:rsidR="001C2E92" w:rsidRPr="003321F5">
        <w:t xml:space="preserve">component </w:t>
      </w:r>
      <w:r w:rsidRPr="003321F5">
        <w:t>relates;</w:t>
      </w:r>
    </w:p>
    <w:p w:rsidR="00833435" w:rsidRPr="003321F5" w:rsidRDefault="00440C29" w:rsidP="000D2E0E">
      <w:pPr>
        <w:pStyle w:val="paragraph"/>
      </w:pPr>
      <w:r w:rsidRPr="003321F5">
        <w:tab/>
        <w:t>(c)</w:t>
      </w:r>
      <w:r w:rsidRPr="003321F5">
        <w:tab/>
      </w:r>
      <w:r w:rsidR="00794324" w:rsidRPr="003321F5">
        <w:t>how well understood</w:t>
      </w:r>
      <w:r w:rsidR="006B6280" w:rsidRPr="003321F5">
        <w:t xml:space="preserve"> </w:t>
      </w:r>
      <w:r w:rsidR="001C2E92" w:rsidRPr="003321F5">
        <w:t xml:space="preserve">are </w:t>
      </w:r>
      <w:r w:rsidR="00833435" w:rsidRPr="003321F5">
        <w:t>the options</w:t>
      </w:r>
      <w:r w:rsidR="0036140C" w:rsidRPr="003321F5">
        <w:t xml:space="preserve"> </w:t>
      </w:r>
      <w:r w:rsidR="00833435" w:rsidRPr="003321F5">
        <w:t xml:space="preserve">for managing or offsetting the impacts of the action on </w:t>
      </w:r>
      <w:r w:rsidR="00B73A5A" w:rsidRPr="003321F5">
        <w:t>each</w:t>
      </w:r>
      <w:r w:rsidR="00833435" w:rsidRPr="003321F5">
        <w:t xml:space="preserve"> matter</w:t>
      </w:r>
      <w:r w:rsidR="008231EF" w:rsidRPr="003321F5">
        <w:t xml:space="preserve"> protected by </w:t>
      </w:r>
      <w:r w:rsidR="00184909" w:rsidRPr="003321F5">
        <w:t xml:space="preserve">a controlling provision included in </w:t>
      </w:r>
      <w:r w:rsidR="008231EF" w:rsidRPr="003321F5">
        <w:t>the Subdivision</w:t>
      </w:r>
      <w:r w:rsidR="008A6EEF" w:rsidRPr="003321F5">
        <w:t xml:space="preserve"> to which the controlling provision </w:t>
      </w:r>
      <w:r w:rsidR="00C42AA9" w:rsidRPr="003321F5">
        <w:t xml:space="preserve">component </w:t>
      </w:r>
      <w:r w:rsidR="008A6EEF" w:rsidRPr="003321F5">
        <w:t>relates</w:t>
      </w:r>
      <w:r w:rsidR="00833435" w:rsidRPr="003321F5">
        <w:t>;</w:t>
      </w:r>
    </w:p>
    <w:p w:rsidR="00833435" w:rsidRPr="003321F5" w:rsidRDefault="00440C29" w:rsidP="00833435">
      <w:pPr>
        <w:pStyle w:val="paragraph"/>
      </w:pPr>
      <w:r w:rsidRPr="003321F5">
        <w:tab/>
        <w:t>(d)</w:t>
      </w:r>
      <w:r w:rsidRPr="003321F5">
        <w:tab/>
      </w:r>
      <w:r w:rsidR="00F345ED" w:rsidRPr="003321F5">
        <w:t xml:space="preserve">if </w:t>
      </w:r>
      <w:r w:rsidR="00833435" w:rsidRPr="003321F5">
        <w:t>section</w:t>
      </w:r>
      <w:r w:rsidR="003321F5" w:rsidRPr="003321F5">
        <w:t> </w:t>
      </w:r>
      <w:r w:rsidR="00833435" w:rsidRPr="003321F5">
        <w:t>18, 18A, 20 or 20A of the Act</w:t>
      </w:r>
      <w:r w:rsidR="00CD5DC0" w:rsidRPr="003321F5">
        <w:t xml:space="preserve"> is relevant to the action</w:t>
      </w:r>
      <w:r w:rsidR="00833435" w:rsidRPr="003321F5">
        <w:t>—</w:t>
      </w:r>
      <w:r w:rsidRPr="003321F5">
        <w:t xml:space="preserve">the </w:t>
      </w:r>
      <w:r w:rsidR="0093323E" w:rsidRPr="003321F5">
        <w:t xml:space="preserve">number of </w:t>
      </w:r>
      <w:r w:rsidR="00833435" w:rsidRPr="003321F5">
        <w:t>species and communities</w:t>
      </w:r>
      <w:r w:rsidR="00FB34E9" w:rsidRPr="003321F5">
        <w:t xml:space="preserve"> </w:t>
      </w:r>
      <w:r w:rsidR="0093323E" w:rsidRPr="003321F5">
        <w:t>to be included in the assessment</w:t>
      </w:r>
      <w:r w:rsidR="00833435" w:rsidRPr="003321F5">
        <w:t>;</w:t>
      </w:r>
    </w:p>
    <w:p w:rsidR="00833435" w:rsidRPr="003321F5" w:rsidRDefault="00440C29" w:rsidP="000D2E0E">
      <w:pPr>
        <w:pStyle w:val="paragraph"/>
      </w:pPr>
      <w:r w:rsidRPr="003321F5">
        <w:tab/>
        <w:t>(e)</w:t>
      </w:r>
      <w:r w:rsidRPr="003321F5">
        <w:tab/>
      </w:r>
      <w:r w:rsidR="00CD5DC0" w:rsidRPr="003321F5">
        <w:t>if section</w:t>
      </w:r>
      <w:r w:rsidR="003321F5" w:rsidRPr="003321F5">
        <w:t> </w:t>
      </w:r>
      <w:r w:rsidR="00CD5DC0" w:rsidRPr="003321F5">
        <w:t xml:space="preserve">23 or 24A of the Act is relevant to the action—any bioregional plan </w:t>
      </w:r>
      <w:r w:rsidR="00D92FD3" w:rsidRPr="003321F5">
        <w:t xml:space="preserve">for a bioregion that includes the area, or any part of the area, </w:t>
      </w:r>
      <w:r w:rsidR="00B6211C" w:rsidRPr="003321F5">
        <w:t xml:space="preserve">in which </w:t>
      </w:r>
      <w:r w:rsidR="00D92FD3" w:rsidRPr="003321F5">
        <w:t>the action is taken</w:t>
      </w:r>
      <w:r w:rsidR="003934B0" w:rsidRPr="003321F5">
        <w:t xml:space="preserve"> </w:t>
      </w:r>
      <w:r w:rsidR="00D92FD3" w:rsidRPr="003321F5">
        <w:t xml:space="preserve">or </w:t>
      </w:r>
      <w:r w:rsidR="00A94843" w:rsidRPr="003321F5">
        <w:t xml:space="preserve">in </w:t>
      </w:r>
      <w:r w:rsidR="00D92FD3" w:rsidRPr="003321F5">
        <w:t>which the action has, will have or is likely to have impacts.</w:t>
      </w:r>
    </w:p>
    <w:p w:rsidR="003937F3" w:rsidRPr="003321F5" w:rsidRDefault="009E1E71" w:rsidP="003937F3">
      <w:pPr>
        <w:pStyle w:val="ItemHead"/>
      </w:pPr>
      <w:r w:rsidRPr="003321F5">
        <w:t>18</w:t>
      </w:r>
      <w:r w:rsidR="003937F3" w:rsidRPr="003321F5">
        <w:t xml:space="preserve">  Regulation</w:t>
      </w:r>
      <w:r w:rsidR="003321F5" w:rsidRPr="003321F5">
        <w:t> </w:t>
      </w:r>
      <w:r w:rsidR="003937F3" w:rsidRPr="003321F5">
        <w:t>5.12E (heading)</w:t>
      </w:r>
    </w:p>
    <w:p w:rsidR="003937F3" w:rsidRPr="003321F5" w:rsidRDefault="003937F3" w:rsidP="003937F3">
      <w:pPr>
        <w:pStyle w:val="Item"/>
      </w:pPr>
      <w:r w:rsidRPr="003321F5">
        <w:t>Repeal the heading, substitute:</w:t>
      </w:r>
    </w:p>
    <w:p w:rsidR="003937F3" w:rsidRPr="003321F5" w:rsidRDefault="003937F3" w:rsidP="003937F3">
      <w:pPr>
        <w:pStyle w:val="ActHead5"/>
      </w:pPr>
      <w:bookmarkStart w:id="12" w:name="_Toc460853510"/>
      <w:r w:rsidRPr="003321F5">
        <w:rPr>
          <w:rStyle w:val="CharSectno"/>
        </w:rPr>
        <w:t>5.12E</w:t>
      </w:r>
      <w:r w:rsidRPr="003321F5">
        <w:t xml:space="preserve">  Determination for an exceptional case component</w:t>
      </w:r>
      <w:bookmarkEnd w:id="12"/>
    </w:p>
    <w:p w:rsidR="00B402E0" w:rsidRPr="003321F5" w:rsidRDefault="009E1E71" w:rsidP="0074003A">
      <w:pPr>
        <w:pStyle w:val="ItemHead"/>
      </w:pPr>
      <w:r w:rsidRPr="003321F5">
        <w:t>19</w:t>
      </w:r>
      <w:r w:rsidR="00B402E0" w:rsidRPr="003321F5">
        <w:t xml:space="preserve">  Subregulation</w:t>
      </w:r>
      <w:r w:rsidR="003321F5" w:rsidRPr="003321F5">
        <w:t> </w:t>
      </w:r>
      <w:r w:rsidR="00B402E0" w:rsidRPr="003321F5">
        <w:t>5.12E</w:t>
      </w:r>
    </w:p>
    <w:p w:rsidR="00FE7AD4" w:rsidRPr="003321F5" w:rsidRDefault="00FE7AD4" w:rsidP="00B402E0">
      <w:pPr>
        <w:pStyle w:val="Item"/>
      </w:pPr>
      <w:r w:rsidRPr="003321F5">
        <w:t xml:space="preserve">Omit </w:t>
      </w:r>
      <w:r w:rsidR="00A919F9" w:rsidRPr="003321F5">
        <w:t>“</w:t>
      </w:r>
      <w:r w:rsidRPr="003321F5">
        <w:t xml:space="preserve">that an </w:t>
      </w:r>
      <w:r w:rsidRPr="003321F5">
        <w:rPr>
          <w:b/>
          <w:i/>
        </w:rPr>
        <w:t>exceptional case component</w:t>
      </w:r>
      <w:r w:rsidRPr="003321F5">
        <w:t xml:space="preserve"> applies in relation to the assessment of the impacts of an action if</w:t>
      </w:r>
      <w:r w:rsidR="00A919F9" w:rsidRPr="003321F5">
        <w:t>”</w:t>
      </w:r>
      <w:r w:rsidRPr="003321F5">
        <w:t xml:space="preserve">, substitute </w:t>
      </w:r>
      <w:r w:rsidR="00A919F9" w:rsidRPr="003321F5">
        <w:t>“</w:t>
      </w:r>
      <w:r w:rsidRPr="003321F5">
        <w:t>, in relation to an action, that</w:t>
      </w:r>
      <w:r w:rsidR="00A919F9" w:rsidRPr="003321F5">
        <w:t>”</w:t>
      </w:r>
      <w:r w:rsidRPr="003321F5">
        <w:t>.</w:t>
      </w:r>
    </w:p>
    <w:p w:rsidR="0074003A" w:rsidRPr="003321F5" w:rsidRDefault="009E1E71" w:rsidP="0074003A">
      <w:pPr>
        <w:pStyle w:val="ItemHead"/>
      </w:pPr>
      <w:r w:rsidRPr="003321F5">
        <w:t>20</w:t>
      </w:r>
      <w:r w:rsidR="0074003A" w:rsidRPr="003321F5">
        <w:t xml:space="preserve">  Regulation</w:t>
      </w:r>
      <w:r w:rsidR="003321F5" w:rsidRPr="003321F5">
        <w:t> </w:t>
      </w:r>
      <w:r w:rsidR="0074003A" w:rsidRPr="003321F5">
        <w:t>5.12F (heading)</w:t>
      </w:r>
    </w:p>
    <w:p w:rsidR="0074003A" w:rsidRPr="003321F5" w:rsidRDefault="0074003A" w:rsidP="0074003A">
      <w:pPr>
        <w:pStyle w:val="Item"/>
      </w:pPr>
      <w:r w:rsidRPr="003321F5">
        <w:t>Repeal the heading, substitute:</w:t>
      </w:r>
    </w:p>
    <w:p w:rsidR="0074003A" w:rsidRPr="003321F5" w:rsidRDefault="003937F3" w:rsidP="0074003A">
      <w:pPr>
        <w:pStyle w:val="ActHead5"/>
      </w:pPr>
      <w:bookmarkStart w:id="13" w:name="_Toc460853511"/>
      <w:r w:rsidRPr="003321F5">
        <w:rPr>
          <w:rStyle w:val="CharSectno"/>
        </w:rPr>
        <w:t>5.12F</w:t>
      </w:r>
      <w:r w:rsidRPr="003321F5">
        <w:t xml:space="preserve">  Determination for the</w:t>
      </w:r>
      <w:r w:rsidR="0074003A" w:rsidRPr="003321F5">
        <w:t xml:space="preserve"> legislative impact component</w:t>
      </w:r>
      <w:bookmarkEnd w:id="13"/>
    </w:p>
    <w:p w:rsidR="00782312" w:rsidRPr="003321F5" w:rsidRDefault="009E1E71" w:rsidP="003763A6">
      <w:pPr>
        <w:pStyle w:val="ItemHead"/>
      </w:pPr>
      <w:r w:rsidRPr="003321F5">
        <w:t>21</w:t>
      </w:r>
      <w:r w:rsidR="00782312" w:rsidRPr="003321F5">
        <w:t xml:space="preserve">  </w:t>
      </w:r>
      <w:r w:rsidR="001A40F5" w:rsidRPr="003321F5">
        <w:t>Subr</w:t>
      </w:r>
      <w:r w:rsidR="00782312" w:rsidRPr="003321F5">
        <w:t>egulation</w:t>
      </w:r>
      <w:r w:rsidR="004A0448" w:rsidRPr="003321F5">
        <w:t>s</w:t>
      </w:r>
      <w:r w:rsidR="003321F5" w:rsidRPr="003321F5">
        <w:t> </w:t>
      </w:r>
      <w:r w:rsidR="00782312" w:rsidRPr="003321F5">
        <w:t>5.12F</w:t>
      </w:r>
      <w:r w:rsidR="001A40F5" w:rsidRPr="003321F5">
        <w:t>(</w:t>
      </w:r>
      <w:r w:rsidR="006B6280" w:rsidRPr="003321F5">
        <w:t>2</w:t>
      </w:r>
      <w:r w:rsidR="001A40F5" w:rsidRPr="003321F5">
        <w:t>)</w:t>
      </w:r>
      <w:r w:rsidR="0093323E" w:rsidRPr="003321F5">
        <w:t xml:space="preserve"> to (5)</w:t>
      </w:r>
    </w:p>
    <w:p w:rsidR="00782312" w:rsidRPr="003321F5" w:rsidRDefault="00782312" w:rsidP="00782312">
      <w:pPr>
        <w:pStyle w:val="Item"/>
      </w:pPr>
      <w:r w:rsidRPr="003321F5">
        <w:t xml:space="preserve">Repeal the </w:t>
      </w:r>
      <w:r w:rsidR="001A40F5" w:rsidRPr="003321F5">
        <w:t>sub</w:t>
      </w:r>
      <w:r w:rsidRPr="003321F5">
        <w:t>regulation</w:t>
      </w:r>
      <w:r w:rsidR="0093323E" w:rsidRPr="003321F5">
        <w:t>s</w:t>
      </w:r>
      <w:r w:rsidRPr="003321F5">
        <w:t>, substitute:</w:t>
      </w:r>
    </w:p>
    <w:p w:rsidR="00A94843" w:rsidRPr="003321F5" w:rsidRDefault="00A94843" w:rsidP="00782312">
      <w:pPr>
        <w:pStyle w:val="subsection"/>
      </w:pPr>
      <w:r w:rsidRPr="003321F5">
        <w:tab/>
        <w:t>(2)</w:t>
      </w:r>
      <w:r w:rsidRPr="003321F5">
        <w:tab/>
        <w:t xml:space="preserve">When making a determination under </w:t>
      </w:r>
      <w:r w:rsidR="006B6280" w:rsidRPr="003321F5">
        <w:t xml:space="preserve">this </w:t>
      </w:r>
      <w:r w:rsidRPr="003321F5">
        <w:t>regulation, the Minister must consider:</w:t>
      </w:r>
    </w:p>
    <w:p w:rsidR="00A94843" w:rsidRPr="003321F5" w:rsidRDefault="00A94843" w:rsidP="00A94843">
      <w:pPr>
        <w:pStyle w:val="paragraph"/>
      </w:pPr>
      <w:r w:rsidRPr="003321F5">
        <w:tab/>
        <w:t>(a)</w:t>
      </w:r>
      <w:r w:rsidRPr="003321F5">
        <w:tab/>
        <w:t xml:space="preserve">how many </w:t>
      </w:r>
      <w:r w:rsidR="003C56B5" w:rsidRPr="003321F5">
        <w:t xml:space="preserve">(if any) </w:t>
      </w:r>
      <w:r w:rsidRPr="003321F5">
        <w:t xml:space="preserve">legislative processes </w:t>
      </w:r>
      <w:r w:rsidR="00E05937" w:rsidRPr="003321F5">
        <w:t xml:space="preserve">of the following kinds </w:t>
      </w:r>
      <w:r w:rsidR="00543467" w:rsidRPr="003321F5">
        <w:t xml:space="preserve">are involved in </w:t>
      </w:r>
      <w:r w:rsidRPr="003321F5">
        <w:t>the assessment of the action:</w:t>
      </w:r>
    </w:p>
    <w:p w:rsidR="00A94843" w:rsidRPr="003321F5" w:rsidRDefault="00A94843" w:rsidP="00A94843">
      <w:pPr>
        <w:pStyle w:val="paragraphsub"/>
      </w:pPr>
      <w:r w:rsidRPr="003321F5">
        <w:tab/>
        <w:t>(i)</w:t>
      </w:r>
      <w:r w:rsidRPr="003321F5">
        <w:tab/>
        <w:t>a specified manner of assessment in accordance with a bilateral agreement, including a declaration described in section</w:t>
      </w:r>
      <w:r w:rsidR="003321F5" w:rsidRPr="003321F5">
        <w:t> </w:t>
      </w:r>
      <w:r w:rsidRPr="003321F5">
        <w:t>47 of the Act;</w:t>
      </w:r>
    </w:p>
    <w:p w:rsidR="00A94843" w:rsidRPr="003321F5" w:rsidRDefault="00A94843" w:rsidP="00A94843">
      <w:pPr>
        <w:pStyle w:val="paragraphsub"/>
      </w:pPr>
      <w:r w:rsidRPr="003321F5">
        <w:tab/>
        <w:t>(ii)</w:t>
      </w:r>
      <w:r w:rsidRPr="003321F5">
        <w:tab/>
        <w:t>a</w:t>
      </w:r>
      <w:r w:rsidR="003C56B5" w:rsidRPr="003321F5">
        <w:t>n accredited assessment</w:t>
      </w:r>
      <w:r w:rsidR="00E05937" w:rsidRPr="003321F5">
        <w:t xml:space="preserve"> </w:t>
      </w:r>
      <w:r w:rsidRPr="003321F5">
        <w:t>process</w:t>
      </w:r>
      <w:r w:rsidR="001F60CC" w:rsidRPr="003321F5">
        <w:t xml:space="preserve"> </w:t>
      </w:r>
      <w:r w:rsidR="003C56B5" w:rsidRPr="003321F5">
        <w:t>mentioned</w:t>
      </w:r>
      <w:r w:rsidR="001F60CC" w:rsidRPr="003321F5">
        <w:t xml:space="preserve"> in </w:t>
      </w:r>
      <w:r w:rsidR="00E05937" w:rsidRPr="003321F5">
        <w:t>paragraph</w:t>
      </w:r>
      <w:r w:rsidR="003321F5" w:rsidRPr="003321F5">
        <w:t> </w:t>
      </w:r>
      <w:r w:rsidRPr="003321F5">
        <w:t>87(</w:t>
      </w:r>
      <w:r w:rsidR="00E05937" w:rsidRPr="003321F5">
        <w:t>1</w:t>
      </w:r>
      <w:r w:rsidRPr="003321F5">
        <w:t>)</w:t>
      </w:r>
      <w:r w:rsidR="00E05937" w:rsidRPr="003321F5">
        <w:t>(a)</w:t>
      </w:r>
      <w:r w:rsidRPr="003321F5">
        <w:t xml:space="preserve"> of the Act;</w:t>
      </w:r>
    </w:p>
    <w:p w:rsidR="00A94843" w:rsidRPr="003321F5" w:rsidRDefault="00A94843" w:rsidP="00A94843">
      <w:pPr>
        <w:pStyle w:val="paragraphsub"/>
      </w:pPr>
      <w:r w:rsidRPr="003321F5">
        <w:tab/>
        <w:t>(iii)</w:t>
      </w:r>
      <w:r w:rsidRPr="003321F5">
        <w:tab/>
        <w:t>the implementation of a project mentioned in paragraph</w:t>
      </w:r>
      <w:r w:rsidR="003321F5" w:rsidRPr="003321F5">
        <w:t> </w:t>
      </w:r>
      <w:r w:rsidRPr="003321F5">
        <w:t>160(2)(a) of the Act;</w:t>
      </w:r>
    </w:p>
    <w:p w:rsidR="00A94843" w:rsidRPr="003321F5" w:rsidRDefault="00A94843" w:rsidP="00A94843">
      <w:pPr>
        <w:pStyle w:val="paragraphsub"/>
      </w:pPr>
      <w:r w:rsidRPr="003321F5">
        <w:tab/>
        <w:t>(iv)</w:t>
      </w:r>
      <w:r w:rsidRPr="003321F5">
        <w:tab/>
        <w:t>the adoption or implementation of a plan mentioned in paragraph</w:t>
      </w:r>
      <w:r w:rsidR="003321F5" w:rsidRPr="003321F5">
        <w:t> </w:t>
      </w:r>
      <w:r w:rsidRPr="003321F5">
        <w:t>160(2)(b) or (c) of the Act;</w:t>
      </w:r>
    </w:p>
    <w:p w:rsidR="00A94843" w:rsidRPr="003321F5" w:rsidRDefault="00A94843" w:rsidP="00A94843">
      <w:pPr>
        <w:pStyle w:val="paragraphsub"/>
      </w:pPr>
      <w:r w:rsidRPr="003321F5">
        <w:tab/>
        <w:t>(v)</w:t>
      </w:r>
      <w:r w:rsidRPr="003321F5">
        <w:tab/>
        <w:t xml:space="preserve">an action </w:t>
      </w:r>
      <w:r w:rsidR="001A40F5" w:rsidRPr="003321F5">
        <w:t>prescribed by the regulations for the purposes of paragraph</w:t>
      </w:r>
      <w:r w:rsidR="003321F5" w:rsidRPr="003321F5">
        <w:t> </w:t>
      </w:r>
      <w:r w:rsidR="001A40F5" w:rsidRPr="003321F5">
        <w:t>160(2)(d) of the Act; and</w:t>
      </w:r>
    </w:p>
    <w:p w:rsidR="001A40F5" w:rsidRPr="003321F5" w:rsidRDefault="001A40F5" w:rsidP="001A40F5">
      <w:pPr>
        <w:pStyle w:val="paragraph"/>
      </w:pPr>
      <w:r w:rsidRPr="003321F5">
        <w:tab/>
        <w:t>(b)</w:t>
      </w:r>
      <w:r w:rsidRPr="003321F5">
        <w:tab/>
        <w:t>whether any other process related to the action is being carried out under a law of the Commonwealth or of a State or Territory and</w:t>
      </w:r>
      <w:r w:rsidR="0074003A" w:rsidRPr="003321F5">
        <w:t>,</w:t>
      </w:r>
      <w:r w:rsidRPr="003321F5">
        <w:t xml:space="preserve"> if so, the nature of the process and the extent to which steps to be carried out under that process may be coordinated with processes referred to in </w:t>
      </w:r>
      <w:r w:rsidR="003321F5" w:rsidRPr="003321F5">
        <w:t>paragraph (</w:t>
      </w:r>
      <w:r w:rsidRPr="003321F5">
        <w:t>a).</w:t>
      </w:r>
    </w:p>
    <w:p w:rsidR="00E271A8" w:rsidRPr="003321F5" w:rsidRDefault="009E1E71" w:rsidP="00E271A8">
      <w:pPr>
        <w:pStyle w:val="ItemHead"/>
      </w:pPr>
      <w:r w:rsidRPr="003321F5">
        <w:t>22</w:t>
      </w:r>
      <w:r w:rsidR="00E271A8" w:rsidRPr="003321F5">
        <w:t xml:space="preserve">  Regulation</w:t>
      </w:r>
      <w:r w:rsidR="003321F5" w:rsidRPr="003321F5">
        <w:t> </w:t>
      </w:r>
      <w:r w:rsidR="00E271A8" w:rsidRPr="003321F5">
        <w:t>5.12G (heading)</w:t>
      </w:r>
    </w:p>
    <w:p w:rsidR="00E271A8" w:rsidRPr="003321F5" w:rsidRDefault="00E271A8" w:rsidP="00E271A8">
      <w:pPr>
        <w:pStyle w:val="Item"/>
      </w:pPr>
      <w:r w:rsidRPr="003321F5">
        <w:t>Repeal the heading, substitute:</w:t>
      </w:r>
    </w:p>
    <w:p w:rsidR="00E271A8" w:rsidRPr="003321F5" w:rsidRDefault="00E271A8" w:rsidP="00E271A8">
      <w:pPr>
        <w:pStyle w:val="ActHead5"/>
      </w:pPr>
      <w:bookmarkStart w:id="14" w:name="_Toc460853512"/>
      <w:r w:rsidRPr="003321F5">
        <w:rPr>
          <w:rStyle w:val="CharSectno"/>
        </w:rPr>
        <w:t>5.12G</w:t>
      </w:r>
      <w:r w:rsidRPr="003321F5">
        <w:t xml:space="preserve">  Determination</w:t>
      </w:r>
      <w:r w:rsidR="00C03CEA" w:rsidRPr="003321F5">
        <w:t xml:space="preserve"> for the </w:t>
      </w:r>
      <w:r w:rsidR="00597FFC" w:rsidRPr="003321F5">
        <w:t>project composition component</w:t>
      </w:r>
      <w:bookmarkEnd w:id="14"/>
    </w:p>
    <w:p w:rsidR="00276480" w:rsidRPr="003321F5" w:rsidRDefault="009E1E71" w:rsidP="00BE0C74">
      <w:pPr>
        <w:pStyle w:val="ItemHead"/>
      </w:pPr>
      <w:r w:rsidRPr="003321F5">
        <w:t>23</w:t>
      </w:r>
      <w:r w:rsidR="00276480" w:rsidRPr="003321F5">
        <w:t xml:space="preserve">  </w:t>
      </w:r>
      <w:r w:rsidR="00BE0C74" w:rsidRPr="003321F5">
        <w:t>Subregulation</w:t>
      </w:r>
      <w:r w:rsidR="003321F5" w:rsidRPr="003321F5">
        <w:t> </w:t>
      </w:r>
      <w:r w:rsidR="00BE0C74" w:rsidRPr="003321F5">
        <w:t>5.12G(1)</w:t>
      </w:r>
    </w:p>
    <w:p w:rsidR="005F2B27" w:rsidRPr="003321F5" w:rsidRDefault="00F34477" w:rsidP="00BE0C74">
      <w:pPr>
        <w:pStyle w:val="Item"/>
      </w:pPr>
      <w:r w:rsidRPr="003321F5">
        <w:t>Repeal the subregulation, substitute:</w:t>
      </w:r>
    </w:p>
    <w:p w:rsidR="00F34477" w:rsidRPr="003321F5" w:rsidRDefault="00F34477" w:rsidP="00F34477">
      <w:pPr>
        <w:pStyle w:val="subsection"/>
      </w:pPr>
      <w:r w:rsidRPr="003321F5">
        <w:tab/>
        <w:t>(1)</w:t>
      </w:r>
      <w:r w:rsidRPr="003321F5">
        <w:tab/>
        <w:t>The Minister may determine:</w:t>
      </w:r>
    </w:p>
    <w:p w:rsidR="00F34477" w:rsidRPr="003321F5" w:rsidRDefault="00F34477" w:rsidP="00F34477">
      <w:pPr>
        <w:pStyle w:val="paragraph"/>
      </w:pPr>
      <w:r w:rsidRPr="003321F5">
        <w:tab/>
        <w:t>(a)</w:t>
      </w:r>
      <w:r w:rsidRPr="003321F5">
        <w:tab/>
        <w:t>the number of activities</w:t>
      </w:r>
      <w:r w:rsidR="004E7AEA" w:rsidRPr="003321F5">
        <w:t xml:space="preserve"> that are</w:t>
      </w:r>
      <w:r w:rsidRPr="003321F5">
        <w:t xml:space="preserve"> to be carried out in taking an action that is being assessed; and</w:t>
      </w:r>
    </w:p>
    <w:p w:rsidR="00F34477" w:rsidRPr="003321F5" w:rsidRDefault="00F34477" w:rsidP="00F34477">
      <w:pPr>
        <w:pStyle w:val="paragraph"/>
      </w:pPr>
      <w:r w:rsidRPr="003321F5">
        <w:tab/>
        <w:t>(b)</w:t>
      </w:r>
      <w:r w:rsidRPr="003321F5">
        <w:tab/>
        <w:t xml:space="preserve">that each such activity is a </w:t>
      </w:r>
      <w:r w:rsidRPr="003321F5">
        <w:rPr>
          <w:b/>
          <w:i/>
        </w:rPr>
        <w:t>project component</w:t>
      </w:r>
      <w:r w:rsidRPr="003321F5">
        <w:t>.</w:t>
      </w:r>
    </w:p>
    <w:p w:rsidR="00DC3CB3" w:rsidRPr="003321F5" w:rsidRDefault="009E1E71" w:rsidP="00DC3CB3">
      <w:pPr>
        <w:pStyle w:val="ItemHead"/>
      </w:pPr>
      <w:r w:rsidRPr="003321F5">
        <w:t>24</w:t>
      </w:r>
      <w:r w:rsidR="00DC3CB3" w:rsidRPr="003321F5">
        <w:t xml:space="preserve">  Regulation</w:t>
      </w:r>
      <w:r w:rsidR="003321F5" w:rsidRPr="003321F5">
        <w:t> </w:t>
      </w:r>
      <w:r w:rsidR="00DC3CB3" w:rsidRPr="003321F5">
        <w:t>5.12H</w:t>
      </w:r>
    </w:p>
    <w:p w:rsidR="00DC3CB3" w:rsidRPr="003321F5" w:rsidRDefault="00DC3CB3" w:rsidP="00DC3CB3">
      <w:pPr>
        <w:pStyle w:val="Item"/>
      </w:pPr>
      <w:r w:rsidRPr="003321F5">
        <w:t>Repeal the regulation, substitute:</w:t>
      </w:r>
    </w:p>
    <w:p w:rsidR="00DC3CB3" w:rsidRPr="003321F5" w:rsidRDefault="00DC3CB3" w:rsidP="00DC3CB3">
      <w:pPr>
        <w:pStyle w:val="ActHead5"/>
      </w:pPr>
      <w:bookmarkStart w:id="15" w:name="_Toc460853513"/>
      <w:r w:rsidRPr="003321F5">
        <w:rPr>
          <w:rStyle w:val="CharSectno"/>
        </w:rPr>
        <w:t>5.12H</w:t>
      </w:r>
      <w:r w:rsidRPr="003321F5">
        <w:t xml:space="preserve">  Making determinations</w:t>
      </w:r>
      <w:bookmarkEnd w:id="15"/>
    </w:p>
    <w:p w:rsidR="00DC3CB3" w:rsidRPr="003321F5" w:rsidRDefault="00DC3CB3" w:rsidP="00DC3CB3">
      <w:pPr>
        <w:pStyle w:val="subsection"/>
      </w:pPr>
      <w:r w:rsidRPr="003321F5">
        <w:tab/>
        <w:t>(1)</w:t>
      </w:r>
      <w:r w:rsidRPr="003321F5">
        <w:tab/>
        <w:t>For</w:t>
      </w:r>
      <w:r w:rsidR="00BA7FB7" w:rsidRPr="003321F5">
        <w:t xml:space="preserve"> the purposes of</w:t>
      </w:r>
      <w:r w:rsidRPr="003321F5">
        <w:t xml:space="preserve"> paragraph</w:t>
      </w:r>
      <w:r w:rsidR="003321F5" w:rsidRPr="003321F5">
        <w:t> </w:t>
      </w:r>
      <w:r w:rsidRPr="003321F5">
        <w:t>520(4C)(c) of the Act, the making of a determination under regulation</w:t>
      </w:r>
      <w:r w:rsidR="003321F5" w:rsidRPr="003321F5">
        <w:t> </w:t>
      </w:r>
      <w:r w:rsidRPr="003321F5">
        <w:t>5.12C, 5.12D, 5.12E, 5.12F or 5.12G is a method for working out a fee.</w:t>
      </w:r>
    </w:p>
    <w:p w:rsidR="00DC3CB3" w:rsidRPr="003321F5" w:rsidRDefault="00DC3CB3" w:rsidP="00DC3CB3">
      <w:pPr>
        <w:pStyle w:val="subsection"/>
      </w:pPr>
      <w:r w:rsidRPr="003321F5">
        <w:tab/>
        <w:t>(2)</w:t>
      </w:r>
      <w:r w:rsidRPr="003321F5">
        <w:tab/>
        <w:t>Regulations</w:t>
      </w:r>
      <w:r w:rsidR="003321F5" w:rsidRPr="003321F5">
        <w:t> </w:t>
      </w:r>
      <w:r w:rsidRPr="003321F5">
        <w:t>5.12C, 5.12D, 5.12E, 5.12F or 5.12G do not limit the matters that the Minister may consider in making a determination under any of those regulations.</w:t>
      </w:r>
    </w:p>
    <w:p w:rsidR="00A573AD" w:rsidRPr="003321F5" w:rsidRDefault="009E1E71" w:rsidP="00A573AD">
      <w:pPr>
        <w:pStyle w:val="ItemHead"/>
      </w:pPr>
      <w:r w:rsidRPr="003321F5">
        <w:t>25</w:t>
      </w:r>
      <w:r w:rsidR="00A573AD" w:rsidRPr="003321F5">
        <w:t xml:space="preserve">  Paragraph</w:t>
      </w:r>
      <w:r w:rsidR="00E907A5" w:rsidRPr="003321F5">
        <w:t>s</w:t>
      </w:r>
      <w:r w:rsidR="00A573AD" w:rsidRPr="003321F5">
        <w:t xml:space="preserve"> 5.12J(1)(c)</w:t>
      </w:r>
      <w:r w:rsidR="00E907A5" w:rsidRPr="003321F5">
        <w:t xml:space="preserve"> and (d)</w:t>
      </w:r>
    </w:p>
    <w:p w:rsidR="00A573AD" w:rsidRPr="003321F5" w:rsidRDefault="00A573AD" w:rsidP="00A573AD">
      <w:pPr>
        <w:pStyle w:val="Item"/>
      </w:pPr>
      <w:r w:rsidRPr="003321F5">
        <w:t>Repeal the paragraph</w:t>
      </w:r>
      <w:r w:rsidR="00E907A5" w:rsidRPr="003321F5">
        <w:t>s</w:t>
      </w:r>
      <w:r w:rsidRPr="003321F5">
        <w:t>, substitute:</w:t>
      </w:r>
    </w:p>
    <w:p w:rsidR="00A573AD" w:rsidRPr="003321F5" w:rsidRDefault="00A573AD" w:rsidP="00A573AD">
      <w:pPr>
        <w:pStyle w:val="paragraph"/>
      </w:pPr>
      <w:r w:rsidRPr="003321F5">
        <w:tab/>
        <w:t>(c)</w:t>
      </w:r>
      <w:r w:rsidRPr="003321F5">
        <w:tab/>
        <w:t xml:space="preserve">a breakdown of the complexity fee, itemising the </w:t>
      </w:r>
      <w:r w:rsidR="004E7AEA" w:rsidRPr="003321F5">
        <w:t>amounts payable</w:t>
      </w:r>
      <w:r w:rsidRPr="003321F5">
        <w:t xml:space="preserve"> for:</w:t>
      </w:r>
    </w:p>
    <w:p w:rsidR="00A573AD" w:rsidRPr="003321F5" w:rsidRDefault="00A573AD" w:rsidP="00A573AD">
      <w:pPr>
        <w:pStyle w:val="paragraphsub"/>
      </w:pPr>
      <w:r w:rsidRPr="003321F5">
        <w:tab/>
        <w:t>(i)</w:t>
      </w:r>
      <w:r w:rsidRPr="003321F5">
        <w:tab/>
      </w:r>
      <w:r w:rsidR="004E7AEA" w:rsidRPr="003321F5">
        <w:t>each</w:t>
      </w:r>
      <w:r w:rsidRPr="003321F5">
        <w:t xml:space="preserve"> application component; and</w:t>
      </w:r>
    </w:p>
    <w:p w:rsidR="00A573AD" w:rsidRPr="003321F5" w:rsidRDefault="00A573AD" w:rsidP="00A573AD">
      <w:pPr>
        <w:pStyle w:val="paragraphsub"/>
      </w:pPr>
      <w:r w:rsidRPr="003321F5">
        <w:tab/>
        <w:t>(ii)</w:t>
      </w:r>
      <w:r w:rsidRPr="003321F5">
        <w:tab/>
        <w:t>each controlling provision component; and</w:t>
      </w:r>
    </w:p>
    <w:p w:rsidR="00A573AD" w:rsidRPr="003321F5" w:rsidRDefault="00A573AD" w:rsidP="00A573AD">
      <w:pPr>
        <w:pStyle w:val="paragraphsub"/>
      </w:pPr>
      <w:r w:rsidRPr="003321F5">
        <w:tab/>
        <w:t>(iii)</w:t>
      </w:r>
      <w:r w:rsidRPr="003321F5">
        <w:tab/>
        <w:t>if applicable—the exceptional case component; and</w:t>
      </w:r>
    </w:p>
    <w:p w:rsidR="00A573AD" w:rsidRPr="003321F5" w:rsidRDefault="00A573AD" w:rsidP="00A573AD">
      <w:pPr>
        <w:pStyle w:val="paragraphsub"/>
      </w:pPr>
      <w:r w:rsidRPr="003321F5">
        <w:tab/>
        <w:t>(iv)</w:t>
      </w:r>
      <w:r w:rsidRPr="003321F5">
        <w:tab/>
        <w:t>the legislative impact component; and</w:t>
      </w:r>
    </w:p>
    <w:p w:rsidR="00A573AD" w:rsidRPr="003321F5" w:rsidRDefault="00A573AD" w:rsidP="00A573AD">
      <w:pPr>
        <w:pStyle w:val="paragraphsub"/>
      </w:pPr>
      <w:r w:rsidRPr="003321F5">
        <w:tab/>
        <w:t>(v)</w:t>
      </w:r>
      <w:r w:rsidRPr="003321F5">
        <w:tab/>
        <w:t xml:space="preserve">the </w:t>
      </w:r>
      <w:r w:rsidR="00597FFC" w:rsidRPr="003321F5">
        <w:t>project composition component</w:t>
      </w:r>
      <w:r w:rsidRPr="003321F5">
        <w:t>;</w:t>
      </w:r>
    </w:p>
    <w:p w:rsidR="00E907A5" w:rsidRPr="003321F5" w:rsidRDefault="00E907A5" w:rsidP="00E907A5">
      <w:pPr>
        <w:pStyle w:val="paragraph"/>
      </w:pPr>
      <w:r w:rsidRPr="003321F5">
        <w:tab/>
        <w:t>(d)</w:t>
      </w:r>
      <w:r w:rsidRPr="003321F5">
        <w:tab/>
        <w:t>the level of complexity determined</w:t>
      </w:r>
      <w:r w:rsidR="00D35C6E" w:rsidRPr="003321F5">
        <w:t xml:space="preserve"> for </w:t>
      </w:r>
      <w:r w:rsidR="004E7AEA" w:rsidRPr="003321F5">
        <w:t>the</w:t>
      </w:r>
      <w:r w:rsidR="00D35C6E" w:rsidRPr="003321F5">
        <w:t xml:space="preserve"> application component</w:t>
      </w:r>
      <w:r w:rsidR="004E7AEA" w:rsidRPr="003321F5">
        <w:t>s,</w:t>
      </w:r>
      <w:r w:rsidR="008F119B" w:rsidRPr="003321F5">
        <w:t xml:space="preserve"> </w:t>
      </w:r>
      <w:r w:rsidR="004E7AEA" w:rsidRPr="003321F5">
        <w:t xml:space="preserve">the </w:t>
      </w:r>
      <w:r w:rsidRPr="003321F5">
        <w:t>controlling provision component</w:t>
      </w:r>
      <w:r w:rsidR="004E7AEA" w:rsidRPr="003321F5">
        <w:t>s</w:t>
      </w:r>
      <w:r w:rsidR="00D35C6E" w:rsidRPr="003321F5">
        <w:t xml:space="preserve"> and the legislative impact component</w:t>
      </w:r>
      <w:r w:rsidRPr="003321F5">
        <w:t>;</w:t>
      </w:r>
    </w:p>
    <w:p w:rsidR="00F83A42" w:rsidRPr="003321F5" w:rsidRDefault="009E1E71" w:rsidP="00F83A42">
      <w:pPr>
        <w:pStyle w:val="ItemHead"/>
      </w:pPr>
      <w:r w:rsidRPr="003321F5">
        <w:t>26</w:t>
      </w:r>
      <w:r w:rsidR="00F83A42" w:rsidRPr="003321F5">
        <w:t xml:space="preserve">  Subregulations</w:t>
      </w:r>
      <w:r w:rsidR="003321F5" w:rsidRPr="003321F5">
        <w:t> </w:t>
      </w:r>
      <w:r w:rsidR="00F83A42" w:rsidRPr="003321F5">
        <w:t>5.12J(2) and (3)</w:t>
      </w:r>
    </w:p>
    <w:p w:rsidR="00F83A42" w:rsidRPr="003321F5" w:rsidRDefault="00F83A42" w:rsidP="00F83A42">
      <w:pPr>
        <w:pStyle w:val="Item"/>
      </w:pPr>
      <w:r w:rsidRPr="003321F5">
        <w:t xml:space="preserve">Omit </w:t>
      </w:r>
      <w:r w:rsidR="00A919F9" w:rsidRPr="003321F5">
        <w:t>“</w:t>
      </w:r>
      <w:r w:rsidRPr="003321F5">
        <w:t>the application component</w:t>
      </w:r>
      <w:r w:rsidR="00A919F9" w:rsidRPr="003321F5">
        <w:t>”</w:t>
      </w:r>
      <w:r w:rsidRPr="003321F5">
        <w:t xml:space="preserve">, substitute </w:t>
      </w:r>
      <w:r w:rsidR="00A919F9" w:rsidRPr="003321F5">
        <w:t>“</w:t>
      </w:r>
      <w:r w:rsidRPr="003321F5">
        <w:t>each application component</w:t>
      </w:r>
      <w:r w:rsidR="00A919F9" w:rsidRPr="003321F5">
        <w:t>”</w:t>
      </w:r>
      <w:r w:rsidRPr="003321F5">
        <w:t>.</w:t>
      </w:r>
    </w:p>
    <w:p w:rsidR="000D2708" w:rsidRPr="003321F5" w:rsidRDefault="009E1E71" w:rsidP="00F17E58">
      <w:pPr>
        <w:pStyle w:val="ItemHead"/>
      </w:pPr>
      <w:r w:rsidRPr="003321F5">
        <w:t>27</w:t>
      </w:r>
      <w:r w:rsidR="000D2708" w:rsidRPr="003321F5">
        <w:t xml:space="preserve">  At the end of regulation</w:t>
      </w:r>
      <w:r w:rsidR="003321F5" w:rsidRPr="003321F5">
        <w:t> </w:t>
      </w:r>
      <w:r w:rsidR="000D2708" w:rsidRPr="003321F5">
        <w:t>5.12J</w:t>
      </w:r>
    </w:p>
    <w:p w:rsidR="000D2708" w:rsidRPr="003321F5" w:rsidRDefault="000D2708" w:rsidP="000D2708">
      <w:pPr>
        <w:pStyle w:val="Item"/>
      </w:pPr>
      <w:r w:rsidRPr="003321F5">
        <w:t>Add:</w:t>
      </w:r>
    </w:p>
    <w:p w:rsidR="000D2708" w:rsidRPr="003321F5" w:rsidRDefault="000D2708" w:rsidP="000D2708">
      <w:pPr>
        <w:pStyle w:val="subsection"/>
      </w:pPr>
      <w:r w:rsidRPr="003321F5">
        <w:tab/>
        <w:t>(4)</w:t>
      </w:r>
      <w:r w:rsidRPr="003321F5">
        <w:tab/>
        <w:t>If the Minister is satisfied that there is an error in a fee schedule given to a person, the Minister may give the person a corrected fee schedule.</w:t>
      </w:r>
    </w:p>
    <w:p w:rsidR="003763A6" w:rsidRPr="003321F5" w:rsidRDefault="009E1E71" w:rsidP="003763A6">
      <w:pPr>
        <w:pStyle w:val="ItemHead"/>
      </w:pPr>
      <w:r w:rsidRPr="003321F5">
        <w:t>28</w:t>
      </w:r>
      <w:r w:rsidR="003763A6" w:rsidRPr="003321F5">
        <w:t xml:space="preserve">  Subregulation</w:t>
      </w:r>
      <w:r w:rsidR="002479EB" w:rsidRPr="003321F5">
        <w:t>s</w:t>
      </w:r>
      <w:r w:rsidR="003321F5" w:rsidRPr="003321F5">
        <w:t> </w:t>
      </w:r>
      <w:r w:rsidR="003763A6" w:rsidRPr="003321F5">
        <w:t>5.12K(2)</w:t>
      </w:r>
      <w:r w:rsidR="009613EF" w:rsidRPr="003321F5">
        <w:t xml:space="preserve"> to (5)</w:t>
      </w:r>
    </w:p>
    <w:p w:rsidR="00BA6E19" w:rsidRPr="003321F5" w:rsidRDefault="003763A6" w:rsidP="002479EB">
      <w:pPr>
        <w:pStyle w:val="Item"/>
      </w:pPr>
      <w:r w:rsidRPr="003321F5">
        <w:t>Repeal the subregulation</w:t>
      </w:r>
      <w:r w:rsidR="002479EB" w:rsidRPr="003321F5">
        <w:t>s</w:t>
      </w:r>
      <w:r w:rsidR="00BA6E19" w:rsidRPr="003321F5">
        <w:t>, substitute:</w:t>
      </w:r>
    </w:p>
    <w:p w:rsidR="008E18FA" w:rsidRPr="003321F5" w:rsidRDefault="008E18FA" w:rsidP="0099153C">
      <w:pPr>
        <w:pStyle w:val="SubsectionHead"/>
      </w:pPr>
      <w:r w:rsidRPr="003321F5">
        <w:t>Complexity fee—application component</w:t>
      </w:r>
    </w:p>
    <w:p w:rsidR="00B1037A" w:rsidRPr="003321F5" w:rsidRDefault="008E18FA" w:rsidP="008E18FA">
      <w:pPr>
        <w:pStyle w:val="subsection"/>
      </w:pPr>
      <w:r w:rsidRPr="003321F5">
        <w:tab/>
        <w:t>(2)</w:t>
      </w:r>
      <w:r w:rsidRPr="003321F5">
        <w:tab/>
      </w:r>
      <w:r w:rsidR="00B1037A" w:rsidRPr="003321F5">
        <w:t>The amount payable, for an application component</w:t>
      </w:r>
      <w:r w:rsidR="009677E1" w:rsidRPr="003321F5">
        <w:t xml:space="preserve"> for</w:t>
      </w:r>
      <w:r w:rsidR="00521AEB" w:rsidRPr="003321F5">
        <w:t xml:space="preserve"> a</w:t>
      </w:r>
      <w:r w:rsidR="009677E1" w:rsidRPr="003321F5">
        <w:t xml:space="preserve"> </w:t>
      </w:r>
      <w:r w:rsidR="00167E92" w:rsidRPr="003321F5">
        <w:t xml:space="preserve">type of information </w:t>
      </w:r>
      <w:r w:rsidR="007626CC" w:rsidRPr="003321F5">
        <w:t>mentioned</w:t>
      </w:r>
      <w:r w:rsidR="00167E92" w:rsidRPr="003321F5">
        <w:t xml:space="preserve"> in subregulation</w:t>
      </w:r>
      <w:r w:rsidR="003321F5" w:rsidRPr="003321F5">
        <w:t> </w:t>
      </w:r>
      <w:r w:rsidR="00167E92" w:rsidRPr="003321F5">
        <w:t>5.12B(2)</w:t>
      </w:r>
      <w:r w:rsidR="00B1037A" w:rsidRPr="003321F5">
        <w:t>, is the amount specified in the table for th</w:t>
      </w:r>
      <w:r w:rsidR="00167E92" w:rsidRPr="003321F5">
        <w:t>e</w:t>
      </w:r>
      <w:r w:rsidR="00B1037A" w:rsidRPr="003321F5">
        <w:t xml:space="preserve"> </w:t>
      </w:r>
      <w:r w:rsidR="00167E92" w:rsidRPr="003321F5">
        <w:t>type</w:t>
      </w:r>
      <w:r w:rsidR="00B1037A" w:rsidRPr="003321F5">
        <w:t xml:space="preserve"> and the level of complexity.</w:t>
      </w:r>
    </w:p>
    <w:p w:rsidR="00FF31EE" w:rsidRPr="003321F5" w:rsidRDefault="00FF31EE" w:rsidP="00FF31EE">
      <w:pPr>
        <w:pStyle w:val="Tabletext"/>
      </w:pPr>
    </w:p>
    <w:tbl>
      <w:tblPr>
        <w:tblW w:w="7230" w:type="dxa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549"/>
        <w:gridCol w:w="1241"/>
        <w:gridCol w:w="1242"/>
        <w:gridCol w:w="1242"/>
        <w:gridCol w:w="1242"/>
      </w:tblGrid>
      <w:tr w:rsidR="00FF31EE" w:rsidRPr="003321F5" w:rsidTr="00041609">
        <w:trPr>
          <w:tblHeader/>
        </w:trPr>
        <w:tc>
          <w:tcPr>
            <w:tcW w:w="723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FF31EE" w:rsidRPr="003321F5" w:rsidRDefault="00B1037A" w:rsidP="00B1037A">
            <w:pPr>
              <w:pStyle w:val="TableHeading"/>
              <w:keepLines/>
            </w:pPr>
            <w:r w:rsidRPr="003321F5">
              <w:t>Complexity fee—</w:t>
            </w:r>
            <w:r w:rsidR="00FF31EE" w:rsidRPr="003321F5">
              <w:t>application component</w:t>
            </w:r>
          </w:p>
        </w:tc>
      </w:tr>
      <w:tr w:rsidR="00EB23A1" w:rsidRPr="003321F5" w:rsidTr="00A224E2">
        <w:trPr>
          <w:tblHeader/>
        </w:trPr>
        <w:tc>
          <w:tcPr>
            <w:tcW w:w="71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EB23A1" w:rsidRPr="003321F5" w:rsidRDefault="00EB23A1" w:rsidP="00041609">
            <w:pPr>
              <w:pStyle w:val="TableHeading"/>
              <w:keepLines/>
            </w:pPr>
            <w:r w:rsidRPr="003321F5">
              <w:t>Item</w:t>
            </w:r>
          </w:p>
        </w:tc>
        <w:tc>
          <w:tcPr>
            <w:tcW w:w="154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EB23A1" w:rsidRPr="003321F5" w:rsidRDefault="00167E92" w:rsidP="00595D20">
            <w:pPr>
              <w:pStyle w:val="TableHeading"/>
              <w:keepLines/>
            </w:pPr>
            <w:r w:rsidRPr="003321F5">
              <w:t>Type of information</w:t>
            </w:r>
          </w:p>
        </w:tc>
        <w:tc>
          <w:tcPr>
            <w:tcW w:w="124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EB23A1" w:rsidRPr="003321F5" w:rsidRDefault="00E54433" w:rsidP="00167E92">
            <w:pPr>
              <w:pStyle w:val="TableHeading"/>
              <w:keepLines/>
            </w:pPr>
            <w:r w:rsidRPr="003321F5">
              <w:t>Low complexity</w:t>
            </w:r>
          </w:p>
        </w:tc>
        <w:tc>
          <w:tcPr>
            <w:tcW w:w="124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EB23A1" w:rsidRPr="003321F5" w:rsidRDefault="00E54433" w:rsidP="00E54433">
            <w:pPr>
              <w:pStyle w:val="TableHeading"/>
              <w:keepLines/>
              <w:jc w:val="right"/>
            </w:pPr>
            <w:r w:rsidRPr="003321F5">
              <w:t>Moderate complexity</w:t>
            </w:r>
          </w:p>
        </w:tc>
        <w:tc>
          <w:tcPr>
            <w:tcW w:w="124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EB23A1" w:rsidRPr="003321F5" w:rsidRDefault="00EB23A1" w:rsidP="00886F56">
            <w:pPr>
              <w:pStyle w:val="TableHeading"/>
              <w:keepLines/>
              <w:jc w:val="right"/>
            </w:pPr>
            <w:r w:rsidRPr="003321F5">
              <w:t>High complexity</w:t>
            </w:r>
          </w:p>
        </w:tc>
        <w:tc>
          <w:tcPr>
            <w:tcW w:w="124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EB23A1" w:rsidRPr="003321F5" w:rsidRDefault="00EB23A1" w:rsidP="00041609">
            <w:pPr>
              <w:pStyle w:val="TableHeading"/>
              <w:keepLines/>
              <w:jc w:val="right"/>
            </w:pPr>
            <w:r w:rsidRPr="003321F5">
              <w:t>Very high complexity</w:t>
            </w:r>
          </w:p>
        </w:tc>
      </w:tr>
      <w:tr w:rsidR="00EB23A1" w:rsidRPr="003321F5" w:rsidTr="00A224E2">
        <w:tc>
          <w:tcPr>
            <w:tcW w:w="71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23A1" w:rsidRPr="003321F5" w:rsidRDefault="00EB23A1" w:rsidP="00041609">
            <w:pPr>
              <w:pStyle w:val="Tabletext"/>
              <w:keepNext/>
              <w:keepLines/>
            </w:pPr>
            <w:r w:rsidRPr="003321F5">
              <w:t>1</w:t>
            </w: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23A1" w:rsidRPr="003321F5" w:rsidRDefault="00595D20" w:rsidP="00595D20">
            <w:pPr>
              <w:pStyle w:val="Tabletext"/>
              <w:keepNext/>
              <w:keepLines/>
            </w:pPr>
            <w:r w:rsidRPr="003321F5">
              <w:t>the type mentioned in paragraph</w:t>
            </w:r>
            <w:r w:rsidR="003321F5" w:rsidRPr="003321F5">
              <w:t> </w:t>
            </w:r>
            <w:r w:rsidRPr="003321F5">
              <w:t>5.12B(2)(a)</w:t>
            </w:r>
          </w:p>
        </w:tc>
        <w:tc>
          <w:tcPr>
            <w:tcW w:w="124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B23A1" w:rsidRPr="003321F5" w:rsidRDefault="00EB23A1" w:rsidP="00167E92">
            <w:pPr>
              <w:pStyle w:val="Tabletext"/>
              <w:keepNext/>
              <w:keepLines/>
            </w:pPr>
            <w:r w:rsidRPr="003321F5">
              <w:t>nil</w:t>
            </w:r>
          </w:p>
        </w:tc>
        <w:tc>
          <w:tcPr>
            <w:tcW w:w="124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B23A1" w:rsidRPr="003321F5" w:rsidRDefault="00552A63" w:rsidP="00EC3B17">
            <w:pPr>
              <w:pStyle w:val="Tabletext"/>
              <w:keepNext/>
              <w:keepLines/>
              <w:jc w:val="right"/>
            </w:pPr>
            <w:r w:rsidRPr="003321F5">
              <w:t>$10</w:t>
            </w:r>
            <w:r w:rsidR="00EC3B17" w:rsidRPr="003321F5">
              <w:t>,</w:t>
            </w:r>
            <w:r w:rsidRPr="003321F5">
              <w:t>982.00</w:t>
            </w:r>
          </w:p>
        </w:tc>
        <w:tc>
          <w:tcPr>
            <w:tcW w:w="124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B23A1" w:rsidRPr="003321F5" w:rsidRDefault="00552A63" w:rsidP="00EC3B17">
            <w:pPr>
              <w:pStyle w:val="Tabletext"/>
              <w:keepNext/>
              <w:keepLines/>
              <w:jc w:val="right"/>
            </w:pPr>
            <w:r w:rsidRPr="003321F5">
              <w:t>$34</w:t>
            </w:r>
            <w:r w:rsidR="00EC3B17" w:rsidRPr="003321F5">
              <w:t>,</w:t>
            </w:r>
            <w:r w:rsidRPr="003321F5">
              <w:t>949</w:t>
            </w:r>
            <w:r w:rsidR="00EB23A1" w:rsidRPr="003321F5">
              <w:t>.00</w:t>
            </w:r>
          </w:p>
        </w:tc>
        <w:tc>
          <w:tcPr>
            <w:tcW w:w="124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B23A1" w:rsidRPr="003321F5" w:rsidRDefault="00EB23A1" w:rsidP="00EC3B17">
            <w:pPr>
              <w:pStyle w:val="Tabletext"/>
              <w:keepNext/>
              <w:keepLines/>
              <w:jc w:val="right"/>
            </w:pPr>
            <w:r w:rsidRPr="003321F5">
              <w:t>$</w:t>
            </w:r>
            <w:r w:rsidR="00552A63" w:rsidRPr="003321F5">
              <w:t>62</w:t>
            </w:r>
            <w:r w:rsidR="00EC3B17" w:rsidRPr="003321F5">
              <w:t>,</w:t>
            </w:r>
            <w:r w:rsidR="00552A63" w:rsidRPr="003321F5">
              <w:t>399</w:t>
            </w:r>
            <w:r w:rsidRPr="003321F5">
              <w:t>.00</w:t>
            </w:r>
          </w:p>
        </w:tc>
      </w:tr>
      <w:tr w:rsidR="00EB23A1" w:rsidRPr="003321F5" w:rsidTr="00A224E2"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23A1" w:rsidRPr="003321F5" w:rsidRDefault="00EB23A1" w:rsidP="00041609">
            <w:pPr>
              <w:pStyle w:val="Tabletext"/>
            </w:pPr>
            <w:r w:rsidRPr="003321F5"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23A1" w:rsidRPr="003321F5" w:rsidRDefault="00595D20" w:rsidP="008F119B">
            <w:pPr>
              <w:pStyle w:val="Tabletext"/>
              <w:keepNext/>
              <w:keepLines/>
            </w:pPr>
            <w:r w:rsidRPr="003321F5">
              <w:t>the type mentioned in paragraph</w:t>
            </w:r>
            <w:r w:rsidR="003321F5" w:rsidRPr="003321F5">
              <w:t> </w:t>
            </w:r>
            <w:r w:rsidRPr="003321F5">
              <w:t>5.12B(2)(b)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3A1" w:rsidRPr="003321F5" w:rsidRDefault="00EB23A1" w:rsidP="00167E92">
            <w:pPr>
              <w:pStyle w:val="Tabletext"/>
            </w:pPr>
            <w:r w:rsidRPr="003321F5">
              <w:t>nil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3A1" w:rsidRPr="003321F5" w:rsidRDefault="00EB23A1" w:rsidP="00EC3B17">
            <w:pPr>
              <w:pStyle w:val="Tabletext"/>
              <w:jc w:val="right"/>
            </w:pPr>
            <w:r w:rsidRPr="003321F5">
              <w:t>$</w:t>
            </w:r>
            <w:r w:rsidR="00552A63" w:rsidRPr="003321F5">
              <w:t>10</w:t>
            </w:r>
            <w:r w:rsidR="00EC3B17" w:rsidRPr="003321F5">
              <w:t>,</w:t>
            </w:r>
            <w:r w:rsidR="00552A63" w:rsidRPr="003321F5">
              <w:t>982</w:t>
            </w:r>
            <w:r w:rsidRPr="003321F5">
              <w:t>.00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3A1" w:rsidRPr="003321F5" w:rsidRDefault="00552A63" w:rsidP="00EC3B17">
            <w:pPr>
              <w:pStyle w:val="Tabletext"/>
              <w:jc w:val="right"/>
            </w:pPr>
            <w:r w:rsidRPr="003321F5">
              <w:t>$34</w:t>
            </w:r>
            <w:r w:rsidR="00EC3B17" w:rsidRPr="003321F5">
              <w:t>,</w:t>
            </w:r>
            <w:r w:rsidRPr="003321F5">
              <w:t>949</w:t>
            </w:r>
            <w:r w:rsidR="00EB23A1" w:rsidRPr="003321F5">
              <w:t>.00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3A1" w:rsidRPr="003321F5" w:rsidRDefault="00EB23A1" w:rsidP="00552A63">
            <w:pPr>
              <w:pStyle w:val="Tabletext"/>
              <w:jc w:val="right"/>
            </w:pPr>
            <w:r w:rsidRPr="003321F5">
              <w:t>$</w:t>
            </w:r>
            <w:r w:rsidR="005517EF" w:rsidRPr="003321F5">
              <w:t>84</w:t>
            </w:r>
            <w:r w:rsidR="00EC3B17" w:rsidRPr="003321F5">
              <w:t>,</w:t>
            </w:r>
            <w:r w:rsidR="00552A63" w:rsidRPr="003321F5">
              <w:t>311</w:t>
            </w:r>
            <w:r w:rsidRPr="003321F5">
              <w:t>.00</w:t>
            </w:r>
          </w:p>
        </w:tc>
      </w:tr>
      <w:tr w:rsidR="00EB23A1" w:rsidRPr="003321F5" w:rsidTr="00A224E2">
        <w:tc>
          <w:tcPr>
            <w:tcW w:w="7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B23A1" w:rsidRPr="003321F5" w:rsidRDefault="00EB23A1" w:rsidP="00041609">
            <w:pPr>
              <w:pStyle w:val="Tabletext"/>
            </w:pPr>
            <w:r w:rsidRPr="003321F5"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B23A1" w:rsidRPr="003321F5" w:rsidRDefault="00595D20" w:rsidP="00445133">
            <w:pPr>
              <w:pStyle w:val="Tabletext"/>
            </w:pPr>
            <w:r w:rsidRPr="003321F5">
              <w:t>the type mentioned in paragraph</w:t>
            </w:r>
            <w:r w:rsidR="003321F5" w:rsidRPr="003321F5">
              <w:t> </w:t>
            </w:r>
            <w:r w:rsidRPr="003321F5">
              <w:t>5.12B(2)(c)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B23A1" w:rsidRPr="003321F5" w:rsidRDefault="00EB23A1" w:rsidP="00167E92">
            <w:pPr>
              <w:pStyle w:val="Tabletext"/>
            </w:pPr>
            <w:r w:rsidRPr="003321F5">
              <w:t>nil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B23A1" w:rsidRPr="003321F5" w:rsidRDefault="00552A63" w:rsidP="00EC3B17">
            <w:pPr>
              <w:pStyle w:val="Tabletext"/>
              <w:jc w:val="right"/>
            </w:pPr>
            <w:r w:rsidRPr="003321F5">
              <w:t>$10</w:t>
            </w:r>
            <w:r w:rsidR="00EC3B17" w:rsidRPr="003321F5">
              <w:t>,</w:t>
            </w:r>
            <w:r w:rsidRPr="003321F5">
              <w:t>982.00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B23A1" w:rsidRPr="003321F5" w:rsidRDefault="00552A63" w:rsidP="00EC3B17">
            <w:pPr>
              <w:pStyle w:val="Tabletext"/>
              <w:jc w:val="right"/>
            </w:pPr>
            <w:r w:rsidRPr="003321F5">
              <w:t>$34</w:t>
            </w:r>
            <w:r w:rsidR="00EC3B17" w:rsidRPr="003321F5">
              <w:t>,</w:t>
            </w:r>
            <w:r w:rsidRPr="003321F5">
              <w:t>949</w:t>
            </w:r>
            <w:r w:rsidR="00EB23A1" w:rsidRPr="003321F5">
              <w:t>.00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B23A1" w:rsidRPr="003321F5" w:rsidRDefault="00EB23A1" w:rsidP="005517EF">
            <w:pPr>
              <w:pStyle w:val="Tabletext"/>
              <w:jc w:val="right"/>
            </w:pPr>
            <w:r w:rsidRPr="003321F5">
              <w:t>$</w:t>
            </w:r>
            <w:r w:rsidR="005517EF" w:rsidRPr="003321F5">
              <w:t>95</w:t>
            </w:r>
            <w:r w:rsidR="00EC3B17" w:rsidRPr="003321F5">
              <w:t>,</w:t>
            </w:r>
            <w:r w:rsidR="005517EF" w:rsidRPr="003321F5">
              <w:t>311</w:t>
            </w:r>
            <w:r w:rsidRPr="003321F5">
              <w:t>.00</w:t>
            </w:r>
          </w:p>
        </w:tc>
      </w:tr>
    </w:tbl>
    <w:p w:rsidR="0099153C" w:rsidRPr="003321F5" w:rsidRDefault="0099153C" w:rsidP="0099153C">
      <w:pPr>
        <w:pStyle w:val="SubsectionHead"/>
      </w:pPr>
      <w:r w:rsidRPr="003321F5">
        <w:t>Complexity fee—</w:t>
      </w:r>
      <w:r w:rsidR="00FF31EE" w:rsidRPr="003321F5">
        <w:t>controlling provision component</w:t>
      </w:r>
    </w:p>
    <w:p w:rsidR="00603B4A" w:rsidRPr="003321F5" w:rsidRDefault="00B1037A" w:rsidP="002479EB">
      <w:pPr>
        <w:pStyle w:val="subsection"/>
      </w:pPr>
      <w:r w:rsidRPr="003321F5">
        <w:tab/>
        <w:t>(3)</w:t>
      </w:r>
      <w:r w:rsidRPr="003321F5">
        <w:tab/>
        <w:t>The amount payable for a controlling provision component is</w:t>
      </w:r>
      <w:r w:rsidR="00603B4A" w:rsidRPr="003321F5">
        <w:t>:</w:t>
      </w:r>
    </w:p>
    <w:p w:rsidR="00603B4A" w:rsidRPr="003321F5" w:rsidRDefault="00603B4A" w:rsidP="00603B4A">
      <w:pPr>
        <w:pStyle w:val="paragraph"/>
      </w:pPr>
      <w:r w:rsidRPr="003321F5">
        <w:tab/>
        <w:t>(a)</w:t>
      </w:r>
      <w:r w:rsidRPr="003321F5">
        <w:tab/>
      </w:r>
      <w:r w:rsidR="004E7AEA" w:rsidRPr="003321F5">
        <w:t>for moderate</w:t>
      </w:r>
      <w:r w:rsidRPr="003321F5">
        <w:t xml:space="preserve"> complexity—$6,742.00;</w:t>
      </w:r>
      <w:r w:rsidR="00600F8F" w:rsidRPr="003321F5">
        <w:t xml:space="preserve"> and</w:t>
      </w:r>
    </w:p>
    <w:p w:rsidR="00603B4A" w:rsidRPr="003321F5" w:rsidRDefault="00603B4A" w:rsidP="00603B4A">
      <w:pPr>
        <w:pStyle w:val="paragraph"/>
      </w:pPr>
      <w:r w:rsidRPr="003321F5">
        <w:tab/>
        <w:t>(b)</w:t>
      </w:r>
      <w:r w:rsidRPr="003321F5">
        <w:tab/>
      </w:r>
      <w:r w:rsidR="004E7AEA" w:rsidRPr="003321F5">
        <w:t xml:space="preserve">for high </w:t>
      </w:r>
      <w:r w:rsidRPr="003321F5">
        <w:t>complexity—$25,615.00;</w:t>
      </w:r>
      <w:r w:rsidR="00600F8F" w:rsidRPr="003321F5">
        <w:t xml:space="preserve"> and</w:t>
      </w:r>
    </w:p>
    <w:p w:rsidR="00603B4A" w:rsidRPr="003321F5" w:rsidRDefault="00603B4A" w:rsidP="00603B4A">
      <w:pPr>
        <w:pStyle w:val="paragraph"/>
      </w:pPr>
      <w:r w:rsidRPr="003321F5">
        <w:tab/>
        <w:t>(c)</w:t>
      </w:r>
      <w:r w:rsidRPr="003321F5">
        <w:tab/>
      </w:r>
      <w:r w:rsidR="004E7AEA" w:rsidRPr="003321F5">
        <w:t>for very high</w:t>
      </w:r>
      <w:r w:rsidRPr="003321F5">
        <w:t xml:space="preserve"> complexity—$48,931.00.</w:t>
      </w:r>
    </w:p>
    <w:p w:rsidR="00600F8F" w:rsidRPr="003321F5" w:rsidRDefault="009613EF" w:rsidP="00603B4A">
      <w:pPr>
        <w:pStyle w:val="subsection"/>
      </w:pPr>
      <w:r w:rsidRPr="003321F5">
        <w:tab/>
        <w:t>(4</w:t>
      </w:r>
      <w:r w:rsidR="00600F8F" w:rsidRPr="003321F5">
        <w:t>)</w:t>
      </w:r>
      <w:r w:rsidR="00600F8F" w:rsidRPr="003321F5">
        <w:tab/>
        <w:t>Despite subregulation</w:t>
      </w:r>
      <w:r w:rsidR="003321F5" w:rsidRPr="003321F5">
        <w:t> </w:t>
      </w:r>
      <w:r w:rsidR="00600F8F" w:rsidRPr="003321F5">
        <w:t>(3), if:</w:t>
      </w:r>
    </w:p>
    <w:p w:rsidR="00600F8F" w:rsidRPr="003321F5" w:rsidRDefault="00600F8F" w:rsidP="00600F8F">
      <w:pPr>
        <w:pStyle w:val="paragraph"/>
      </w:pPr>
      <w:r w:rsidRPr="003321F5">
        <w:tab/>
        <w:t>(a)</w:t>
      </w:r>
      <w:r w:rsidRPr="003321F5">
        <w:tab/>
        <w:t>the controlling provision component is for Subdivision FA (Great Barrier Reef Marine Park) of Division</w:t>
      </w:r>
      <w:r w:rsidR="003321F5" w:rsidRPr="003321F5">
        <w:t> </w:t>
      </w:r>
      <w:r w:rsidRPr="003321F5">
        <w:t>1 of Part</w:t>
      </w:r>
      <w:r w:rsidR="003321F5" w:rsidRPr="003321F5">
        <w:t> </w:t>
      </w:r>
      <w:r w:rsidRPr="003321F5">
        <w:t xml:space="preserve">3 of the Act (the </w:t>
      </w:r>
      <w:r w:rsidR="003A28CA" w:rsidRPr="003321F5">
        <w:rPr>
          <w:b/>
          <w:i/>
        </w:rPr>
        <w:t>Great Barrier Reef</w:t>
      </w:r>
      <w:r w:rsidRPr="003321F5">
        <w:rPr>
          <w:b/>
          <w:i/>
        </w:rPr>
        <w:t xml:space="preserve"> component</w:t>
      </w:r>
      <w:r w:rsidRPr="003321F5">
        <w:t>); and</w:t>
      </w:r>
    </w:p>
    <w:p w:rsidR="00600F8F" w:rsidRPr="003321F5" w:rsidRDefault="00600F8F" w:rsidP="00600F8F">
      <w:pPr>
        <w:pStyle w:val="paragraph"/>
      </w:pPr>
      <w:r w:rsidRPr="003321F5">
        <w:tab/>
        <w:t>(b)</w:t>
      </w:r>
      <w:r w:rsidRPr="003321F5">
        <w:tab/>
        <w:t xml:space="preserve">there is also a controlling provision component for Subdivision A (World Heritage) </w:t>
      </w:r>
      <w:r w:rsidR="000B57BB" w:rsidRPr="003321F5">
        <w:t xml:space="preserve">or AA (National Heritage) </w:t>
      </w:r>
      <w:r w:rsidRPr="003321F5">
        <w:t>of Division</w:t>
      </w:r>
      <w:r w:rsidR="003321F5" w:rsidRPr="003321F5">
        <w:t> </w:t>
      </w:r>
      <w:r w:rsidRPr="003321F5">
        <w:t>1 of Part</w:t>
      </w:r>
      <w:r w:rsidR="003321F5" w:rsidRPr="003321F5">
        <w:t> </w:t>
      </w:r>
      <w:r w:rsidRPr="003321F5">
        <w:t>3 of the Act;</w:t>
      </w:r>
    </w:p>
    <w:p w:rsidR="00600F8F" w:rsidRPr="003321F5" w:rsidRDefault="00600F8F" w:rsidP="00600F8F">
      <w:pPr>
        <w:pStyle w:val="subsection2"/>
      </w:pPr>
      <w:r w:rsidRPr="003321F5">
        <w:t xml:space="preserve">then the amount payable for the </w:t>
      </w:r>
      <w:r w:rsidR="003A28CA" w:rsidRPr="003321F5">
        <w:t>Great Barrier Reef</w:t>
      </w:r>
      <w:r w:rsidRPr="003321F5">
        <w:t xml:space="preserve"> component is:</w:t>
      </w:r>
    </w:p>
    <w:p w:rsidR="00600F8F" w:rsidRPr="003321F5" w:rsidRDefault="00600F8F" w:rsidP="00600F8F">
      <w:pPr>
        <w:pStyle w:val="paragraph"/>
      </w:pPr>
      <w:r w:rsidRPr="003321F5">
        <w:tab/>
        <w:t>(c)</w:t>
      </w:r>
      <w:r w:rsidRPr="003321F5">
        <w:tab/>
      </w:r>
      <w:r w:rsidR="00E07D24" w:rsidRPr="003321F5">
        <w:t xml:space="preserve">for moderate </w:t>
      </w:r>
      <w:r w:rsidRPr="003321F5">
        <w:t>complexity—$3,371.00; and</w:t>
      </w:r>
    </w:p>
    <w:p w:rsidR="00600F8F" w:rsidRPr="003321F5" w:rsidRDefault="00600F8F" w:rsidP="00600F8F">
      <w:pPr>
        <w:pStyle w:val="paragraph"/>
      </w:pPr>
      <w:r w:rsidRPr="003321F5">
        <w:tab/>
        <w:t>(d)</w:t>
      </w:r>
      <w:r w:rsidRPr="003321F5">
        <w:tab/>
      </w:r>
      <w:r w:rsidR="00E07D24" w:rsidRPr="003321F5">
        <w:t>for high</w:t>
      </w:r>
      <w:r w:rsidRPr="003321F5">
        <w:t xml:space="preserve"> complexity—$12,808.00; and</w:t>
      </w:r>
    </w:p>
    <w:p w:rsidR="00600F8F" w:rsidRPr="003321F5" w:rsidRDefault="00600F8F" w:rsidP="00600F8F">
      <w:pPr>
        <w:pStyle w:val="paragraph"/>
      </w:pPr>
      <w:r w:rsidRPr="003321F5">
        <w:tab/>
        <w:t>(e)</w:t>
      </w:r>
      <w:r w:rsidRPr="003321F5">
        <w:tab/>
      </w:r>
      <w:r w:rsidR="00E07D24" w:rsidRPr="003321F5">
        <w:t xml:space="preserve">for very high </w:t>
      </w:r>
      <w:r w:rsidRPr="003321F5">
        <w:t>complexity—$24,465.00.</w:t>
      </w:r>
    </w:p>
    <w:p w:rsidR="008F119B" w:rsidRPr="003321F5" w:rsidRDefault="008F119B" w:rsidP="008F119B">
      <w:pPr>
        <w:pStyle w:val="SubsectionHead"/>
      </w:pPr>
      <w:r w:rsidRPr="003321F5">
        <w:t>Complexity fee—exceptional case component</w:t>
      </w:r>
    </w:p>
    <w:p w:rsidR="008F119B" w:rsidRPr="003321F5" w:rsidRDefault="008F119B" w:rsidP="008F119B">
      <w:pPr>
        <w:pStyle w:val="subsection"/>
      </w:pPr>
      <w:r w:rsidRPr="003321F5">
        <w:tab/>
        <w:t>(5)</w:t>
      </w:r>
      <w:r w:rsidRPr="003321F5">
        <w:tab/>
        <w:t>The amount payable for an exceptional case component is $592,086.00.</w:t>
      </w:r>
    </w:p>
    <w:p w:rsidR="00D46562" w:rsidRPr="003321F5" w:rsidRDefault="00D46562" w:rsidP="00D46562">
      <w:pPr>
        <w:pStyle w:val="SubsectionHead"/>
      </w:pPr>
      <w:r w:rsidRPr="003321F5">
        <w:t>Complexity fee—legislative impact component</w:t>
      </w:r>
    </w:p>
    <w:p w:rsidR="004B026D" w:rsidRPr="003321F5" w:rsidRDefault="008F119B" w:rsidP="00D46562">
      <w:pPr>
        <w:pStyle w:val="subsection"/>
      </w:pPr>
      <w:r w:rsidRPr="003321F5">
        <w:tab/>
        <w:t>(6</w:t>
      </w:r>
      <w:r w:rsidR="00D46562" w:rsidRPr="003321F5">
        <w:t>)</w:t>
      </w:r>
      <w:r w:rsidR="00D46562" w:rsidRPr="003321F5">
        <w:tab/>
      </w:r>
      <w:r w:rsidR="004B026D" w:rsidRPr="003321F5">
        <w:t>The amount payable for a legislative impact component is:</w:t>
      </w:r>
    </w:p>
    <w:p w:rsidR="00D46562" w:rsidRPr="003321F5" w:rsidRDefault="00D46562" w:rsidP="00D46562">
      <w:pPr>
        <w:pStyle w:val="paragraph"/>
      </w:pPr>
      <w:r w:rsidRPr="003321F5">
        <w:tab/>
        <w:t>(a)</w:t>
      </w:r>
      <w:r w:rsidRPr="003321F5">
        <w:tab/>
      </w:r>
      <w:r w:rsidR="00E07D24" w:rsidRPr="003321F5">
        <w:t>for low</w:t>
      </w:r>
      <w:r w:rsidRPr="003321F5">
        <w:t xml:space="preserve"> complexity—nil; and</w:t>
      </w:r>
    </w:p>
    <w:p w:rsidR="00D46562" w:rsidRPr="003321F5" w:rsidRDefault="00D46562" w:rsidP="00D46562">
      <w:pPr>
        <w:pStyle w:val="paragraph"/>
      </w:pPr>
      <w:r w:rsidRPr="003321F5">
        <w:tab/>
        <w:t>(b)</w:t>
      </w:r>
      <w:r w:rsidRPr="003321F5">
        <w:tab/>
      </w:r>
      <w:r w:rsidR="00E07D24" w:rsidRPr="003321F5">
        <w:t>for moderate</w:t>
      </w:r>
      <w:r w:rsidRPr="003321F5">
        <w:t xml:space="preserve"> complexity—$8,033.00; and</w:t>
      </w:r>
    </w:p>
    <w:p w:rsidR="00D46562" w:rsidRPr="003321F5" w:rsidRDefault="00D46562" w:rsidP="00D46562">
      <w:pPr>
        <w:pStyle w:val="paragraph"/>
      </w:pPr>
      <w:r w:rsidRPr="003321F5">
        <w:tab/>
        <w:t>(c)</w:t>
      </w:r>
      <w:r w:rsidRPr="003321F5">
        <w:tab/>
      </w:r>
      <w:r w:rsidR="00E07D24" w:rsidRPr="003321F5">
        <w:t>for high c</w:t>
      </w:r>
      <w:r w:rsidRPr="003321F5">
        <w:t>omplexity—$16,065.00; and</w:t>
      </w:r>
    </w:p>
    <w:p w:rsidR="00D46562" w:rsidRPr="003321F5" w:rsidRDefault="00D46562" w:rsidP="00D46562">
      <w:pPr>
        <w:pStyle w:val="paragraph"/>
      </w:pPr>
      <w:r w:rsidRPr="003321F5">
        <w:tab/>
        <w:t>(d)</w:t>
      </w:r>
      <w:r w:rsidRPr="003321F5">
        <w:tab/>
      </w:r>
      <w:r w:rsidR="00E07D24" w:rsidRPr="003321F5">
        <w:t>for very high</w:t>
      </w:r>
      <w:r w:rsidRPr="003321F5">
        <w:t xml:space="preserve"> complexity—$33,162.00.</w:t>
      </w:r>
    </w:p>
    <w:p w:rsidR="00D46562" w:rsidRPr="003321F5" w:rsidRDefault="00D46562" w:rsidP="00D46562">
      <w:pPr>
        <w:pStyle w:val="SubsectionHead"/>
      </w:pPr>
      <w:r w:rsidRPr="003321F5">
        <w:t>Complexity fee—</w:t>
      </w:r>
      <w:r w:rsidR="00597FFC" w:rsidRPr="003321F5">
        <w:t>project composition component</w:t>
      </w:r>
    </w:p>
    <w:p w:rsidR="009613EF" w:rsidRPr="003321F5" w:rsidRDefault="008F119B" w:rsidP="009613EF">
      <w:pPr>
        <w:pStyle w:val="subsection"/>
      </w:pPr>
      <w:r w:rsidRPr="003321F5">
        <w:tab/>
        <w:t>(7</w:t>
      </w:r>
      <w:r w:rsidR="009613EF" w:rsidRPr="003321F5">
        <w:t>)</w:t>
      </w:r>
      <w:r w:rsidR="009613EF" w:rsidRPr="003321F5">
        <w:tab/>
        <w:t xml:space="preserve">The amount payable for a </w:t>
      </w:r>
      <w:r w:rsidR="00597FFC" w:rsidRPr="003321F5">
        <w:t>project composition component</w:t>
      </w:r>
      <w:r w:rsidR="009613EF" w:rsidRPr="003321F5">
        <w:t xml:space="preserve"> is set out in the Subdivision of this Division that deals with the approach to be used for assessing the impacts of the action.</w:t>
      </w:r>
    </w:p>
    <w:p w:rsidR="00D317D8" w:rsidRPr="003321F5" w:rsidRDefault="009E1E71" w:rsidP="0094719E">
      <w:pPr>
        <w:pStyle w:val="ItemHead"/>
      </w:pPr>
      <w:r w:rsidRPr="003321F5">
        <w:t>29</w:t>
      </w:r>
      <w:r w:rsidR="00D317D8" w:rsidRPr="003321F5">
        <w:t xml:space="preserve">  Subregulation</w:t>
      </w:r>
      <w:r w:rsidR="003321F5" w:rsidRPr="003321F5">
        <w:t> </w:t>
      </w:r>
      <w:r w:rsidR="00D317D8" w:rsidRPr="003321F5">
        <w:t>5.13B(2) (table)</w:t>
      </w:r>
    </w:p>
    <w:p w:rsidR="00CA713F" w:rsidRPr="003321F5" w:rsidRDefault="00CA713F" w:rsidP="00CA713F">
      <w:pPr>
        <w:pStyle w:val="Item"/>
      </w:pPr>
      <w:r w:rsidRPr="003321F5">
        <w:t>Repeal the table, substitute:</w:t>
      </w:r>
    </w:p>
    <w:p w:rsidR="00CA713F" w:rsidRPr="003321F5" w:rsidRDefault="00CA713F" w:rsidP="00CA713F">
      <w:pPr>
        <w:pStyle w:val="Tabletext"/>
      </w:pPr>
    </w:p>
    <w:tbl>
      <w:tblPr>
        <w:tblW w:w="4002" w:type="dxa"/>
        <w:tblInd w:w="108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92"/>
        <w:gridCol w:w="1701"/>
      </w:tblGrid>
      <w:tr w:rsidR="00CA713F" w:rsidRPr="003321F5" w:rsidTr="00C878BC">
        <w:trPr>
          <w:tblHeader/>
        </w:trPr>
        <w:tc>
          <w:tcPr>
            <w:tcW w:w="4002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CA713F" w:rsidRPr="003321F5" w:rsidRDefault="00CA713F">
            <w:pPr>
              <w:pStyle w:val="TableHeading"/>
              <w:ind w:left="33"/>
            </w:pPr>
            <w:r w:rsidRPr="003321F5">
              <w:t>Base fee for assessment by an accredited assessment process</w:t>
            </w:r>
          </w:p>
        </w:tc>
      </w:tr>
      <w:tr w:rsidR="00CA713F" w:rsidRPr="003321F5" w:rsidTr="00C878BC">
        <w:trPr>
          <w:tblHeader/>
        </w:trPr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A713F" w:rsidRPr="003321F5" w:rsidRDefault="00CA713F">
            <w:pPr>
              <w:pStyle w:val="TableHeading"/>
            </w:pPr>
            <w:r w:rsidRPr="003321F5">
              <w:t>Item</w:t>
            </w:r>
          </w:p>
        </w:tc>
        <w:tc>
          <w:tcPr>
            <w:tcW w:w="159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A713F" w:rsidRPr="003321F5" w:rsidRDefault="00CA713F">
            <w:pPr>
              <w:pStyle w:val="TableHeading"/>
            </w:pPr>
            <w:r w:rsidRPr="003321F5">
              <w:t>Stage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A713F" w:rsidRPr="003321F5" w:rsidRDefault="00CA713F">
            <w:pPr>
              <w:pStyle w:val="TableHeading"/>
              <w:ind w:left="420" w:hanging="420"/>
              <w:jc w:val="right"/>
            </w:pPr>
            <w:r w:rsidRPr="003321F5">
              <w:t>Amount payable</w:t>
            </w:r>
          </w:p>
        </w:tc>
      </w:tr>
      <w:tr w:rsidR="00CA713F" w:rsidRPr="003321F5" w:rsidTr="00C878BC"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713F" w:rsidRPr="003321F5" w:rsidRDefault="00CA713F">
            <w:pPr>
              <w:pStyle w:val="Tabletext"/>
            </w:pPr>
            <w:r w:rsidRPr="003321F5">
              <w:t>1</w:t>
            </w:r>
          </w:p>
        </w:tc>
        <w:tc>
          <w:tcPr>
            <w:tcW w:w="15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713F" w:rsidRPr="003321F5" w:rsidRDefault="00CA713F">
            <w:pPr>
              <w:pStyle w:val="Tabletext"/>
            </w:pPr>
            <w:r w:rsidRPr="003321F5">
              <w:t>stage 1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713F" w:rsidRPr="003321F5" w:rsidRDefault="000D4C46" w:rsidP="00CA713F">
            <w:pPr>
              <w:pStyle w:val="Tabletext"/>
              <w:jc w:val="right"/>
            </w:pPr>
            <w:r w:rsidRPr="003321F5">
              <w:t>$3</w:t>
            </w:r>
            <w:r w:rsidR="00CE47F1" w:rsidRPr="003321F5">
              <w:t>,</w:t>
            </w:r>
            <w:r w:rsidRPr="003321F5">
              <w:t>961</w:t>
            </w:r>
            <w:r w:rsidR="00CA713F" w:rsidRPr="003321F5">
              <w:t>.00</w:t>
            </w:r>
          </w:p>
        </w:tc>
      </w:tr>
      <w:tr w:rsidR="00CA713F" w:rsidRPr="003321F5" w:rsidTr="00C878BC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713F" w:rsidRPr="003321F5" w:rsidRDefault="00CA713F">
            <w:pPr>
              <w:pStyle w:val="Tabletext"/>
            </w:pPr>
            <w:r w:rsidRPr="003321F5"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713F" w:rsidRPr="003321F5" w:rsidRDefault="00CA713F">
            <w:pPr>
              <w:pStyle w:val="Tabletext"/>
            </w:pPr>
            <w:r w:rsidRPr="003321F5">
              <w:t>stage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713F" w:rsidRPr="003321F5" w:rsidRDefault="000D4C46">
            <w:pPr>
              <w:pStyle w:val="Tabletext"/>
              <w:jc w:val="right"/>
            </w:pPr>
            <w:r w:rsidRPr="003321F5">
              <w:t>$3</w:t>
            </w:r>
            <w:r w:rsidR="00CE47F1" w:rsidRPr="003321F5">
              <w:t>,</w:t>
            </w:r>
            <w:r w:rsidRPr="003321F5">
              <w:t>655</w:t>
            </w:r>
            <w:r w:rsidR="00CA713F" w:rsidRPr="003321F5">
              <w:t>.00</w:t>
            </w:r>
          </w:p>
        </w:tc>
      </w:tr>
      <w:tr w:rsidR="00CA713F" w:rsidRPr="003321F5" w:rsidTr="00C878BC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713F" w:rsidRPr="003321F5" w:rsidRDefault="00CA713F">
            <w:pPr>
              <w:pStyle w:val="Tabletext"/>
            </w:pPr>
            <w:r w:rsidRPr="003321F5"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713F" w:rsidRPr="003321F5" w:rsidRDefault="00CA713F">
            <w:pPr>
              <w:pStyle w:val="Tabletext"/>
            </w:pPr>
            <w:r w:rsidRPr="003321F5">
              <w:t>stage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713F" w:rsidRPr="003321F5" w:rsidRDefault="000D4C46">
            <w:pPr>
              <w:pStyle w:val="Tabletext"/>
              <w:jc w:val="right"/>
            </w:pPr>
            <w:r w:rsidRPr="003321F5">
              <w:t>$2</w:t>
            </w:r>
            <w:r w:rsidR="00CE47F1" w:rsidRPr="003321F5">
              <w:t>,</w:t>
            </w:r>
            <w:r w:rsidRPr="003321F5">
              <w:t>175</w:t>
            </w:r>
            <w:r w:rsidR="00CA713F" w:rsidRPr="003321F5">
              <w:t>.00</w:t>
            </w:r>
          </w:p>
        </w:tc>
      </w:tr>
      <w:tr w:rsidR="00CA713F" w:rsidRPr="003321F5" w:rsidTr="00C878BC"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A713F" w:rsidRPr="003321F5" w:rsidRDefault="00CA713F">
            <w:pPr>
              <w:pStyle w:val="Tabletext"/>
            </w:pPr>
            <w:r w:rsidRPr="003321F5"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A713F" w:rsidRPr="003321F5" w:rsidRDefault="00CA713F">
            <w:pPr>
              <w:pStyle w:val="Tabletext"/>
            </w:pPr>
            <w:r w:rsidRPr="003321F5">
              <w:t>stage 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A713F" w:rsidRPr="003321F5" w:rsidRDefault="000D4C46">
            <w:pPr>
              <w:pStyle w:val="Tabletext"/>
              <w:jc w:val="right"/>
            </w:pPr>
            <w:r w:rsidRPr="003321F5">
              <w:t>$8</w:t>
            </w:r>
            <w:r w:rsidR="00CE47F1" w:rsidRPr="003321F5">
              <w:t>,</w:t>
            </w:r>
            <w:r w:rsidRPr="003321F5">
              <w:t>355</w:t>
            </w:r>
            <w:r w:rsidR="00CA713F" w:rsidRPr="003321F5">
              <w:t>.00</w:t>
            </w:r>
          </w:p>
        </w:tc>
      </w:tr>
    </w:tbl>
    <w:p w:rsidR="00A224E2" w:rsidRPr="003321F5" w:rsidRDefault="009E1E71" w:rsidP="00A224E2">
      <w:pPr>
        <w:pStyle w:val="ItemHead"/>
      </w:pPr>
      <w:r w:rsidRPr="003321F5">
        <w:t>30</w:t>
      </w:r>
      <w:r w:rsidR="00A224E2" w:rsidRPr="003321F5">
        <w:t xml:space="preserve">  Paragraph 5.13C(1)(a)</w:t>
      </w:r>
    </w:p>
    <w:p w:rsidR="00A224E2" w:rsidRPr="003321F5" w:rsidRDefault="00A224E2" w:rsidP="00A224E2">
      <w:pPr>
        <w:pStyle w:val="Item"/>
      </w:pPr>
      <w:r w:rsidRPr="003321F5">
        <w:t>Repeal the paragraph, substitute:</w:t>
      </w:r>
    </w:p>
    <w:p w:rsidR="00A224E2" w:rsidRPr="003321F5" w:rsidRDefault="00A224E2" w:rsidP="00A224E2">
      <w:pPr>
        <w:pStyle w:val="paragraph"/>
      </w:pPr>
      <w:r w:rsidRPr="003321F5">
        <w:tab/>
        <w:t>(a)</w:t>
      </w:r>
      <w:r w:rsidRPr="003321F5">
        <w:tab/>
        <w:t xml:space="preserve">the </w:t>
      </w:r>
      <w:r w:rsidRPr="003321F5">
        <w:rPr>
          <w:b/>
          <w:i/>
        </w:rPr>
        <w:t>Part A complexity fee</w:t>
      </w:r>
      <w:r w:rsidRPr="003321F5">
        <w:t xml:space="preserve">, which is the sum of the </w:t>
      </w:r>
      <w:r w:rsidR="00B0657E" w:rsidRPr="003321F5">
        <w:t>fee</w:t>
      </w:r>
      <w:r w:rsidR="0036140C" w:rsidRPr="003321F5">
        <w:t>s</w:t>
      </w:r>
      <w:r w:rsidR="00B0657E" w:rsidRPr="003321F5">
        <w:t xml:space="preserve"> </w:t>
      </w:r>
      <w:r w:rsidRPr="003321F5">
        <w:t>for:</w:t>
      </w:r>
    </w:p>
    <w:p w:rsidR="00A224E2" w:rsidRPr="003321F5" w:rsidRDefault="00A224E2" w:rsidP="00A224E2">
      <w:pPr>
        <w:pStyle w:val="paragraphsub"/>
      </w:pPr>
      <w:r w:rsidRPr="003321F5">
        <w:tab/>
        <w:t>(i)</w:t>
      </w:r>
      <w:r w:rsidRPr="003321F5">
        <w:tab/>
        <w:t>each controlling provision component; and</w:t>
      </w:r>
    </w:p>
    <w:p w:rsidR="00A224E2" w:rsidRPr="003321F5" w:rsidRDefault="00A224E2" w:rsidP="00A224E2">
      <w:pPr>
        <w:pStyle w:val="paragraphsub"/>
      </w:pPr>
      <w:r w:rsidRPr="003321F5">
        <w:tab/>
        <w:t>(ii)</w:t>
      </w:r>
      <w:r w:rsidRPr="003321F5">
        <w:tab/>
        <w:t>if applicable—the exceptional case component; and</w:t>
      </w:r>
    </w:p>
    <w:p w:rsidR="00A224E2" w:rsidRPr="003321F5" w:rsidRDefault="00A224E2" w:rsidP="00A224E2">
      <w:pPr>
        <w:pStyle w:val="paragraphsub"/>
      </w:pPr>
      <w:r w:rsidRPr="003321F5">
        <w:tab/>
        <w:t>(iii)</w:t>
      </w:r>
      <w:r w:rsidRPr="003321F5">
        <w:tab/>
        <w:t>the legislative impact component; and</w:t>
      </w:r>
    </w:p>
    <w:p w:rsidR="00A224E2" w:rsidRPr="003321F5" w:rsidRDefault="00A224E2" w:rsidP="00A224E2">
      <w:pPr>
        <w:pStyle w:val="paragraphsub"/>
      </w:pPr>
      <w:r w:rsidRPr="003321F5">
        <w:tab/>
        <w:t>(iv)</w:t>
      </w:r>
      <w:r w:rsidRPr="003321F5">
        <w:tab/>
        <w:t xml:space="preserve">the </w:t>
      </w:r>
      <w:r w:rsidR="00597FFC" w:rsidRPr="003321F5">
        <w:t>project composition component</w:t>
      </w:r>
      <w:r w:rsidRPr="003321F5">
        <w:t>; and</w:t>
      </w:r>
    </w:p>
    <w:p w:rsidR="006A2BC1" w:rsidRPr="003321F5" w:rsidRDefault="009E1E71" w:rsidP="00A1340A">
      <w:pPr>
        <w:pStyle w:val="ItemHead"/>
      </w:pPr>
      <w:r w:rsidRPr="003321F5">
        <w:t>31</w:t>
      </w:r>
      <w:r w:rsidR="006A2BC1" w:rsidRPr="003321F5">
        <w:t xml:space="preserve">  </w:t>
      </w:r>
      <w:r w:rsidR="0083025A" w:rsidRPr="003321F5">
        <w:t>Subregulation</w:t>
      </w:r>
      <w:r w:rsidR="003321F5" w:rsidRPr="003321F5">
        <w:t> </w:t>
      </w:r>
      <w:r w:rsidR="0083025A" w:rsidRPr="003321F5">
        <w:t>5.13C(3) (table)</w:t>
      </w:r>
    </w:p>
    <w:p w:rsidR="0083025A" w:rsidRPr="003321F5" w:rsidRDefault="0083025A" w:rsidP="0083025A">
      <w:pPr>
        <w:pStyle w:val="Item"/>
      </w:pPr>
      <w:r w:rsidRPr="003321F5">
        <w:t>Repeal the table, substitute:</w:t>
      </w:r>
    </w:p>
    <w:p w:rsidR="0083025A" w:rsidRPr="003321F5" w:rsidRDefault="0083025A" w:rsidP="0083025A">
      <w:pPr>
        <w:pStyle w:val="Tabletext"/>
      </w:pPr>
    </w:p>
    <w:tbl>
      <w:tblPr>
        <w:tblW w:w="4002" w:type="dxa"/>
        <w:tblInd w:w="108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92"/>
        <w:gridCol w:w="1701"/>
      </w:tblGrid>
      <w:tr w:rsidR="0083025A" w:rsidRPr="003321F5" w:rsidTr="00C878BC">
        <w:trPr>
          <w:tblHeader/>
        </w:trPr>
        <w:tc>
          <w:tcPr>
            <w:tcW w:w="4002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83025A" w:rsidRPr="003321F5" w:rsidRDefault="0083025A" w:rsidP="00886F56">
            <w:pPr>
              <w:pStyle w:val="TableHeading"/>
              <w:ind w:left="33"/>
            </w:pPr>
            <w:r w:rsidRPr="003321F5">
              <w:t>Part A complexity fee for assessment by an accredited assessment process</w:t>
            </w:r>
          </w:p>
        </w:tc>
      </w:tr>
      <w:tr w:rsidR="0083025A" w:rsidRPr="003321F5" w:rsidTr="00C878BC">
        <w:trPr>
          <w:tblHeader/>
        </w:trPr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3025A" w:rsidRPr="003321F5" w:rsidRDefault="0083025A" w:rsidP="00886F56">
            <w:pPr>
              <w:pStyle w:val="TableHeading"/>
            </w:pPr>
            <w:r w:rsidRPr="003321F5">
              <w:t>Item</w:t>
            </w:r>
          </w:p>
        </w:tc>
        <w:tc>
          <w:tcPr>
            <w:tcW w:w="159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3025A" w:rsidRPr="003321F5" w:rsidRDefault="0083025A" w:rsidP="00886F56">
            <w:pPr>
              <w:pStyle w:val="TableHeading"/>
            </w:pPr>
            <w:r w:rsidRPr="003321F5">
              <w:t>Stage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3025A" w:rsidRPr="003321F5" w:rsidRDefault="0083025A" w:rsidP="00F14894">
            <w:pPr>
              <w:pStyle w:val="TableHeading"/>
              <w:jc w:val="right"/>
            </w:pPr>
            <w:r w:rsidRPr="003321F5">
              <w:t>Percentage payable</w:t>
            </w:r>
          </w:p>
        </w:tc>
      </w:tr>
      <w:tr w:rsidR="0083025A" w:rsidRPr="003321F5" w:rsidTr="00C878BC"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025A" w:rsidRPr="003321F5" w:rsidRDefault="0083025A" w:rsidP="00A3457D">
            <w:pPr>
              <w:pStyle w:val="Tabletext"/>
            </w:pPr>
            <w:r w:rsidRPr="003321F5">
              <w:t>1</w:t>
            </w:r>
          </w:p>
        </w:tc>
        <w:tc>
          <w:tcPr>
            <w:tcW w:w="15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025A" w:rsidRPr="003321F5" w:rsidRDefault="0083025A" w:rsidP="00A3457D">
            <w:pPr>
              <w:pStyle w:val="Tabletext"/>
            </w:pPr>
            <w:r w:rsidRPr="003321F5">
              <w:t>stage 1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025A" w:rsidRPr="003321F5" w:rsidRDefault="0083025A" w:rsidP="00F14894">
            <w:pPr>
              <w:pStyle w:val="Tabletext"/>
              <w:jc w:val="right"/>
            </w:pPr>
            <w:r w:rsidRPr="003321F5">
              <w:t>12%</w:t>
            </w:r>
          </w:p>
        </w:tc>
      </w:tr>
      <w:tr w:rsidR="0083025A" w:rsidRPr="003321F5" w:rsidTr="00C878BC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025A" w:rsidRPr="003321F5" w:rsidRDefault="0083025A" w:rsidP="00A3457D">
            <w:pPr>
              <w:pStyle w:val="Tabletext"/>
            </w:pPr>
            <w:r w:rsidRPr="003321F5"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025A" w:rsidRPr="003321F5" w:rsidRDefault="0083025A" w:rsidP="00A3457D">
            <w:pPr>
              <w:pStyle w:val="Tabletext"/>
            </w:pPr>
            <w:r w:rsidRPr="003321F5">
              <w:t>stage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025A" w:rsidRPr="003321F5" w:rsidRDefault="0083025A" w:rsidP="00F14894">
            <w:pPr>
              <w:pStyle w:val="Tabletext"/>
              <w:jc w:val="right"/>
            </w:pPr>
            <w:r w:rsidRPr="003321F5">
              <w:t>19%</w:t>
            </w:r>
          </w:p>
        </w:tc>
      </w:tr>
      <w:tr w:rsidR="0083025A" w:rsidRPr="003321F5" w:rsidTr="00C878BC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025A" w:rsidRPr="003321F5" w:rsidRDefault="0083025A" w:rsidP="00A3457D">
            <w:pPr>
              <w:pStyle w:val="Tabletext"/>
            </w:pPr>
            <w:r w:rsidRPr="003321F5"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025A" w:rsidRPr="003321F5" w:rsidRDefault="0083025A" w:rsidP="00A3457D">
            <w:pPr>
              <w:pStyle w:val="Tabletext"/>
            </w:pPr>
            <w:r w:rsidRPr="003321F5">
              <w:t>stage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025A" w:rsidRPr="003321F5" w:rsidRDefault="0083025A" w:rsidP="00F14894">
            <w:pPr>
              <w:pStyle w:val="Tabletext"/>
              <w:jc w:val="right"/>
            </w:pPr>
            <w:r w:rsidRPr="003321F5">
              <w:t>20%</w:t>
            </w:r>
          </w:p>
        </w:tc>
      </w:tr>
      <w:tr w:rsidR="0083025A" w:rsidRPr="003321F5" w:rsidTr="00C878BC"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3025A" w:rsidRPr="003321F5" w:rsidRDefault="0083025A" w:rsidP="00A3457D">
            <w:pPr>
              <w:pStyle w:val="Tabletext"/>
            </w:pPr>
            <w:r w:rsidRPr="003321F5"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3025A" w:rsidRPr="003321F5" w:rsidRDefault="0083025A" w:rsidP="00A3457D">
            <w:pPr>
              <w:pStyle w:val="Tabletext"/>
            </w:pPr>
            <w:r w:rsidRPr="003321F5">
              <w:t>stage 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3025A" w:rsidRPr="003321F5" w:rsidRDefault="0083025A" w:rsidP="00F14894">
            <w:pPr>
              <w:pStyle w:val="Tabletext"/>
              <w:jc w:val="right"/>
            </w:pPr>
            <w:r w:rsidRPr="003321F5">
              <w:t>49%</w:t>
            </w:r>
          </w:p>
        </w:tc>
      </w:tr>
    </w:tbl>
    <w:p w:rsidR="0037531D" w:rsidRPr="003321F5" w:rsidRDefault="009E1E71" w:rsidP="00A1340A">
      <w:pPr>
        <w:pStyle w:val="ItemHead"/>
      </w:pPr>
      <w:r w:rsidRPr="003321F5">
        <w:t>32</w:t>
      </w:r>
      <w:r w:rsidR="0037531D" w:rsidRPr="003321F5">
        <w:t xml:space="preserve">  Subregulations</w:t>
      </w:r>
      <w:r w:rsidR="003321F5" w:rsidRPr="003321F5">
        <w:t> </w:t>
      </w:r>
      <w:r w:rsidR="0037531D" w:rsidRPr="003321F5">
        <w:t>5.13C(4) and (5)</w:t>
      </w:r>
    </w:p>
    <w:p w:rsidR="0037531D" w:rsidRPr="003321F5" w:rsidRDefault="0037531D" w:rsidP="0037531D">
      <w:pPr>
        <w:pStyle w:val="Item"/>
      </w:pPr>
      <w:r w:rsidRPr="003321F5">
        <w:t>Repeal the subregulations, substitute:</w:t>
      </w:r>
    </w:p>
    <w:p w:rsidR="0037531D" w:rsidRPr="003321F5" w:rsidRDefault="0037531D" w:rsidP="0037531D">
      <w:pPr>
        <w:pStyle w:val="SubsectionHead"/>
      </w:pPr>
      <w:r w:rsidRPr="003321F5">
        <w:t>Part B complexity fee</w:t>
      </w:r>
    </w:p>
    <w:p w:rsidR="0037531D" w:rsidRPr="003321F5" w:rsidRDefault="0037531D" w:rsidP="0037531D">
      <w:pPr>
        <w:pStyle w:val="subsection"/>
      </w:pPr>
      <w:r w:rsidRPr="003321F5">
        <w:tab/>
        <w:t>(4)</w:t>
      </w:r>
      <w:r w:rsidRPr="003321F5">
        <w:tab/>
        <w:t>The Part B complexity fee for the assessment of the action is payable in 2 stages as follows:</w:t>
      </w:r>
    </w:p>
    <w:p w:rsidR="0037531D" w:rsidRPr="003321F5" w:rsidRDefault="0037531D" w:rsidP="0037531D">
      <w:pPr>
        <w:pStyle w:val="paragraph"/>
      </w:pPr>
      <w:r w:rsidRPr="003321F5">
        <w:tab/>
        <w:t>(a)</w:t>
      </w:r>
      <w:r w:rsidRPr="003321F5">
        <w:tab/>
        <w:t>50% before the beginning of stage 3; and</w:t>
      </w:r>
    </w:p>
    <w:p w:rsidR="0037531D" w:rsidRPr="003321F5" w:rsidRDefault="0037531D" w:rsidP="0037531D">
      <w:pPr>
        <w:pStyle w:val="paragraph"/>
      </w:pPr>
      <w:r w:rsidRPr="003321F5">
        <w:tab/>
        <w:t>(b)</w:t>
      </w:r>
      <w:r w:rsidRPr="003321F5">
        <w:tab/>
        <w:t>50% before the beginning of stage 4.</w:t>
      </w:r>
    </w:p>
    <w:p w:rsidR="003F1C8C" w:rsidRPr="003321F5" w:rsidRDefault="009E1E71" w:rsidP="003F1C8C">
      <w:pPr>
        <w:pStyle w:val="ItemHead"/>
      </w:pPr>
      <w:r w:rsidRPr="003321F5">
        <w:t>33</w:t>
      </w:r>
      <w:r w:rsidR="003F1C8C" w:rsidRPr="003321F5">
        <w:t xml:space="preserve">  </w:t>
      </w:r>
      <w:r w:rsidR="00F30BE4" w:rsidRPr="003321F5">
        <w:t>R</w:t>
      </w:r>
      <w:r w:rsidR="003F1C8C" w:rsidRPr="003321F5">
        <w:t>egulation</w:t>
      </w:r>
      <w:r w:rsidR="003321F5" w:rsidRPr="003321F5">
        <w:t> </w:t>
      </w:r>
      <w:r w:rsidR="00F30BE4" w:rsidRPr="003321F5">
        <w:t>5.13D</w:t>
      </w:r>
    </w:p>
    <w:p w:rsidR="003F1C8C" w:rsidRPr="003321F5" w:rsidRDefault="00F30BE4" w:rsidP="003F1C8C">
      <w:pPr>
        <w:pStyle w:val="Item"/>
      </w:pPr>
      <w:r w:rsidRPr="003321F5">
        <w:t xml:space="preserve">Repeal the </w:t>
      </w:r>
      <w:r w:rsidR="003F1C8C" w:rsidRPr="003321F5">
        <w:t>regulation, substitute:</w:t>
      </w:r>
    </w:p>
    <w:p w:rsidR="00F30BE4" w:rsidRPr="003321F5" w:rsidRDefault="00F30BE4" w:rsidP="00F30BE4">
      <w:pPr>
        <w:pStyle w:val="ActHead5"/>
      </w:pPr>
      <w:bookmarkStart w:id="16" w:name="_Toc460853514"/>
      <w:r w:rsidRPr="003321F5">
        <w:rPr>
          <w:rStyle w:val="CharSectno"/>
        </w:rPr>
        <w:t>5.13D</w:t>
      </w:r>
      <w:r w:rsidRPr="003321F5">
        <w:t xml:space="preserve">  Amount of </w:t>
      </w:r>
      <w:r w:rsidR="00597FFC" w:rsidRPr="003321F5">
        <w:t>project composition component</w:t>
      </w:r>
      <w:bookmarkEnd w:id="16"/>
    </w:p>
    <w:p w:rsidR="003F1C8C" w:rsidRPr="003321F5" w:rsidRDefault="003F1C8C" w:rsidP="003F1C8C">
      <w:pPr>
        <w:pStyle w:val="subsection"/>
      </w:pPr>
      <w:r w:rsidRPr="003321F5">
        <w:tab/>
      </w:r>
      <w:r w:rsidRPr="003321F5">
        <w:tab/>
        <w:t xml:space="preserve">The amount of the </w:t>
      </w:r>
      <w:r w:rsidR="00597FFC" w:rsidRPr="003321F5">
        <w:t>project composition component</w:t>
      </w:r>
      <w:r w:rsidRPr="003321F5">
        <w:t xml:space="preserve"> of the complexity fee is:</w:t>
      </w:r>
    </w:p>
    <w:p w:rsidR="003F1C8C" w:rsidRPr="003321F5" w:rsidRDefault="003F1C8C" w:rsidP="003F1C8C">
      <w:pPr>
        <w:pStyle w:val="paragraph"/>
      </w:pPr>
      <w:r w:rsidRPr="003321F5">
        <w:tab/>
        <w:t>(a)</w:t>
      </w:r>
      <w:r w:rsidRPr="003321F5">
        <w:tab/>
        <w:t xml:space="preserve">if </w:t>
      </w:r>
      <w:r w:rsidR="00FE18E5" w:rsidRPr="003321F5">
        <w:t>the</w:t>
      </w:r>
      <w:r w:rsidR="00F30BE4" w:rsidRPr="003321F5">
        <w:t>re is one project component</w:t>
      </w:r>
      <w:r w:rsidRPr="003321F5">
        <w:t>—nil; and</w:t>
      </w:r>
    </w:p>
    <w:p w:rsidR="003F1C8C" w:rsidRPr="003321F5" w:rsidRDefault="003F1C8C" w:rsidP="003F1C8C">
      <w:pPr>
        <w:pStyle w:val="paragraph"/>
      </w:pPr>
      <w:r w:rsidRPr="003321F5">
        <w:tab/>
        <w:t>(b)</w:t>
      </w:r>
      <w:r w:rsidRPr="003321F5">
        <w:tab/>
        <w:t xml:space="preserve">if </w:t>
      </w:r>
      <w:r w:rsidR="00F30BE4" w:rsidRPr="003321F5">
        <w:t>there are</w:t>
      </w:r>
      <w:r w:rsidR="00FE18E5" w:rsidRPr="003321F5">
        <w:t xml:space="preserve"> 2</w:t>
      </w:r>
      <w:r w:rsidR="00F30BE4" w:rsidRPr="003321F5">
        <w:t xml:space="preserve"> or more project components</w:t>
      </w:r>
      <w:r w:rsidR="00B04B7E" w:rsidRPr="003321F5">
        <w:t>—</w:t>
      </w:r>
      <w:r w:rsidRPr="003321F5">
        <w:t>the amount worked out using the following formula:</w:t>
      </w:r>
    </w:p>
    <w:p w:rsidR="003F1C8C" w:rsidRPr="003321F5" w:rsidRDefault="003F1C8C" w:rsidP="003F1C8C">
      <w:pPr>
        <w:pStyle w:val="paragraph"/>
        <w:spacing w:before="120"/>
      </w:pPr>
      <w:r w:rsidRPr="003321F5">
        <w:tab/>
      </w:r>
      <w:r w:rsidRPr="003321F5">
        <w:tab/>
      </w:r>
      <w:bookmarkStart w:id="17" w:name="BKCheck15B_4"/>
      <w:bookmarkEnd w:id="17"/>
      <w:r w:rsidR="00A00AA0" w:rsidRPr="003321F5">
        <w:rPr>
          <w:position w:val="-34"/>
        </w:rPr>
        <w:object w:dxaOrig="332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39pt" o:ole="">
            <v:imagedata r:id="rId21" o:title=""/>
          </v:shape>
          <o:OLEObject Type="Embed" ProgID="Equation.DSMT4" ShapeID="_x0000_i1025" DrawAspect="Content" ObjectID="_1536141173" r:id="rId22"/>
        </w:object>
      </w:r>
    </w:p>
    <w:p w:rsidR="000B57BB" w:rsidRPr="003321F5" w:rsidRDefault="000B57BB" w:rsidP="000B57BB">
      <w:pPr>
        <w:pStyle w:val="notetext"/>
      </w:pPr>
      <w:r w:rsidRPr="003321F5">
        <w:t>Note:</w:t>
      </w:r>
      <w:r w:rsidRPr="003321F5">
        <w:tab/>
        <w:t>Regulation</w:t>
      </w:r>
      <w:r w:rsidR="003321F5" w:rsidRPr="003321F5">
        <w:t> </w:t>
      </w:r>
      <w:r w:rsidRPr="003321F5">
        <w:t>5.12K sets out the amounts of the other components of a complexity fee.</w:t>
      </w:r>
    </w:p>
    <w:p w:rsidR="00E30FAA" w:rsidRPr="003321F5" w:rsidRDefault="009E1E71" w:rsidP="0094719E">
      <w:pPr>
        <w:pStyle w:val="ItemHead"/>
      </w:pPr>
      <w:r w:rsidRPr="003321F5">
        <w:t>34</w:t>
      </w:r>
      <w:r w:rsidR="00E30FAA" w:rsidRPr="003321F5">
        <w:t xml:space="preserve">  Subregulation</w:t>
      </w:r>
      <w:r w:rsidR="003321F5" w:rsidRPr="003321F5">
        <w:t> </w:t>
      </w:r>
      <w:r w:rsidR="00E30FAA" w:rsidRPr="003321F5">
        <w:t>5.14B(2) (table)</w:t>
      </w:r>
    </w:p>
    <w:p w:rsidR="00E30FAA" w:rsidRPr="003321F5" w:rsidRDefault="00E30FAA" w:rsidP="00E30FAA">
      <w:pPr>
        <w:pStyle w:val="Item"/>
      </w:pPr>
      <w:r w:rsidRPr="003321F5">
        <w:t>Repeal the table, substitute:</w:t>
      </w:r>
    </w:p>
    <w:p w:rsidR="00E30FAA" w:rsidRPr="003321F5" w:rsidRDefault="00E30FAA" w:rsidP="00E30FAA">
      <w:pPr>
        <w:pStyle w:val="Tabletext"/>
      </w:pPr>
    </w:p>
    <w:tbl>
      <w:tblPr>
        <w:tblW w:w="4002" w:type="dxa"/>
        <w:tblInd w:w="108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92"/>
        <w:gridCol w:w="1701"/>
      </w:tblGrid>
      <w:tr w:rsidR="00E30FAA" w:rsidRPr="003321F5" w:rsidTr="00C878BC">
        <w:trPr>
          <w:tblHeader/>
        </w:trPr>
        <w:tc>
          <w:tcPr>
            <w:tcW w:w="4002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E30FAA" w:rsidRPr="003321F5" w:rsidRDefault="00E30FAA">
            <w:pPr>
              <w:pStyle w:val="TableHeading"/>
              <w:ind w:left="33"/>
            </w:pPr>
            <w:r w:rsidRPr="003321F5">
              <w:t>Base fee for assessment on referral information</w:t>
            </w:r>
          </w:p>
        </w:tc>
      </w:tr>
      <w:tr w:rsidR="00E30FAA" w:rsidRPr="003321F5" w:rsidTr="00C878BC">
        <w:trPr>
          <w:tblHeader/>
        </w:trPr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E30FAA" w:rsidRPr="003321F5" w:rsidRDefault="00E30FAA">
            <w:pPr>
              <w:pStyle w:val="TableHeading"/>
            </w:pPr>
            <w:r w:rsidRPr="003321F5">
              <w:t>Item</w:t>
            </w:r>
          </w:p>
        </w:tc>
        <w:tc>
          <w:tcPr>
            <w:tcW w:w="159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E30FAA" w:rsidRPr="003321F5" w:rsidRDefault="00E30FAA">
            <w:pPr>
              <w:pStyle w:val="TableHeading"/>
            </w:pPr>
            <w:r w:rsidRPr="003321F5">
              <w:t>Stage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E30FAA" w:rsidRPr="003321F5" w:rsidRDefault="00E30FAA">
            <w:pPr>
              <w:pStyle w:val="TableHeading"/>
              <w:ind w:left="420" w:hanging="420"/>
              <w:jc w:val="right"/>
            </w:pPr>
            <w:r w:rsidRPr="003321F5">
              <w:t>Amount payable</w:t>
            </w:r>
          </w:p>
        </w:tc>
      </w:tr>
      <w:tr w:rsidR="00E30FAA" w:rsidRPr="003321F5" w:rsidTr="00C878BC"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FAA" w:rsidRPr="003321F5" w:rsidRDefault="00E30FAA">
            <w:pPr>
              <w:pStyle w:val="Tabletext"/>
            </w:pPr>
            <w:r w:rsidRPr="003321F5">
              <w:t>1</w:t>
            </w:r>
          </w:p>
        </w:tc>
        <w:tc>
          <w:tcPr>
            <w:tcW w:w="15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FAA" w:rsidRPr="003321F5" w:rsidRDefault="00E30FAA">
            <w:pPr>
              <w:pStyle w:val="Tabletext"/>
            </w:pPr>
            <w:r w:rsidRPr="003321F5">
              <w:t>stage 1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FAA" w:rsidRPr="003321F5" w:rsidRDefault="00E30FAA" w:rsidP="00D11E0D">
            <w:pPr>
              <w:pStyle w:val="Tabletext"/>
              <w:jc w:val="right"/>
            </w:pPr>
            <w:r w:rsidRPr="003321F5">
              <w:t>$</w:t>
            </w:r>
            <w:r w:rsidR="00D11E0D" w:rsidRPr="003321F5">
              <w:t>4</w:t>
            </w:r>
            <w:r w:rsidR="00CE47F1" w:rsidRPr="003321F5">
              <w:t>,</w:t>
            </w:r>
            <w:r w:rsidR="00D11E0D" w:rsidRPr="003321F5">
              <w:t>561</w:t>
            </w:r>
            <w:r w:rsidRPr="003321F5">
              <w:t>.00</w:t>
            </w:r>
          </w:p>
        </w:tc>
      </w:tr>
      <w:tr w:rsidR="00E30FAA" w:rsidRPr="003321F5" w:rsidTr="00C878BC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FAA" w:rsidRPr="003321F5" w:rsidRDefault="00E30FAA">
            <w:pPr>
              <w:pStyle w:val="Tabletext"/>
            </w:pPr>
            <w:r w:rsidRPr="003321F5"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FAA" w:rsidRPr="003321F5" w:rsidRDefault="00E30FAA">
            <w:pPr>
              <w:pStyle w:val="Tabletext"/>
            </w:pPr>
            <w:r w:rsidRPr="003321F5">
              <w:t>stage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0FAA" w:rsidRPr="003321F5" w:rsidRDefault="00D11E0D">
            <w:pPr>
              <w:pStyle w:val="Tabletext"/>
              <w:jc w:val="right"/>
            </w:pPr>
            <w:r w:rsidRPr="003321F5">
              <w:t>$2</w:t>
            </w:r>
            <w:r w:rsidR="00CE47F1" w:rsidRPr="003321F5">
              <w:t>,</w:t>
            </w:r>
            <w:r w:rsidRPr="003321F5">
              <w:t>739</w:t>
            </w:r>
            <w:r w:rsidR="00E30FAA" w:rsidRPr="003321F5">
              <w:t>.00</w:t>
            </w:r>
          </w:p>
        </w:tc>
      </w:tr>
      <w:tr w:rsidR="00E30FAA" w:rsidRPr="003321F5" w:rsidTr="00C878BC"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E30FAA" w:rsidRPr="003321F5" w:rsidRDefault="00E30FAA">
            <w:pPr>
              <w:pStyle w:val="Tabletext"/>
            </w:pPr>
            <w:r w:rsidRPr="003321F5"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E30FAA" w:rsidRPr="003321F5" w:rsidRDefault="00E30FAA">
            <w:pPr>
              <w:pStyle w:val="Tabletext"/>
            </w:pPr>
            <w:r w:rsidRPr="003321F5">
              <w:t>stage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E30FAA" w:rsidRPr="003321F5" w:rsidRDefault="00E30FAA" w:rsidP="00D11E0D">
            <w:pPr>
              <w:pStyle w:val="Tabletext"/>
              <w:jc w:val="right"/>
            </w:pPr>
            <w:r w:rsidRPr="003321F5">
              <w:t>$</w:t>
            </w:r>
            <w:r w:rsidR="00D11E0D" w:rsidRPr="003321F5">
              <w:t>1</w:t>
            </w:r>
            <w:r w:rsidR="00CE47F1" w:rsidRPr="003321F5">
              <w:t>,</w:t>
            </w:r>
            <w:r w:rsidR="00D11E0D" w:rsidRPr="003321F5">
              <w:t>664</w:t>
            </w:r>
            <w:r w:rsidRPr="003321F5">
              <w:t>.00</w:t>
            </w:r>
          </w:p>
        </w:tc>
      </w:tr>
    </w:tbl>
    <w:p w:rsidR="00874486" w:rsidRPr="003321F5" w:rsidRDefault="009E1E71" w:rsidP="00874486">
      <w:pPr>
        <w:pStyle w:val="ItemHead"/>
      </w:pPr>
      <w:r w:rsidRPr="003321F5">
        <w:t>35</w:t>
      </w:r>
      <w:r w:rsidR="00874486" w:rsidRPr="003321F5">
        <w:t xml:space="preserve">  </w:t>
      </w:r>
      <w:r w:rsidR="000D55A2" w:rsidRPr="003321F5">
        <w:t>R</w:t>
      </w:r>
      <w:r w:rsidR="00874486" w:rsidRPr="003321F5">
        <w:t>egulation</w:t>
      </w:r>
      <w:r w:rsidR="003321F5" w:rsidRPr="003321F5">
        <w:t> </w:t>
      </w:r>
      <w:r w:rsidR="00874486" w:rsidRPr="003321F5">
        <w:t>5.14D</w:t>
      </w:r>
    </w:p>
    <w:p w:rsidR="00874486" w:rsidRPr="003321F5" w:rsidRDefault="00874486" w:rsidP="00874486">
      <w:pPr>
        <w:pStyle w:val="Item"/>
      </w:pPr>
      <w:r w:rsidRPr="003321F5">
        <w:t>Repeal the regulation, substitute:</w:t>
      </w:r>
    </w:p>
    <w:p w:rsidR="000D55A2" w:rsidRPr="003321F5" w:rsidRDefault="000D55A2" w:rsidP="000D55A2">
      <w:pPr>
        <w:pStyle w:val="ActHead5"/>
      </w:pPr>
      <w:bookmarkStart w:id="18" w:name="_Toc460853515"/>
      <w:r w:rsidRPr="003321F5">
        <w:rPr>
          <w:rStyle w:val="CharSectno"/>
        </w:rPr>
        <w:t>5.14D</w:t>
      </w:r>
      <w:r w:rsidRPr="003321F5">
        <w:t xml:space="preserve">  Amount of project </w:t>
      </w:r>
      <w:r w:rsidR="002C6CDA" w:rsidRPr="003321F5">
        <w:t>composition component</w:t>
      </w:r>
      <w:bookmarkEnd w:id="18"/>
    </w:p>
    <w:p w:rsidR="00874486" w:rsidRPr="003321F5" w:rsidRDefault="00874486" w:rsidP="00874486">
      <w:pPr>
        <w:pStyle w:val="subsection"/>
      </w:pPr>
      <w:r w:rsidRPr="003321F5">
        <w:tab/>
      </w:r>
      <w:r w:rsidRPr="003321F5">
        <w:tab/>
        <w:t xml:space="preserve">The amount of the </w:t>
      </w:r>
      <w:r w:rsidR="00597FFC" w:rsidRPr="003321F5">
        <w:t>project composition component</w:t>
      </w:r>
      <w:r w:rsidRPr="003321F5">
        <w:t xml:space="preserve"> of the complexity fee is:</w:t>
      </w:r>
    </w:p>
    <w:p w:rsidR="00874486" w:rsidRPr="003321F5" w:rsidRDefault="00874486" w:rsidP="00874486">
      <w:pPr>
        <w:pStyle w:val="paragraph"/>
      </w:pPr>
      <w:r w:rsidRPr="003321F5">
        <w:tab/>
        <w:t>(a)</w:t>
      </w:r>
      <w:r w:rsidRPr="003321F5">
        <w:tab/>
        <w:t>if t</w:t>
      </w:r>
      <w:r w:rsidR="000D55A2" w:rsidRPr="003321F5">
        <w:t>here</w:t>
      </w:r>
      <w:r w:rsidR="00191135" w:rsidRPr="003321F5">
        <w:t xml:space="preserve"> is one</w:t>
      </w:r>
      <w:r w:rsidR="000D55A2" w:rsidRPr="003321F5">
        <w:t xml:space="preserve"> project component</w:t>
      </w:r>
      <w:r w:rsidRPr="003321F5">
        <w:t>—nil; and</w:t>
      </w:r>
    </w:p>
    <w:p w:rsidR="00874486" w:rsidRPr="003321F5" w:rsidRDefault="00874486" w:rsidP="00874486">
      <w:pPr>
        <w:pStyle w:val="paragraph"/>
      </w:pPr>
      <w:r w:rsidRPr="003321F5">
        <w:tab/>
        <w:t>(b)</w:t>
      </w:r>
      <w:r w:rsidRPr="003321F5">
        <w:tab/>
        <w:t xml:space="preserve">if </w:t>
      </w:r>
      <w:r w:rsidR="00191135" w:rsidRPr="003321F5">
        <w:t>the</w:t>
      </w:r>
      <w:r w:rsidR="000D55A2" w:rsidRPr="003321F5">
        <w:t>re are 2</w:t>
      </w:r>
      <w:r w:rsidR="00191135" w:rsidRPr="003321F5">
        <w:t xml:space="preserve"> or more</w:t>
      </w:r>
      <w:r w:rsidR="00A00AA0" w:rsidRPr="003321F5">
        <w:t xml:space="preserve"> project components</w:t>
      </w:r>
      <w:r w:rsidRPr="003321F5">
        <w:t>—the amount worked out using the following formula:</w:t>
      </w:r>
    </w:p>
    <w:p w:rsidR="00874486" w:rsidRPr="003321F5" w:rsidRDefault="00874486" w:rsidP="00874486">
      <w:pPr>
        <w:pStyle w:val="paragraph"/>
        <w:spacing w:before="120"/>
      </w:pPr>
      <w:r w:rsidRPr="003321F5">
        <w:tab/>
      </w:r>
      <w:r w:rsidRPr="003321F5">
        <w:tab/>
      </w:r>
      <w:bookmarkStart w:id="19" w:name="BKCheck15B_5"/>
      <w:bookmarkEnd w:id="19"/>
      <w:r w:rsidR="00A00AA0" w:rsidRPr="003321F5">
        <w:rPr>
          <w:position w:val="-34"/>
        </w:rPr>
        <w:object w:dxaOrig="3240" w:dyaOrig="780">
          <v:shape id="_x0000_i1026" type="#_x0000_t75" style="width:161.25pt;height:39pt" o:ole="">
            <v:imagedata r:id="rId23" o:title=""/>
          </v:shape>
          <o:OLEObject Type="Embed" ProgID="Equation.DSMT4" ShapeID="_x0000_i1026" DrawAspect="Content" ObjectID="_1536141174" r:id="rId24"/>
        </w:object>
      </w:r>
    </w:p>
    <w:p w:rsidR="00A00AA0" w:rsidRPr="003321F5" w:rsidRDefault="00A00AA0" w:rsidP="00A00AA0">
      <w:pPr>
        <w:pStyle w:val="notetext"/>
      </w:pPr>
      <w:r w:rsidRPr="003321F5">
        <w:t>Note:</w:t>
      </w:r>
      <w:r w:rsidRPr="003321F5">
        <w:tab/>
        <w:t>Regulation</w:t>
      </w:r>
      <w:r w:rsidR="003321F5" w:rsidRPr="003321F5">
        <w:t> </w:t>
      </w:r>
      <w:r w:rsidRPr="003321F5">
        <w:t>5.12K sets out the amounts of the other components of a complexity fee.</w:t>
      </w:r>
    </w:p>
    <w:p w:rsidR="00020E99" w:rsidRPr="003321F5" w:rsidRDefault="009E1E71" w:rsidP="00020E99">
      <w:pPr>
        <w:pStyle w:val="ItemHead"/>
      </w:pPr>
      <w:r w:rsidRPr="003321F5">
        <w:t>36</w:t>
      </w:r>
      <w:r w:rsidR="00020E99" w:rsidRPr="003321F5">
        <w:t xml:space="preserve">  </w:t>
      </w:r>
      <w:r w:rsidR="00A34951" w:rsidRPr="003321F5">
        <w:t>Regulation</w:t>
      </w:r>
      <w:r w:rsidR="003321F5" w:rsidRPr="003321F5">
        <w:t> </w:t>
      </w:r>
      <w:r w:rsidR="00020E99" w:rsidRPr="003321F5">
        <w:t>5.14E</w:t>
      </w:r>
    </w:p>
    <w:p w:rsidR="00020E99" w:rsidRPr="003321F5" w:rsidRDefault="00020E99" w:rsidP="00020E99">
      <w:pPr>
        <w:pStyle w:val="Item"/>
      </w:pPr>
      <w:r w:rsidRPr="003321F5">
        <w:t xml:space="preserve">Repeal the </w:t>
      </w:r>
      <w:r w:rsidR="00A34951" w:rsidRPr="003321F5">
        <w:t>regulation</w:t>
      </w:r>
      <w:r w:rsidRPr="003321F5">
        <w:t>, substitute:</w:t>
      </w:r>
    </w:p>
    <w:p w:rsidR="00A34951" w:rsidRPr="003321F5" w:rsidRDefault="00A34951" w:rsidP="00A34951">
      <w:pPr>
        <w:pStyle w:val="ActHead5"/>
      </w:pPr>
      <w:bookmarkStart w:id="20" w:name="_Toc460853516"/>
      <w:r w:rsidRPr="003321F5">
        <w:rPr>
          <w:rStyle w:val="CharSectno"/>
        </w:rPr>
        <w:t>5.14E</w:t>
      </w:r>
      <w:r w:rsidRPr="003321F5">
        <w:t xml:space="preserve">  Method for working out complexity fee</w:t>
      </w:r>
      <w:bookmarkEnd w:id="20"/>
    </w:p>
    <w:p w:rsidR="00020E99" w:rsidRPr="003321F5" w:rsidRDefault="00020E99" w:rsidP="00020E99">
      <w:pPr>
        <w:pStyle w:val="subsection"/>
      </w:pPr>
      <w:r w:rsidRPr="003321F5">
        <w:tab/>
      </w:r>
      <w:r w:rsidRPr="003321F5">
        <w:tab/>
        <w:t>For the purposes of paragraph</w:t>
      </w:r>
      <w:r w:rsidR="003321F5" w:rsidRPr="003321F5">
        <w:t> </w:t>
      </w:r>
      <w:r w:rsidRPr="003321F5">
        <w:t xml:space="preserve">520(4C)(c) of the Act, the sum of the </w:t>
      </w:r>
      <w:r w:rsidR="00B0657E" w:rsidRPr="003321F5">
        <w:t>fees</w:t>
      </w:r>
      <w:r w:rsidRPr="003321F5">
        <w:t xml:space="preserve"> for the following components is the method for working out the complexity fee referred to in regulation</w:t>
      </w:r>
      <w:r w:rsidR="003321F5" w:rsidRPr="003321F5">
        <w:t> </w:t>
      </w:r>
      <w:r w:rsidRPr="003321F5">
        <w:t>5.14C:</w:t>
      </w:r>
    </w:p>
    <w:p w:rsidR="00020E99" w:rsidRPr="003321F5" w:rsidRDefault="00020E99" w:rsidP="00020E99">
      <w:pPr>
        <w:pStyle w:val="paragraph"/>
      </w:pPr>
      <w:r w:rsidRPr="003321F5">
        <w:tab/>
        <w:t>(a)</w:t>
      </w:r>
      <w:r w:rsidRPr="003321F5">
        <w:tab/>
        <w:t>each controlling provision component;</w:t>
      </w:r>
    </w:p>
    <w:p w:rsidR="00020E99" w:rsidRPr="003321F5" w:rsidRDefault="00020E99" w:rsidP="00020E99">
      <w:pPr>
        <w:pStyle w:val="paragraph"/>
      </w:pPr>
      <w:r w:rsidRPr="003321F5">
        <w:tab/>
        <w:t>(b)</w:t>
      </w:r>
      <w:r w:rsidRPr="003321F5">
        <w:tab/>
        <w:t>if applicable—the exceptional case component;</w:t>
      </w:r>
    </w:p>
    <w:p w:rsidR="00020E99" w:rsidRPr="003321F5" w:rsidRDefault="00020E99" w:rsidP="00020E99">
      <w:pPr>
        <w:pStyle w:val="paragraph"/>
      </w:pPr>
      <w:r w:rsidRPr="003321F5">
        <w:tab/>
        <w:t>(c)</w:t>
      </w:r>
      <w:r w:rsidRPr="003321F5">
        <w:tab/>
        <w:t>the legislative impact component;</w:t>
      </w:r>
    </w:p>
    <w:p w:rsidR="00020E99" w:rsidRPr="003321F5" w:rsidRDefault="00020E99" w:rsidP="00020E99">
      <w:pPr>
        <w:pStyle w:val="paragraph"/>
      </w:pPr>
      <w:r w:rsidRPr="003321F5">
        <w:tab/>
        <w:t>(d)</w:t>
      </w:r>
      <w:r w:rsidRPr="003321F5">
        <w:tab/>
        <w:t xml:space="preserve">the </w:t>
      </w:r>
      <w:r w:rsidR="00597FFC" w:rsidRPr="003321F5">
        <w:t>project composition component</w:t>
      </w:r>
      <w:r w:rsidRPr="003321F5">
        <w:t>.</w:t>
      </w:r>
    </w:p>
    <w:p w:rsidR="00E93C8A" w:rsidRPr="003321F5" w:rsidRDefault="009E1E71" w:rsidP="00E93C8A">
      <w:pPr>
        <w:pStyle w:val="ItemHead"/>
      </w:pPr>
      <w:r w:rsidRPr="003321F5">
        <w:t>37</w:t>
      </w:r>
      <w:r w:rsidR="00E93C8A" w:rsidRPr="003321F5">
        <w:t xml:space="preserve">  Subregulation</w:t>
      </w:r>
      <w:r w:rsidR="003321F5" w:rsidRPr="003321F5">
        <w:t> </w:t>
      </w:r>
      <w:r w:rsidR="00E93C8A" w:rsidRPr="003321F5">
        <w:t>5.15A(1) (</w:t>
      </w:r>
      <w:r w:rsidR="003321F5" w:rsidRPr="003321F5">
        <w:t>paragraph (</w:t>
      </w:r>
      <w:r w:rsidR="00E93C8A" w:rsidRPr="003321F5">
        <w:t xml:space="preserve">a) of the definition of </w:t>
      </w:r>
      <w:r w:rsidR="00E93C8A" w:rsidRPr="003321F5">
        <w:rPr>
          <w:i/>
        </w:rPr>
        <w:t>stage 1</w:t>
      </w:r>
      <w:r w:rsidR="00E93C8A" w:rsidRPr="003321F5">
        <w:t>)</w:t>
      </w:r>
    </w:p>
    <w:p w:rsidR="00E93C8A" w:rsidRPr="003321F5" w:rsidRDefault="00E93C8A" w:rsidP="00E93C8A">
      <w:pPr>
        <w:pStyle w:val="Item"/>
      </w:pPr>
      <w:r w:rsidRPr="003321F5">
        <w:t>Repeal the paragraph, substitute:</w:t>
      </w:r>
    </w:p>
    <w:p w:rsidR="00E93C8A" w:rsidRPr="003321F5" w:rsidRDefault="00E93C8A" w:rsidP="00E93C8A">
      <w:pPr>
        <w:pStyle w:val="paragraph"/>
      </w:pPr>
      <w:r w:rsidRPr="003321F5">
        <w:tab/>
        <w:t>(a)</w:t>
      </w:r>
      <w:r w:rsidRPr="003321F5">
        <w:tab/>
        <w:t>if section</w:t>
      </w:r>
      <w:r w:rsidR="003321F5" w:rsidRPr="003321F5">
        <w:t> </w:t>
      </w:r>
      <w:r w:rsidRPr="003321F5">
        <w:t>95A of the Act applies—stage 1 begins when the request under subsection</w:t>
      </w:r>
      <w:r w:rsidR="003321F5" w:rsidRPr="003321F5">
        <w:t> </w:t>
      </w:r>
      <w:r w:rsidRPr="003321F5">
        <w:t>95A(2) of the Act starts to be prepared; and</w:t>
      </w:r>
    </w:p>
    <w:p w:rsidR="00370107" w:rsidRPr="003321F5" w:rsidRDefault="009E1E71" w:rsidP="00370107">
      <w:pPr>
        <w:pStyle w:val="ItemHead"/>
      </w:pPr>
      <w:r w:rsidRPr="003321F5">
        <w:t>38</w:t>
      </w:r>
      <w:r w:rsidR="00370107" w:rsidRPr="003321F5">
        <w:t xml:space="preserve">  Subregulation</w:t>
      </w:r>
      <w:r w:rsidR="003321F5" w:rsidRPr="003321F5">
        <w:t> </w:t>
      </w:r>
      <w:r w:rsidR="00370107" w:rsidRPr="003321F5">
        <w:t xml:space="preserve">5.15A(1) (definition of </w:t>
      </w:r>
      <w:r w:rsidR="00370107" w:rsidRPr="003321F5">
        <w:rPr>
          <w:i/>
        </w:rPr>
        <w:t>stage 2</w:t>
      </w:r>
      <w:r w:rsidR="00370107" w:rsidRPr="003321F5">
        <w:t>)</w:t>
      </w:r>
    </w:p>
    <w:p w:rsidR="00370107" w:rsidRPr="003321F5" w:rsidRDefault="00370107" w:rsidP="00370107">
      <w:pPr>
        <w:pStyle w:val="Item"/>
      </w:pPr>
      <w:r w:rsidRPr="003321F5">
        <w:t>Repeal the definition, substitute:</w:t>
      </w:r>
    </w:p>
    <w:p w:rsidR="00370107" w:rsidRPr="003321F5" w:rsidRDefault="00370107" w:rsidP="00370107">
      <w:pPr>
        <w:pStyle w:val="Definition"/>
      </w:pPr>
      <w:r w:rsidRPr="003321F5">
        <w:rPr>
          <w:b/>
          <w:i/>
        </w:rPr>
        <w:t>stage 2</w:t>
      </w:r>
      <w:r w:rsidRPr="003321F5">
        <w:t>:</w:t>
      </w:r>
    </w:p>
    <w:p w:rsidR="00370107" w:rsidRPr="003321F5" w:rsidRDefault="00370107" w:rsidP="00370107">
      <w:pPr>
        <w:pStyle w:val="paragraph"/>
      </w:pPr>
      <w:r w:rsidRPr="003321F5">
        <w:tab/>
        <w:t>(a)</w:t>
      </w:r>
      <w:r w:rsidRPr="003321F5">
        <w:tab/>
        <w:t>if section</w:t>
      </w:r>
      <w:r w:rsidR="003321F5" w:rsidRPr="003321F5">
        <w:t> </w:t>
      </w:r>
      <w:r w:rsidRPr="003321F5">
        <w:t>95A of the Act applies—</w:t>
      </w:r>
      <w:r w:rsidR="00485AF0" w:rsidRPr="003321F5">
        <w:t xml:space="preserve">stage 2 </w:t>
      </w:r>
      <w:r w:rsidRPr="003321F5">
        <w:t>begins when the Minister receives the information requested under subsection</w:t>
      </w:r>
      <w:r w:rsidR="003321F5" w:rsidRPr="003321F5">
        <w:t> </w:t>
      </w:r>
      <w:r w:rsidRPr="003321F5">
        <w:t>95A(2) of the Act; and</w:t>
      </w:r>
    </w:p>
    <w:p w:rsidR="00370107" w:rsidRPr="003321F5" w:rsidRDefault="00370107" w:rsidP="00370107">
      <w:pPr>
        <w:pStyle w:val="paragraph"/>
      </w:pPr>
      <w:r w:rsidRPr="003321F5">
        <w:tab/>
        <w:t>(b)</w:t>
      </w:r>
      <w:r w:rsidRPr="003321F5">
        <w:tab/>
        <w:t>if section</w:t>
      </w:r>
      <w:r w:rsidR="003321F5" w:rsidRPr="003321F5">
        <w:t> </w:t>
      </w:r>
      <w:r w:rsidRPr="003321F5">
        <w:t>95A of the Act does not apply—stage 2 does not occur.</w:t>
      </w:r>
    </w:p>
    <w:p w:rsidR="003C735D" w:rsidRPr="003321F5" w:rsidRDefault="009E1E71" w:rsidP="003C735D">
      <w:pPr>
        <w:pStyle w:val="ItemHead"/>
      </w:pPr>
      <w:r w:rsidRPr="003321F5">
        <w:t>39</w:t>
      </w:r>
      <w:r w:rsidR="003C735D" w:rsidRPr="003321F5">
        <w:t xml:space="preserve">  Subsection</w:t>
      </w:r>
      <w:r w:rsidR="003321F5" w:rsidRPr="003321F5">
        <w:t> </w:t>
      </w:r>
      <w:r w:rsidR="003C735D" w:rsidRPr="003321F5">
        <w:t>5.15A(2)</w:t>
      </w:r>
    </w:p>
    <w:p w:rsidR="003C735D" w:rsidRPr="003321F5" w:rsidRDefault="003C735D" w:rsidP="003C735D">
      <w:pPr>
        <w:pStyle w:val="Item"/>
      </w:pPr>
      <w:r w:rsidRPr="003321F5">
        <w:t xml:space="preserve">After </w:t>
      </w:r>
      <w:r w:rsidR="00A919F9" w:rsidRPr="003321F5">
        <w:t>“</w:t>
      </w:r>
      <w:r w:rsidRPr="003321F5">
        <w:rPr>
          <w:b/>
          <w:i/>
        </w:rPr>
        <w:t>stage 1</w:t>
      </w:r>
      <w:r w:rsidR="00A919F9" w:rsidRPr="003321F5">
        <w:t>”</w:t>
      </w:r>
      <w:r w:rsidRPr="003321F5">
        <w:t xml:space="preserve">, insert </w:t>
      </w:r>
      <w:r w:rsidR="00A919F9" w:rsidRPr="003321F5">
        <w:t>“</w:t>
      </w:r>
      <w:r w:rsidRPr="003321F5">
        <w:t xml:space="preserve">or </w:t>
      </w:r>
      <w:r w:rsidRPr="003321F5">
        <w:rPr>
          <w:b/>
          <w:i/>
        </w:rPr>
        <w:t>stage 2</w:t>
      </w:r>
      <w:r w:rsidR="00A919F9" w:rsidRPr="003321F5">
        <w:t>”</w:t>
      </w:r>
      <w:r w:rsidRPr="003321F5">
        <w:t>.</w:t>
      </w:r>
    </w:p>
    <w:p w:rsidR="00CA713F" w:rsidRPr="003321F5" w:rsidRDefault="009E1E71" w:rsidP="0094719E">
      <w:pPr>
        <w:pStyle w:val="ItemHead"/>
      </w:pPr>
      <w:r w:rsidRPr="003321F5">
        <w:t>40</w:t>
      </w:r>
      <w:r w:rsidR="00CA713F" w:rsidRPr="003321F5">
        <w:t xml:space="preserve">  Subregulation</w:t>
      </w:r>
      <w:r w:rsidR="003321F5" w:rsidRPr="003321F5">
        <w:t> </w:t>
      </w:r>
      <w:r w:rsidR="00CA713F" w:rsidRPr="003321F5">
        <w:t>5.15B(2) (table)</w:t>
      </w:r>
    </w:p>
    <w:p w:rsidR="00CA713F" w:rsidRPr="003321F5" w:rsidRDefault="00CA713F" w:rsidP="00CA713F">
      <w:pPr>
        <w:pStyle w:val="Item"/>
      </w:pPr>
      <w:r w:rsidRPr="003321F5">
        <w:t>Repeal the table, substitute:</w:t>
      </w:r>
    </w:p>
    <w:p w:rsidR="00CA713F" w:rsidRPr="003321F5" w:rsidRDefault="00CA713F" w:rsidP="00CA713F">
      <w:pPr>
        <w:pStyle w:val="Tabletext"/>
      </w:pPr>
    </w:p>
    <w:tbl>
      <w:tblPr>
        <w:tblW w:w="4002" w:type="dxa"/>
        <w:tblInd w:w="108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92"/>
        <w:gridCol w:w="1701"/>
      </w:tblGrid>
      <w:tr w:rsidR="00CA713F" w:rsidRPr="003321F5" w:rsidTr="00C878BC">
        <w:trPr>
          <w:tblHeader/>
        </w:trPr>
        <w:tc>
          <w:tcPr>
            <w:tcW w:w="4002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CA713F" w:rsidRPr="003321F5" w:rsidRDefault="00CA713F">
            <w:pPr>
              <w:pStyle w:val="TableHeading"/>
              <w:ind w:left="33"/>
            </w:pPr>
            <w:r w:rsidRPr="003321F5">
              <w:t>Base fee for assessment on preliminary documentation</w:t>
            </w:r>
          </w:p>
        </w:tc>
      </w:tr>
      <w:tr w:rsidR="00CA713F" w:rsidRPr="003321F5" w:rsidTr="00C878BC">
        <w:trPr>
          <w:tblHeader/>
        </w:trPr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A713F" w:rsidRPr="003321F5" w:rsidRDefault="00CA713F">
            <w:pPr>
              <w:pStyle w:val="TableHeading"/>
            </w:pPr>
            <w:r w:rsidRPr="003321F5">
              <w:t>Item</w:t>
            </w:r>
          </w:p>
        </w:tc>
        <w:tc>
          <w:tcPr>
            <w:tcW w:w="159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A713F" w:rsidRPr="003321F5" w:rsidRDefault="00CA713F" w:rsidP="00013B4D">
            <w:pPr>
              <w:pStyle w:val="TableHeading"/>
            </w:pPr>
            <w:r w:rsidRPr="003321F5">
              <w:t>Stage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A713F" w:rsidRPr="003321F5" w:rsidRDefault="00CA713F">
            <w:pPr>
              <w:pStyle w:val="TableHeading"/>
              <w:ind w:left="420" w:hanging="420"/>
              <w:jc w:val="right"/>
            </w:pPr>
            <w:r w:rsidRPr="003321F5">
              <w:t>Amount payable</w:t>
            </w:r>
          </w:p>
        </w:tc>
      </w:tr>
      <w:tr w:rsidR="00CA713F" w:rsidRPr="003321F5" w:rsidTr="00C878BC"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713F" w:rsidRPr="003321F5" w:rsidRDefault="00CA713F">
            <w:pPr>
              <w:pStyle w:val="Tabletext"/>
            </w:pPr>
            <w:r w:rsidRPr="003321F5">
              <w:t>1</w:t>
            </w:r>
          </w:p>
        </w:tc>
        <w:tc>
          <w:tcPr>
            <w:tcW w:w="15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713F" w:rsidRPr="003321F5" w:rsidRDefault="00CA713F">
            <w:pPr>
              <w:pStyle w:val="Tabletext"/>
            </w:pPr>
            <w:r w:rsidRPr="003321F5">
              <w:t>stage 1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713F" w:rsidRPr="003321F5" w:rsidRDefault="00D11E0D" w:rsidP="00CA713F">
            <w:pPr>
              <w:pStyle w:val="Tabletext"/>
              <w:jc w:val="right"/>
            </w:pPr>
            <w:r w:rsidRPr="003321F5">
              <w:t>$2</w:t>
            </w:r>
            <w:r w:rsidR="00CE47F1" w:rsidRPr="003321F5">
              <w:t>,</w:t>
            </w:r>
            <w:r w:rsidRPr="003321F5">
              <w:t>074</w:t>
            </w:r>
            <w:r w:rsidR="00CA713F" w:rsidRPr="003321F5">
              <w:t>.00</w:t>
            </w:r>
          </w:p>
        </w:tc>
      </w:tr>
      <w:tr w:rsidR="00CA713F" w:rsidRPr="003321F5" w:rsidTr="00C878BC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713F" w:rsidRPr="003321F5" w:rsidRDefault="00CA713F">
            <w:pPr>
              <w:pStyle w:val="Tabletext"/>
            </w:pPr>
            <w:r w:rsidRPr="003321F5"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713F" w:rsidRPr="003321F5" w:rsidRDefault="00CA713F">
            <w:pPr>
              <w:pStyle w:val="Tabletext"/>
            </w:pPr>
            <w:r w:rsidRPr="003321F5">
              <w:t>stage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713F" w:rsidRPr="003321F5" w:rsidRDefault="00CA713F" w:rsidP="00D11E0D">
            <w:pPr>
              <w:pStyle w:val="Tabletext"/>
              <w:jc w:val="right"/>
            </w:pPr>
            <w:r w:rsidRPr="003321F5">
              <w:t>$</w:t>
            </w:r>
            <w:r w:rsidR="00D11E0D" w:rsidRPr="003321F5">
              <w:t>2</w:t>
            </w:r>
            <w:r w:rsidR="00CE47F1" w:rsidRPr="003321F5">
              <w:t>,</w:t>
            </w:r>
            <w:r w:rsidR="00D11E0D" w:rsidRPr="003321F5">
              <w:t>289</w:t>
            </w:r>
            <w:r w:rsidRPr="003321F5">
              <w:t>.00</w:t>
            </w:r>
          </w:p>
        </w:tc>
      </w:tr>
      <w:tr w:rsidR="00CA713F" w:rsidRPr="003321F5" w:rsidTr="00C878BC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713F" w:rsidRPr="003321F5" w:rsidRDefault="00CA713F">
            <w:pPr>
              <w:pStyle w:val="Tabletext"/>
            </w:pPr>
            <w:r w:rsidRPr="003321F5"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713F" w:rsidRPr="003321F5" w:rsidRDefault="00CA713F">
            <w:pPr>
              <w:pStyle w:val="Tabletext"/>
            </w:pPr>
            <w:r w:rsidRPr="003321F5">
              <w:t>stage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713F" w:rsidRPr="003321F5" w:rsidRDefault="00CA713F" w:rsidP="00D11E0D">
            <w:pPr>
              <w:pStyle w:val="Tabletext"/>
              <w:jc w:val="right"/>
            </w:pPr>
            <w:r w:rsidRPr="003321F5">
              <w:t>$</w:t>
            </w:r>
            <w:r w:rsidR="00D11E0D" w:rsidRPr="003321F5">
              <w:t>852</w:t>
            </w:r>
            <w:r w:rsidRPr="003321F5">
              <w:t>.00</w:t>
            </w:r>
          </w:p>
        </w:tc>
      </w:tr>
      <w:tr w:rsidR="00CA713F" w:rsidRPr="003321F5" w:rsidTr="00C878BC"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A713F" w:rsidRPr="003321F5" w:rsidRDefault="00CA713F">
            <w:pPr>
              <w:pStyle w:val="Tabletext"/>
            </w:pPr>
            <w:r w:rsidRPr="003321F5"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A713F" w:rsidRPr="003321F5" w:rsidRDefault="00CA713F">
            <w:pPr>
              <w:pStyle w:val="Tabletext"/>
            </w:pPr>
            <w:r w:rsidRPr="003321F5">
              <w:t>stage 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A713F" w:rsidRPr="003321F5" w:rsidRDefault="00D11E0D" w:rsidP="00CA713F">
            <w:pPr>
              <w:pStyle w:val="Tabletext"/>
              <w:jc w:val="right"/>
            </w:pPr>
            <w:r w:rsidRPr="003321F5">
              <w:t>$2</w:t>
            </w:r>
            <w:r w:rsidR="00CE47F1" w:rsidRPr="003321F5">
              <w:t>,</w:t>
            </w:r>
            <w:r w:rsidRPr="003321F5">
              <w:t>795</w:t>
            </w:r>
            <w:r w:rsidR="00CA713F" w:rsidRPr="003321F5">
              <w:t>.00</w:t>
            </w:r>
          </w:p>
        </w:tc>
      </w:tr>
    </w:tbl>
    <w:p w:rsidR="00A34951" w:rsidRPr="003321F5" w:rsidRDefault="009E1E71" w:rsidP="00A34951">
      <w:pPr>
        <w:pStyle w:val="ItemHead"/>
      </w:pPr>
      <w:r w:rsidRPr="003321F5">
        <w:t>41</w:t>
      </w:r>
      <w:r w:rsidR="00A34951" w:rsidRPr="003321F5">
        <w:t xml:space="preserve">  Paragraph 5.15C(1)(a)</w:t>
      </w:r>
    </w:p>
    <w:p w:rsidR="00A34951" w:rsidRPr="003321F5" w:rsidRDefault="00A34951" w:rsidP="00A34951">
      <w:pPr>
        <w:pStyle w:val="Item"/>
      </w:pPr>
      <w:r w:rsidRPr="003321F5">
        <w:t>Repeal the paragraph, substitute:</w:t>
      </w:r>
    </w:p>
    <w:p w:rsidR="00A34951" w:rsidRPr="003321F5" w:rsidRDefault="00A34951" w:rsidP="00A34951">
      <w:pPr>
        <w:pStyle w:val="paragraph"/>
      </w:pPr>
      <w:r w:rsidRPr="003321F5">
        <w:tab/>
        <w:t>(a)</w:t>
      </w:r>
      <w:r w:rsidRPr="003321F5">
        <w:tab/>
        <w:t xml:space="preserve">the </w:t>
      </w:r>
      <w:r w:rsidRPr="003321F5">
        <w:rPr>
          <w:b/>
          <w:i/>
        </w:rPr>
        <w:t>Part A complexity fee</w:t>
      </w:r>
      <w:r w:rsidRPr="003321F5">
        <w:t xml:space="preserve">, which is the sum of the </w:t>
      </w:r>
      <w:r w:rsidR="004D4A66" w:rsidRPr="003321F5">
        <w:t xml:space="preserve">fees </w:t>
      </w:r>
      <w:r w:rsidRPr="003321F5">
        <w:t>for:</w:t>
      </w:r>
    </w:p>
    <w:p w:rsidR="00A34951" w:rsidRPr="003321F5" w:rsidRDefault="00A34951" w:rsidP="00A34951">
      <w:pPr>
        <w:pStyle w:val="paragraphsub"/>
      </w:pPr>
      <w:r w:rsidRPr="003321F5">
        <w:tab/>
        <w:t>(i)</w:t>
      </w:r>
      <w:r w:rsidRPr="003321F5">
        <w:tab/>
        <w:t>each controlling provision component; and</w:t>
      </w:r>
    </w:p>
    <w:p w:rsidR="00A34951" w:rsidRPr="003321F5" w:rsidRDefault="00A34951" w:rsidP="00A34951">
      <w:pPr>
        <w:pStyle w:val="paragraphsub"/>
      </w:pPr>
      <w:r w:rsidRPr="003321F5">
        <w:tab/>
        <w:t>(ii)</w:t>
      </w:r>
      <w:r w:rsidRPr="003321F5">
        <w:tab/>
        <w:t>if applicable—the exceptional case component; and</w:t>
      </w:r>
    </w:p>
    <w:p w:rsidR="00A34951" w:rsidRPr="003321F5" w:rsidRDefault="00A34951" w:rsidP="00A34951">
      <w:pPr>
        <w:pStyle w:val="paragraphsub"/>
      </w:pPr>
      <w:r w:rsidRPr="003321F5">
        <w:tab/>
        <w:t>(iii)</w:t>
      </w:r>
      <w:r w:rsidRPr="003321F5">
        <w:tab/>
        <w:t>the legislative impact component; and</w:t>
      </w:r>
    </w:p>
    <w:p w:rsidR="00A34951" w:rsidRPr="003321F5" w:rsidRDefault="00A34951" w:rsidP="00A34951">
      <w:pPr>
        <w:pStyle w:val="paragraphsub"/>
      </w:pPr>
      <w:r w:rsidRPr="003321F5">
        <w:tab/>
        <w:t>(iv)</w:t>
      </w:r>
      <w:r w:rsidRPr="003321F5">
        <w:tab/>
        <w:t xml:space="preserve">the </w:t>
      </w:r>
      <w:r w:rsidR="00597FFC" w:rsidRPr="003321F5">
        <w:t>project composition component</w:t>
      </w:r>
      <w:r w:rsidRPr="003321F5">
        <w:t>; and</w:t>
      </w:r>
    </w:p>
    <w:p w:rsidR="008140FB" w:rsidRPr="003321F5" w:rsidRDefault="009E1E71" w:rsidP="003540B7">
      <w:pPr>
        <w:pStyle w:val="ItemHead"/>
      </w:pPr>
      <w:r w:rsidRPr="003321F5">
        <w:t>42</w:t>
      </w:r>
      <w:r w:rsidR="008140FB" w:rsidRPr="003321F5">
        <w:t xml:space="preserve">  Subregulation</w:t>
      </w:r>
      <w:r w:rsidR="003321F5" w:rsidRPr="003321F5">
        <w:t> </w:t>
      </w:r>
      <w:r w:rsidR="008140FB" w:rsidRPr="003321F5">
        <w:t>5.15C(3) (table)</w:t>
      </w:r>
    </w:p>
    <w:p w:rsidR="008140FB" w:rsidRPr="003321F5" w:rsidRDefault="008140FB" w:rsidP="008140FB">
      <w:pPr>
        <w:pStyle w:val="Item"/>
      </w:pPr>
      <w:r w:rsidRPr="003321F5">
        <w:t>Repeal the table, substitute:</w:t>
      </w:r>
    </w:p>
    <w:p w:rsidR="00D974C5" w:rsidRPr="003321F5" w:rsidRDefault="00D974C5" w:rsidP="00D974C5">
      <w:pPr>
        <w:pStyle w:val="Tabletext"/>
      </w:pPr>
    </w:p>
    <w:tbl>
      <w:tblPr>
        <w:tblW w:w="4002" w:type="dxa"/>
        <w:tblInd w:w="108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92"/>
        <w:gridCol w:w="1701"/>
      </w:tblGrid>
      <w:tr w:rsidR="00D974C5" w:rsidRPr="003321F5" w:rsidTr="00C878BC">
        <w:trPr>
          <w:tblHeader/>
        </w:trPr>
        <w:tc>
          <w:tcPr>
            <w:tcW w:w="4002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D974C5" w:rsidRPr="003321F5" w:rsidRDefault="00D974C5" w:rsidP="00D974C5">
            <w:pPr>
              <w:pStyle w:val="TableHeading"/>
              <w:ind w:left="33"/>
            </w:pPr>
            <w:r w:rsidRPr="003321F5">
              <w:t>Part A complexity fee for assessment on preliminary documentation</w:t>
            </w:r>
          </w:p>
        </w:tc>
      </w:tr>
      <w:tr w:rsidR="00D974C5" w:rsidRPr="003321F5" w:rsidTr="00C878BC">
        <w:trPr>
          <w:tblHeader/>
        </w:trPr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974C5" w:rsidRPr="003321F5" w:rsidRDefault="00D974C5" w:rsidP="00886F56">
            <w:pPr>
              <w:pStyle w:val="TableHeading"/>
            </w:pPr>
            <w:r w:rsidRPr="003321F5">
              <w:t>Item</w:t>
            </w:r>
          </w:p>
        </w:tc>
        <w:tc>
          <w:tcPr>
            <w:tcW w:w="159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974C5" w:rsidRPr="003321F5" w:rsidRDefault="00D974C5" w:rsidP="00886F56">
            <w:pPr>
              <w:pStyle w:val="TableHeading"/>
            </w:pPr>
            <w:r w:rsidRPr="003321F5">
              <w:t>Stage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974C5" w:rsidRPr="003321F5" w:rsidRDefault="00D974C5" w:rsidP="00F14894">
            <w:pPr>
              <w:pStyle w:val="TableHeading"/>
              <w:ind w:left="34"/>
              <w:jc w:val="right"/>
            </w:pPr>
            <w:r w:rsidRPr="003321F5">
              <w:t>Percentage payable</w:t>
            </w:r>
          </w:p>
        </w:tc>
      </w:tr>
      <w:tr w:rsidR="00D974C5" w:rsidRPr="003321F5" w:rsidTr="00C878BC"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74C5" w:rsidRPr="003321F5" w:rsidRDefault="00D974C5" w:rsidP="00886F56">
            <w:pPr>
              <w:pStyle w:val="Tabletext"/>
            </w:pPr>
            <w:r w:rsidRPr="003321F5">
              <w:t>1</w:t>
            </w:r>
          </w:p>
        </w:tc>
        <w:tc>
          <w:tcPr>
            <w:tcW w:w="15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74C5" w:rsidRPr="003321F5" w:rsidRDefault="00D974C5" w:rsidP="00886F56">
            <w:pPr>
              <w:pStyle w:val="Tabletext"/>
            </w:pPr>
            <w:r w:rsidRPr="003321F5">
              <w:t>stage 1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74C5" w:rsidRPr="003321F5" w:rsidRDefault="00D974C5" w:rsidP="00F14894">
            <w:pPr>
              <w:pStyle w:val="Tabletext"/>
              <w:ind w:left="34"/>
              <w:jc w:val="right"/>
            </w:pPr>
            <w:r w:rsidRPr="003321F5">
              <w:t>12%</w:t>
            </w:r>
          </w:p>
        </w:tc>
      </w:tr>
      <w:tr w:rsidR="00D974C5" w:rsidRPr="003321F5" w:rsidTr="00C878BC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74C5" w:rsidRPr="003321F5" w:rsidRDefault="00D974C5" w:rsidP="00886F56">
            <w:pPr>
              <w:pStyle w:val="Tabletext"/>
            </w:pPr>
            <w:r w:rsidRPr="003321F5"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74C5" w:rsidRPr="003321F5" w:rsidRDefault="00D974C5" w:rsidP="00886F56">
            <w:pPr>
              <w:pStyle w:val="Tabletext"/>
            </w:pPr>
            <w:r w:rsidRPr="003321F5">
              <w:t>stage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74C5" w:rsidRPr="003321F5" w:rsidRDefault="00D974C5" w:rsidP="00F14894">
            <w:pPr>
              <w:pStyle w:val="Tabletext"/>
              <w:ind w:left="34"/>
              <w:jc w:val="right"/>
            </w:pPr>
            <w:r w:rsidRPr="003321F5">
              <w:t>19%</w:t>
            </w:r>
          </w:p>
        </w:tc>
      </w:tr>
      <w:tr w:rsidR="00D974C5" w:rsidRPr="003321F5" w:rsidTr="00C878BC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74C5" w:rsidRPr="003321F5" w:rsidRDefault="00D974C5" w:rsidP="00886F56">
            <w:pPr>
              <w:pStyle w:val="Tabletext"/>
            </w:pPr>
            <w:r w:rsidRPr="003321F5"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74C5" w:rsidRPr="003321F5" w:rsidRDefault="00D974C5" w:rsidP="00886F56">
            <w:pPr>
              <w:pStyle w:val="Tabletext"/>
            </w:pPr>
            <w:r w:rsidRPr="003321F5">
              <w:t>stage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74C5" w:rsidRPr="003321F5" w:rsidRDefault="00D974C5" w:rsidP="00F14894">
            <w:pPr>
              <w:pStyle w:val="Tabletext"/>
              <w:ind w:left="34"/>
              <w:jc w:val="right"/>
            </w:pPr>
            <w:r w:rsidRPr="003321F5">
              <w:t>20%</w:t>
            </w:r>
          </w:p>
        </w:tc>
      </w:tr>
      <w:tr w:rsidR="00D974C5" w:rsidRPr="003321F5" w:rsidTr="00C878BC"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974C5" w:rsidRPr="003321F5" w:rsidRDefault="00D974C5" w:rsidP="00886F56">
            <w:pPr>
              <w:pStyle w:val="Tabletext"/>
            </w:pPr>
            <w:r w:rsidRPr="003321F5"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974C5" w:rsidRPr="003321F5" w:rsidRDefault="00D974C5" w:rsidP="00886F56">
            <w:pPr>
              <w:pStyle w:val="Tabletext"/>
            </w:pPr>
            <w:r w:rsidRPr="003321F5">
              <w:t>stage 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974C5" w:rsidRPr="003321F5" w:rsidRDefault="00D974C5" w:rsidP="00F14894">
            <w:pPr>
              <w:pStyle w:val="Tabletext"/>
              <w:ind w:left="34"/>
              <w:jc w:val="right"/>
            </w:pPr>
            <w:r w:rsidRPr="003321F5">
              <w:t>49%</w:t>
            </w:r>
          </w:p>
        </w:tc>
      </w:tr>
    </w:tbl>
    <w:p w:rsidR="00276CBC" w:rsidRPr="003321F5" w:rsidRDefault="009E1E71" w:rsidP="003540B7">
      <w:pPr>
        <w:pStyle w:val="ItemHead"/>
      </w:pPr>
      <w:r w:rsidRPr="003321F5">
        <w:t>43</w:t>
      </w:r>
      <w:r w:rsidR="00276CBC" w:rsidRPr="003321F5">
        <w:t xml:space="preserve">  Subregulation</w:t>
      </w:r>
      <w:r w:rsidR="00CA498D" w:rsidRPr="003321F5">
        <w:t>s</w:t>
      </w:r>
      <w:r w:rsidR="003321F5" w:rsidRPr="003321F5">
        <w:t> </w:t>
      </w:r>
      <w:r w:rsidR="00276CBC" w:rsidRPr="003321F5">
        <w:t>5.15C(</w:t>
      </w:r>
      <w:r w:rsidR="00CA498D" w:rsidRPr="003321F5">
        <w:t>4) and (5</w:t>
      </w:r>
      <w:r w:rsidR="00276CBC" w:rsidRPr="003321F5">
        <w:t>)</w:t>
      </w:r>
    </w:p>
    <w:p w:rsidR="00276CBC" w:rsidRPr="003321F5" w:rsidRDefault="00276CBC" w:rsidP="00276CBC">
      <w:pPr>
        <w:pStyle w:val="Item"/>
      </w:pPr>
      <w:r w:rsidRPr="003321F5">
        <w:t xml:space="preserve">Repeal the </w:t>
      </w:r>
      <w:r w:rsidR="00CA498D" w:rsidRPr="003321F5">
        <w:t>subregulations</w:t>
      </w:r>
      <w:r w:rsidRPr="003321F5">
        <w:t>, substitute:</w:t>
      </w:r>
    </w:p>
    <w:p w:rsidR="00CA498D" w:rsidRPr="003321F5" w:rsidRDefault="00CA498D" w:rsidP="00CA498D">
      <w:pPr>
        <w:pStyle w:val="SubsectionHead"/>
      </w:pPr>
      <w:r w:rsidRPr="003321F5">
        <w:t>Part B complexity fee</w:t>
      </w:r>
    </w:p>
    <w:p w:rsidR="00CA498D" w:rsidRPr="003321F5" w:rsidRDefault="00CA498D" w:rsidP="00CA498D">
      <w:pPr>
        <w:pStyle w:val="subsection"/>
      </w:pPr>
      <w:r w:rsidRPr="003321F5">
        <w:tab/>
        <w:t>(4)</w:t>
      </w:r>
      <w:r w:rsidRPr="003321F5">
        <w:tab/>
        <w:t>The Part B complexity fee for the assessment of the action is payable in 2 stages as follows:</w:t>
      </w:r>
    </w:p>
    <w:p w:rsidR="00CA498D" w:rsidRPr="003321F5" w:rsidRDefault="00CA498D" w:rsidP="00CA498D">
      <w:pPr>
        <w:pStyle w:val="paragraph"/>
      </w:pPr>
      <w:r w:rsidRPr="003321F5">
        <w:tab/>
        <w:t>(a)</w:t>
      </w:r>
      <w:r w:rsidRPr="003321F5">
        <w:tab/>
        <w:t>50% before the beginning of stage 3; and</w:t>
      </w:r>
    </w:p>
    <w:p w:rsidR="00CA498D" w:rsidRPr="003321F5" w:rsidRDefault="00CA498D" w:rsidP="00CA498D">
      <w:pPr>
        <w:pStyle w:val="paragraph"/>
      </w:pPr>
      <w:r w:rsidRPr="003321F5">
        <w:tab/>
        <w:t>(b)</w:t>
      </w:r>
      <w:r w:rsidRPr="003321F5">
        <w:tab/>
        <w:t>50% before the beginning of stage 4.</w:t>
      </w:r>
    </w:p>
    <w:p w:rsidR="00874486" w:rsidRPr="003321F5" w:rsidRDefault="009E1E71" w:rsidP="00874486">
      <w:pPr>
        <w:pStyle w:val="ItemHead"/>
      </w:pPr>
      <w:r w:rsidRPr="003321F5">
        <w:t>44</w:t>
      </w:r>
      <w:r w:rsidR="00874486" w:rsidRPr="003321F5">
        <w:t xml:space="preserve">  </w:t>
      </w:r>
      <w:r w:rsidR="00A00AA0" w:rsidRPr="003321F5">
        <w:t>R</w:t>
      </w:r>
      <w:r w:rsidR="00874486" w:rsidRPr="003321F5">
        <w:t>egulation</w:t>
      </w:r>
      <w:r w:rsidR="003321F5" w:rsidRPr="003321F5">
        <w:t> </w:t>
      </w:r>
      <w:r w:rsidR="00874486" w:rsidRPr="003321F5">
        <w:t>5.15D</w:t>
      </w:r>
    </w:p>
    <w:p w:rsidR="00874486" w:rsidRPr="003321F5" w:rsidRDefault="00874486" w:rsidP="00874486">
      <w:pPr>
        <w:pStyle w:val="Item"/>
      </w:pPr>
      <w:r w:rsidRPr="003321F5">
        <w:t>Repeal the regulation, substitute:</w:t>
      </w:r>
    </w:p>
    <w:p w:rsidR="00A00AA0" w:rsidRPr="003321F5" w:rsidRDefault="00A00AA0" w:rsidP="00A00AA0">
      <w:pPr>
        <w:pStyle w:val="ActHead5"/>
      </w:pPr>
      <w:bookmarkStart w:id="21" w:name="_Toc460853517"/>
      <w:r w:rsidRPr="003321F5">
        <w:rPr>
          <w:rStyle w:val="CharSectno"/>
        </w:rPr>
        <w:t>5.15D</w:t>
      </w:r>
      <w:r w:rsidRPr="003321F5">
        <w:t xml:space="preserve">  Amount of </w:t>
      </w:r>
      <w:r w:rsidR="00597FFC" w:rsidRPr="003321F5">
        <w:t>project composition component</w:t>
      </w:r>
      <w:bookmarkEnd w:id="21"/>
    </w:p>
    <w:p w:rsidR="00874486" w:rsidRPr="003321F5" w:rsidRDefault="00874486" w:rsidP="00874486">
      <w:pPr>
        <w:pStyle w:val="subsection"/>
      </w:pPr>
      <w:r w:rsidRPr="003321F5">
        <w:tab/>
      </w:r>
      <w:r w:rsidRPr="003321F5">
        <w:tab/>
        <w:t xml:space="preserve">The amount of the </w:t>
      </w:r>
      <w:r w:rsidR="00597FFC" w:rsidRPr="003321F5">
        <w:t>project composition component</w:t>
      </w:r>
      <w:r w:rsidRPr="003321F5">
        <w:t xml:space="preserve"> of the complexity fee is:</w:t>
      </w:r>
    </w:p>
    <w:p w:rsidR="00874486" w:rsidRPr="003321F5" w:rsidRDefault="00874486" w:rsidP="00874486">
      <w:pPr>
        <w:pStyle w:val="paragraph"/>
      </w:pPr>
      <w:r w:rsidRPr="003321F5">
        <w:tab/>
        <w:t>(a)</w:t>
      </w:r>
      <w:r w:rsidRPr="003321F5">
        <w:tab/>
        <w:t xml:space="preserve">if </w:t>
      </w:r>
      <w:r w:rsidR="00E333FE" w:rsidRPr="003321F5">
        <w:t>there</w:t>
      </w:r>
      <w:r w:rsidR="00191135" w:rsidRPr="003321F5">
        <w:t xml:space="preserve"> is one</w:t>
      </w:r>
      <w:r w:rsidR="00E333FE" w:rsidRPr="003321F5">
        <w:t xml:space="preserve"> project component</w:t>
      </w:r>
      <w:r w:rsidRPr="003321F5">
        <w:t>—nil; and</w:t>
      </w:r>
    </w:p>
    <w:p w:rsidR="00874486" w:rsidRPr="003321F5" w:rsidRDefault="00874486" w:rsidP="00E333FE">
      <w:pPr>
        <w:pStyle w:val="paragraph"/>
      </w:pPr>
      <w:r w:rsidRPr="003321F5">
        <w:tab/>
        <w:t>(b)</w:t>
      </w:r>
      <w:r w:rsidRPr="003321F5">
        <w:tab/>
        <w:t xml:space="preserve">if </w:t>
      </w:r>
      <w:r w:rsidR="00E333FE" w:rsidRPr="003321F5">
        <w:t>there are 2</w:t>
      </w:r>
      <w:r w:rsidR="00191135" w:rsidRPr="003321F5">
        <w:t xml:space="preserve"> or more</w:t>
      </w:r>
      <w:r w:rsidR="00E333FE" w:rsidRPr="003321F5">
        <w:t xml:space="preserve"> project components</w:t>
      </w:r>
      <w:r w:rsidRPr="003321F5">
        <w:t>—the amount worked out using the following formula:</w:t>
      </w:r>
    </w:p>
    <w:p w:rsidR="00874486" w:rsidRPr="003321F5" w:rsidRDefault="00874486" w:rsidP="00874486">
      <w:pPr>
        <w:pStyle w:val="paragraph"/>
        <w:spacing w:before="120"/>
      </w:pPr>
      <w:r w:rsidRPr="003321F5">
        <w:tab/>
      </w:r>
      <w:r w:rsidRPr="003321F5">
        <w:tab/>
      </w:r>
      <w:bookmarkStart w:id="22" w:name="BKCheck15B_6"/>
      <w:bookmarkEnd w:id="22"/>
      <w:r w:rsidR="00E333FE" w:rsidRPr="003321F5">
        <w:rPr>
          <w:position w:val="-34"/>
        </w:rPr>
        <w:object w:dxaOrig="3240" w:dyaOrig="780">
          <v:shape id="_x0000_i1027" type="#_x0000_t75" style="width:161.25pt;height:39pt" o:ole="">
            <v:imagedata r:id="rId25" o:title=""/>
          </v:shape>
          <o:OLEObject Type="Embed" ProgID="Equation.DSMT4" ShapeID="_x0000_i1027" DrawAspect="Content" ObjectID="_1536141175" r:id="rId26"/>
        </w:object>
      </w:r>
    </w:p>
    <w:p w:rsidR="00A00AA0" w:rsidRPr="003321F5" w:rsidRDefault="00A00AA0" w:rsidP="00A00AA0">
      <w:pPr>
        <w:pStyle w:val="notetext"/>
      </w:pPr>
      <w:r w:rsidRPr="003321F5">
        <w:t>Note:</w:t>
      </w:r>
      <w:r w:rsidRPr="003321F5">
        <w:tab/>
        <w:t>Regulation</w:t>
      </w:r>
      <w:r w:rsidR="003321F5" w:rsidRPr="003321F5">
        <w:t> </w:t>
      </w:r>
      <w:r w:rsidRPr="003321F5">
        <w:t>5.12K sets out the amounts of the other components of a complexity fee.</w:t>
      </w:r>
    </w:p>
    <w:p w:rsidR="00370107" w:rsidRPr="003321F5" w:rsidRDefault="009E1E71" w:rsidP="00485AF0">
      <w:pPr>
        <w:pStyle w:val="ItemHead"/>
      </w:pPr>
      <w:r w:rsidRPr="003321F5">
        <w:t>45</w:t>
      </w:r>
      <w:r w:rsidR="00370107" w:rsidRPr="003321F5">
        <w:t xml:space="preserve">  </w:t>
      </w:r>
      <w:r w:rsidR="00485AF0" w:rsidRPr="003321F5">
        <w:t>Subregulation</w:t>
      </w:r>
      <w:r w:rsidR="003321F5" w:rsidRPr="003321F5">
        <w:t> </w:t>
      </w:r>
      <w:r w:rsidR="00485AF0" w:rsidRPr="003321F5">
        <w:t xml:space="preserve">5.16A(1) (definition of </w:t>
      </w:r>
      <w:r w:rsidR="00485AF0" w:rsidRPr="003321F5">
        <w:rPr>
          <w:i/>
        </w:rPr>
        <w:t>stage 1</w:t>
      </w:r>
      <w:r w:rsidR="00485AF0" w:rsidRPr="003321F5">
        <w:t>)</w:t>
      </w:r>
    </w:p>
    <w:p w:rsidR="00485AF0" w:rsidRPr="003321F5" w:rsidRDefault="00485AF0" w:rsidP="00485AF0">
      <w:pPr>
        <w:pStyle w:val="Item"/>
      </w:pPr>
      <w:r w:rsidRPr="003321F5">
        <w:t>Repeal the definition, substitute:</w:t>
      </w:r>
    </w:p>
    <w:p w:rsidR="00485AF0" w:rsidRPr="003321F5" w:rsidRDefault="00485AF0" w:rsidP="00485AF0">
      <w:pPr>
        <w:pStyle w:val="Definition"/>
      </w:pPr>
      <w:r w:rsidRPr="003321F5">
        <w:rPr>
          <w:b/>
          <w:i/>
        </w:rPr>
        <w:t>stage 1</w:t>
      </w:r>
      <w:r w:rsidRPr="003321F5">
        <w:t>:</w:t>
      </w:r>
    </w:p>
    <w:p w:rsidR="00485AF0" w:rsidRPr="003321F5" w:rsidRDefault="00485AF0" w:rsidP="00485AF0">
      <w:pPr>
        <w:pStyle w:val="paragraph"/>
      </w:pPr>
      <w:r w:rsidRPr="003321F5">
        <w:tab/>
        <w:t>(a)</w:t>
      </w:r>
      <w:r w:rsidRPr="003321F5">
        <w:tab/>
        <w:t>if the Minister decides under paragraph</w:t>
      </w:r>
      <w:r w:rsidR="003321F5" w:rsidRPr="003321F5">
        <w:t> </w:t>
      </w:r>
      <w:r w:rsidRPr="003321F5">
        <w:t>96A(2)(a) of the Act that standard guidelines are not appropriate for the preparation of the draft report—stage 1 begins when the tailored guidelines start to be prepared; and</w:t>
      </w:r>
    </w:p>
    <w:p w:rsidR="00485AF0" w:rsidRPr="003321F5" w:rsidRDefault="00485AF0" w:rsidP="00485AF0">
      <w:pPr>
        <w:pStyle w:val="paragraph"/>
      </w:pPr>
      <w:r w:rsidRPr="003321F5">
        <w:tab/>
        <w:t>(b)</w:t>
      </w:r>
      <w:r w:rsidRPr="003321F5">
        <w:tab/>
        <w:t>otherwise—stage 1 does not occur.</w:t>
      </w:r>
    </w:p>
    <w:p w:rsidR="003C735D" w:rsidRPr="003321F5" w:rsidRDefault="009E1E71" w:rsidP="003C735D">
      <w:pPr>
        <w:pStyle w:val="ItemHead"/>
      </w:pPr>
      <w:r w:rsidRPr="003321F5">
        <w:t>46</w:t>
      </w:r>
      <w:r w:rsidR="003C735D" w:rsidRPr="003321F5">
        <w:t xml:space="preserve">  Subregulation</w:t>
      </w:r>
      <w:r w:rsidR="003321F5" w:rsidRPr="003321F5">
        <w:t> </w:t>
      </w:r>
      <w:r w:rsidR="003C735D" w:rsidRPr="003321F5">
        <w:t>5.16A(2)</w:t>
      </w:r>
    </w:p>
    <w:p w:rsidR="003C735D" w:rsidRPr="003321F5" w:rsidRDefault="003C735D" w:rsidP="003C735D">
      <w:pPr>
        <w:pStyle w:val="Item"/>
      </w:pPr>
      <w:r w:rsidRPr="003321F5">
        <w:t xml:space="preserve">Omit </w:t>
      </w:r>
      <w:r w:rsidR="00A919F9" w:rsidRPr="003321F5">
        <w:t>“</w:t>
      </w:r>
      <w:r w:rsidRPr="003321F5">
        <w:t>(a)</w:t>
      </w:r>
      <w:r w:rsidR="00A919F9" w:rsidRPr="003321F5">
        <w:t>”</w:t>
      </w:r>
      <w:r w:rsidRPr="003321F5">
        <w:t xml:space="preserve">, substitute </w:t>
      </w:r>
      <w:r w:rsidR="00A919F9" w:rsidRPr="003321F5">
        <w:t>“</w:t>
      </w:r>
      <w:r w:rsidRPr="003321F5">
        <w:t>(b)</w:t>
      </w:r>
      <w:r w:rsidR="00A919F9" w:rsidRPr="003321F5">
        <w:t>”</w:t>
      </w:r>
      <w:r w:rsidRPr="003321F5">
        <w:t>.</w:t>
      </w:r>
    </w:p>
    <w:p w:rsidR="00CA713F" w:rsidRPr="003321F5" w:rsidRDefault="009E1E71" w:rsidP="0094719E">
      <w:pPr>
        <w:pStyle w:val="ItemHead"/>
      </w:pPr>
      <w:r w:rsidRPr="003321F5">
        <w:t>47</w:t>
      </w:r>
      <w:r w:rsidR="00CA713F" w:rsidRPr="003321F5">
        <w:t xml:space="preserve">  Su</w:t>
      </w:r>
      <w:r w:rsidR="0023440F" w:rsidRPr="003321F5">
        <w:t>b</w:t>
      </w:r>
      <w:r w:rsidR="00CA713F" w:rsidRPr="003321F5">
        <w:t>regulation</w:t>
      </w:r>
      <w:r w:rsidR="003321F5" w:rsidRPr="003321F5">
        <w:t> </w:t>
      </w:r>
      <w:r w:rsidR="00CA713F" w:rsidRPr="003321F5">
        <w:t>5.16B(2) (table)</w:t>
      </w:r>
    </w:p>
    <w:p w:rsidR="00CA713F" w:rsidRPr="003321F5" w:rsidRDefault="00CA713F" w:rsidP="00CA713F">
      <w:pPr>
        <w:pStyle w:val="Item"/>
      </w:pPr>
      <w:r w:rsidRPr="003321F5">
        <w:t>Repeal the table, substitute:</w:t>
      </w:r>
    </w:p>
    <w:p w:rsidR="00CA713F" w:rsidRPr="003321F5" w:rsidRDefault="00CA713F" w:rsidP="00CA713F">
      <w:pPr>
        <w:pStyle w:val="Tabletext"/>
      </w:pPr>
    </w:p>
    <w:tbl>
      <w:tblPr>
        <w:tblW w:w="4002" w:type="dxa"/>
        <w:tblInd w:w="108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92"/>
        <w:gridCol w:w="1701"/>
      </w:tblGrid>
      <w:tr w:rsidR="00CA713F" w:rsidRPr="003321F5" w:rsidTr="00C878BC">
        <w:trPr>
          <w:tblHeader/>
        </w:trPr>
        <w:tc>
          <w:tcPr>
            <w:tcW w:w="4002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CA713F" w:rsidRPr="003321F5" w:rsidRDefault="00CA713F">
            <w:pPr>
              <w:pStyle w:val="TableHeading"/>
              <w:ind w:left="33"/>
            </w:pPr>
            <w:r w:rsidRPr="003321F5">
              <w:t>Base fee for assessment by a public environment report</w:t>
            </w:r>
          </w:p>
        </w:tc>
      </w:tr>
      <w:tr w:rsidR="00CA713F" w:rsidRPr="003321F5" w:rsidTr="00C878BC">
        <w:trPr>
          <w:tblHeader/>
        </w:trPr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A713F" w:rsidRPr="003321F5" w:rsidRDefault="00CA713F">
            <w:pPr>
              <w:pStyle w:val="TableHeading"/>
            </w:pPr>
            <w:r w:rsidRPr="003321F5">
              <w:t>Item</w:t>
            </w:r>
          </w:p>
        </w:tc>
        <w:tc>
          <w:tcPr>
            <w:tcW w:w="159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A713F" w:rsidRPr="003321F5" w:rsidRDefault="00CA713F">
            <w:pPr>
              <w:pStyle w:val="TableHeading"/>
            </w:pPr>
            <w:r w:rsidRPr="003321F5">
              <w:t>Stage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A713F" w:rsidRPr="003321F5" w:rsidRDefault="00CA713F">
            <w:pPr>
              <w:pStyle w:val="TableHeading"/>
              <w:ind w:left="420" w:hanging="420"/>
              <w:jc w:val="right"/>
            </w:pPr>
            <w:r w:rsidRPr="003321F5">
              <w:t>Amount payable</w:t>
            </w:r>
          </w:p>
        </w:tc>
      </w:tr>
      <w:tr w:rsidR="00CA713F" w:rsidRPr="003321F5" w:rsidTr="00C878BC"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713F" w:rsidRPr="003321F5" w:rsidRDefault="00CA713F">
            <w:pPr>
              <w:pStyle w:val="Tabletext"/>
            </w:pPr>
            <w:r w:rsidRPr="003321F5">
              <w:t>1</w:t>
            </w:r>
          </w:p>
        </w:tc>
        <w:tc>
          <w:tcPr>
            <w:tcW w:w="15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713F" w:rsidRPr="003321F5" w:rsidRDefault="00CA713F">
            <w:pPr>
              <w:pStyle w:val="Tabletext"/>
            </w:pPr>
            <w:r w:rsidRPr="003321F5">
              <w:t>stage 1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713F" w:rsidRPr="003321F5" w:rsidRDefault="000D4C46" w:rsidP="00CA713F">
            <w:pPr>
              <w:pStyle w:val="Tabletext"/>
              <w:jc w:val="right"/>
            </w:pPr>
            <w:r w:rsidRPr="003321F5">
              <w:t>$4</w:t>
            </w:r>
            <w:r w:rsidR="00CE47F1" w:rsidRPr="003321F5">
              <w:t>,</w:t>
            </w:r>
            <w:r w:rsidRPr="003321F5">
              <w:t>715</w:t>
            </w:r>
            <w:r w:rsidR="00CA713F" w:rsidRPr="003321F5">
              <w:t>.00</w:t>
            </w:r>
          </w:p>
        </w:tc>
      </w:tr>
      <w:tr w:rsidR="00CA713F" w:rsidRPr="003321F5" w:rsidTr="00C878BC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713F" w:rsidRPr="003321F5" w:rsidRDefault="00CA713F">
            <w:pPr>
              <w:pStyle w:val="Tabletext"/>
            </w:pPr>
            <w:r w:rsidRPr="003321F5"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713F" w:rsidRPr="003321F5" w:rsidRDefault="00CA713F">
            <w:pPr>
              <w:pStyle w:val="Tabletext"/>
            </w:pPr>
            <w:r w:rsidRPr="003321F5">
              <w:t>stage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713F" w:rsidRPr="003321F5" w:rsidRDefault="000D4C46" w:rsidP="00CA713F">
            <w:pPr>
              <w:pStyle w:val="Tabletext"/>
              <w:jc w:val="right"/>
            </w:pPr>
            <w:r w:rsidRPr="003321F5">
              <w:t>$5</w:t>
            </w:r>
            <w:r w:rsidR="00CE47F1" w:rsidRPr="003321F5">
              <w:t>,</w:t>
            </w:r>
            <w:r w:rsidRPr="003321F5">
              <w:t>394</w:t>
            </w:r>
            <w:r w:rsidR="00CA713F" w:rsidRPr="003321F5">
              <w:t>.00</w:t>
            </w:r>
          </w:p>
        </w:tc>
      </w:tr>
      <w:tr w:rsidR="00CA713F" w:rsidRPr="003321F5" w:rsidTr="00C878BC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713F" w:rsidRPr="003321F5" w:rsidRDefault="00CA713F">
            <w:pPr>
              <w:pStyle w:val="Tabletext"/>
            </w:pPr>
            <w:r w:rsidRPr="003321F5"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713F" w:rsidRPr="003321F5" w:rsidRDefault="00CA713F">
            <w:pPr>
              <w:pStyle w:val="Tabletext"/>
            </w:pPr>
            <w:r w:rsidRPr="003321F5">
              <w:t>stage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713F" w:rsidRPr="003321F5" w:rsidRDefault="000D4C46" w:rsidP="00CA713F">
            <w:pPr>
              <w:pStyle w:val="Tabletext"/>
              <w:jc w:val="right"/>
            </w:pPr>
            <w:r w:rsidRPr="003321F5">
              <w:t>$7</w:t>
            </w:r>
            <w:r w:rsidR="00CE47F1" w:rsidRPr="003321F5">
              <w:t>,</w:t>
            </w:r>
            <w:r w:rsidRPr="003321F5">
              <w:t>119</w:t>
            </w:r>
            <w:r w:rsidR="00CA713F" w:rsidRPr="003321F5">
              <w:t>.00</w:t>
            </w:r>
          </w:p>
        </w:tc>
      </w:tr>
      <w:tr w:rsidR="00CA713F" w:rsidRPr="003321F5" w:rsidTr="00C878BC"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A713F" w:rsidRPr="003321F5" w:rsidRDefault="00CA713F">
            <w:pPr>
              <w:pStyle w:val="Tabletext"/>
            </w:pPr>
            <w:r w:rsidRPr="003321F5"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A713F" w:rsidRPr="003321F5" w:rsidRDefault="00CA713F">
            <w:pPr>
              <w:pStyle w:val="Tabletext"/>
            </w:pPr>
            <w:r w:rsidRPr="003321F5">
              <w:t>stage 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A713F" w:rsidRPr="003321F5" w:rsidRDefault="000D4C46" w:rsidP="00CA713F">
            <w:pPr>
              <w:pStyle w:val="Tabletext"/>
              <w:jc w:val="right"/>
            </w:pPr>
            <w:r w:rsidRPr="003321F5">
              <w:t>$8</w:t>
            </w:r>
            <w:r w:rsidR="00CE47F1" w:rsidRPr="003321F5">
              <w:t>,</w:t>
            </w:r>
            <w:r w:rsidRPr="003321F5">
              <w:t>355</w:t>
            </w:r>
            <w:r w:rsidR="00CA713F" w:rsidRPr="003321F5">
              <w:t>.00</w:t>
            </w:r>
          </w:p>
        </w:tc>
      </w:tr>
    </w:tbl>
    <w:p w:rsidR="00DB531C" w:rsidRPr="003321F5" w:rsidRDefault="009E1E71" w:rsidP="00DB531C">
      <w:pPr>
        <w:pStyle w:val="ItemHead"/>
      </w:pPr>
      <w:r w:rsidRPr="003321F5">
        <w:t>48</w:t>
      </w:r>
      <w:r w:rsidR="00DB531C" w:rsidRPr="003321F5">
        <w:t xml:space="preserve">  Paragraph 5.16C(1)(a)</w:t>
      </w:r>
    </w:p>
    <w:p w:rsidR="00DB531C" w:rsidRPr="003321F5" w:rsidRDefault="00DB531C" w:rsidP="00DB531C">
      <w:pPr>
        <w:pStyle w:val="Item"/>
      </w:pPr>
      <w:r w:rsidRPr="003321F5">
        <w:t>Repeal the paragraph, substitute:</w:t>
      </w:r>
    </w:p>
    <w:p w:rsidR="00DB531C" w:rsidRPr="003321F5" w:rsidRDefault="00DB531C" w:rsidP="00DB531C">
      <w:pPr>
        <w:pStyle w:val="paragraph"/>
      </w:pPr>
      <w:r w:rsidRPr="003321F5">
        <w:tab/>
        <w:t>(a)</w:t>
      </w:r>
      <w:r w:rsidRPr="003321F5">
        <w:tab/>
        <w:t xml:space="preserve">the </w:t>
      </w:r>
      <w:r w:rsidRPr="003321F5">
        <w:rPr>
          <w:b/>
          <w:i/>
        </w:rPr>
        <w:t>Part A complexity fee</w:t>
      </w:r>
      <w:r w:rsidRPr="003321F5">
        <w:t xml:space="preserve">, which is the sum of the </w:t>
      </w:r>
      <w:r w:rsidR="004D4A66" w:rsidRPr="003321F5">
        <w:t>fees</w:t>
      </w:r>
      <w:r w:rsidRPr="003321F5">
        <w:t xml:space="preserve"> for:</w:t>
      </w:r>
    </w:p>
    <w:p w:rsidR="00DB531C" w:rsidRPr="003321F5" w:rsidRDefault="00DB531C" w:rsidP="00DB531C">
      <w:pPr>
        <w:pStyle w:val="paragraphsub"/>
      </w:pPr>
      <w:r w:rsidRPr="003321F5">
        <w:tab/>
        <w:t>(i)</w:t>
      </w:r>
      <w:r w:rsidRPr="003321F5">
        <w:tab/>
        <w:t>each controlling provision component; and</w:t>
      </w:r>
    </w:p>
    <w:p w:rsidR="00DB531C" w:rsidRPr="003321F5" w:rsidRDefault="00DB531C" w:rsidP="00DB531C">
      <w:pPr>
        <w:pStyle w:val="paragraphsub"/>
      </w:pPr>
      <w:r w:rsidRPr="003321F5">
        <w:tab/>
        <w:t>(ii)</w:t>
      </w:r>
      <w:r w:rsidRPr="003321F5">
        <w:tab/>
        <w:t>if applicable—the exceptional case component; and</w:t>
      </w:r>
    </w:p>
    <w:p w:rsidR="00DB531C" w:rsidRPr="003321F5" w:rsidRDefault="00DB531C" w:rsidP="00DB531C">
      <w:pPr>
        <w:pStyle w:val="paragraphsub"/>
      </w:pPr>
      <w:r w:rsidRPr="003321F5">
        <w:tab/>
        <w:t>(iii)</w:t>
      </w:r>
      <w:r w:rsidRPr="003321F5">
        <w:tab/>
        <w:t>the legislative impact component; and</w:t>
      </w:r>
    </w:p>
    <w:p w:rsidR="00DB531C" w:rsidRPr="003321F5" w:rsidRDefault="00DB531C" w:rsidP="00DB531C">
      <w:pPr>
        <w:pStyle w:val="paragraphsub"/>
      </w:pPr>
      <w:r w:rsidRPr="003321F5">
        <w:tab/>
        <w:t>(iv)</w:t>
      </w:r>
      <w:r w:rsidRPr="003321F5">
        <w:tab/>
        <w:t xml:space="preserve">the </w:t>
      </w:r>
      <w:r w:rsidR="00597FFC" w:rsidRPr="003321F5">
        <w:t>project composition component</w:t>
      </w:r>
      <w:r w:rsidRPr="003321F5">
        <w:t>; and</w:t>
      </w:r>
    </w:p>
    <w:p w:rsidR="00286917" w:rsidRPr="003321F5" w:rsidRDefault="009E1E71" w:rsidP="00DB7E48">
      <w:pPr>
        <w:pStyle w:val="ItemHead"/>
      </w:pPr>
      <w:r w:rsidRPr="003321F5">
        <w:t>49</w:t>
      </w:r>
      <w:r w:rsidR="00286917" w:rsidRPr="003321F5">
        <w:t xml:space="preserve">  Subregulation</w:t>
      </w:r>
      <w:r w:rsidR="003321F5" w:rsidRPr="003321F5">
        <w:t> </w:t>
      </w:r>
      <w:r w:rsidR="00286917" w:rsidRPr="003321F5">
        <w:t>5.16C(3) (table)</w:t>
      </w:r>
    </w:p>
    <w:p w:rsidR="00546096" w:rsidRPr="003321F5" w:rsidRDefault="00546096" w:rsidP="00546096">
      <w:pPr>
        <w:pStyle w:val="Item"/>
      </w:pPr>
      <w:r w:rsidRPr="003321F5">
        <w:t>Repeal the table, substitute:</w:t>
      </w:r>
    </w:p>
    <w:p w:rsidR="00546096" w:rsidRPr="003321F5" w:rsidRDefault="00546096" w:rsidP="00546096">
      <w:pPr>
        <w:pStyle w:val="Tabletext"/>
      </w:pPr>
    </w:p>
    <w:tbl>
      <w:tblPr>
        <w:tblW w:w="4002" w:type="dxa"/>
        <w:tblInd w:w="108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92"/>
        <w:gridCol w:w="1701"/>
      </w:tblGrid>
      <w:tr w:rsidR="00546096" w:rsidRPr="003321F5" w:rsidTr="00C878BC">
        <w:trPr>
          <w:tblHeader/>
        </w:trPr>
        <w:tc>
          <w:tcPr>
            <w:tcW w:w="4002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546096" w:rsidRPr="003321F5" w:rsidRDefault="00546096" w:rsidP="00886F56">
            <w:pPr>
              <w:pStyle w:val="TableHeading"/>
              <w:ind w:left="33"/>
            </w:pPr>
            <w:r w:rsidRPr="003321F5">
              <w:t>Part A complexity fee for assessment by a public environment report</w:t>
            </w:r>
          </w:p>
        </w:tc>
      </w:tr>
      <w:tr w:rsidR="00546096" w:rsidRPr="003321F5" w:rsidTr="00C878BC">
        <w:trPr>
          <w:tblHeader/>
        </w:trPr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46096" w:rsidRPr="003321F5" w:rsidRDefault="00546096" w:rsidP="00886F56">
            <w:pPr>
              <w:pStyle w:val="TableHeading"/>
            </w:pPr>
            <w:r w:rsidRPr="003321F5">
              <w:t>Item</w:t>
            </w:r>
          </w:p>
        </w:tc>
        <w:tc>
          <w:tcPr>
            <w:tcW w:w="159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46096" w:rsidRPr="003321F5" w:rsidRDefault="00546096" w:rsidP="00886F56">
            <w:pPr>
              <w:pStyle w:val="TableHeading"/>
            </w:pPr>
            <w:r w:rsidRPr="003321F5">
              <w:t>Stage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46096" w:rsidRPr="003321F5" w:rsidRDefault="00546096" w:rsidP="00F14894">
            <w:pPr>
              <w:pStyle w:val="TableHeading"/>
              <w:ind w:left="34" w:hanging="34"/>
              <w:jc w:val="right"/>
            </w:pPr>
            <w:r w:rsidRPr="003321F5">
              <w:t>Percentage payable</w:t>
            </w:r>
          </w:p>
        </w:tc>
      </w:tr>
      <w:tr w:rsidR="00546096" w:rsidRPr="003321F5" w:rsidTr="00C878BC"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6096" w:rsidRPr="003321F5" w:rsidRDefault="00546096" w:rsidP="00886F56">
            <w:pPr>
              <w:pStyle w:val="Tabletext"/>
            </w:pPr>
            <w:r w:rsidRPr="003321F5">
              <w:t>1</w:t>
            </w:r>
          </w:p>
        </w:tc>
        <w:tc>
          <w:tcPr>
            <w:tcW w:w="15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6096" w:rsidRPr="003321F5" w:rsidRDefault="00546096" w:rsidP="00886F56">
            <w:pPr>
              <w:pStyle w:val="Tabletext"/>
            </w:pPr>
            <w:r w:rsidRPr="003321F5">
              <w:t>stage 1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6096" w:rsidRPr="003321F5" w:rsidRDefault="00546096" w:rsidP="00F14894">
            <w:pPr>
              <w:pStyle w:val="Tabletext"/>
              <w:jc w:val="right"/>
            </w:pPr>
            <w:r w:rsidRPr="003321F5">
              <w:t>12%</w:t>
            </w:r>
          </w:p>
        </w:tc>
      </w:tr>
      <w:tr w:rsidR="00546096" w:rsidRPr="003321F5" w:rsidTr="00C878BC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6096" w:rsidRPr="003321F5" w:rsidRDefault="00546096" w:rsidP="00886F56">
            <w:pPr>
              <w:pStyle w:val="Tabletext"/>
            </w:pPr>
            <w:r w:rsidRPr="003321F5"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6096" w:rsidRPr="003321F5" w:rsidRDefault="00546096" w:rsidP="00886F56">
            <w:pPr>
              <w:pStyle w:val="Tabletext"/>
            </w:pPr>
            <w:r w:rsidRPr="003321F5">
              <w:t>stage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6096" w:rsidRPr="003321F5" w:rsidRDefault="00546096" w:rsidP="00F14894">
            <w:pPr>
              <w:pStyle w:val="Tabletext"/>
              <w:jc w:val="right"/>
            </w:pPr>
            <w:r w:rsidRPr="003321F5">
              <w:t>19%</w:t>
            </w:r>
          </w:p>
        </w:tc>
      </w:tr>
      <w:tr w:rsidR="00546096" w:rsidRPr="003321F5" w:rsidTr="00C878BC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6096" w:rsidRPr="003321F5" w:rsidRDefault="00546096" w:rsidP="00886F56">
            <w:pPr>
              <w:pStyle w:val="Tabletext"/>
            </w:pPr>
            <w:r w:rsidRPr="003321F5"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6096" w:rsidRPr="003321F5" w:rsidRDefault="00546096" w:rsidP="00886F56">
            <w:pPr>
              <w:pStyle w:val="Tabletext"/>
            </w:pPr>
            <w:r w:rsidRPr="003321F5">
              <w:t>stage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6096" w:rsidRPr="003321F5" w:rsidRDefault="00546096" w:rsidP="00F14894">
            <w:pPr>
              <w:pStyle w:val="Tabletext"/>
              <w:jc w:val="right"/>
            </w:pPr>
            <w:r w:rsidRPr="003321F5">
              <w:t>20%</w:t>
            </w:r>
          </w:p>
        </w:tc>
      </w:tr>
      <w:tr w:rsidR="00546096" w:rsidRPr="003321F5" w:rsidTr="00C878BC"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46096" w:rsidRPr="003321F5" w:rsidRDefault="00546096" w:rsidP="00886F56">
            <w:pPr>
              <w:pStyle w:val="Tabletext"/>
            </w:pPr>
            <w:r w:rsidRPr="003321F5"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46096" w:rsidRPr="003321F5" w:rsidRDefault="00546096" w:rsidP="00886F56">
            <w:pPr>
              <w:pStyle w:val="Tabletext"/>
            </w:pPr>
            <w:r w:rsidRPr="003321F5">
              <w:t>stage 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46096" w:rsidRPr="003321F5" w:rsidRDefault="00546096" w:rsidP="00F14894">
            <w:pPr>
              <w:pStyle w:val="Tabletext"/>
              <w:jc w:val="right"/>
            </w:pPr>
            <w:r w:rsidRPr="003321F5">
              <w:t>49%</w:t>
            </w:r>
          </w:p>
        </w:tc>
      </w:tr>
    </w:tbl>
    <w:p w:rsidR="00DB7E48" w:rsidRPr="003321F5" w:rsidRDefault="009E1E71" w:rsidP="00DB7E48">
      <w:pPr>
        <w:pStyle w:val="ItemHead"/>
      </w:pPr>
      <w:r w:rsidRPr="003321F5">
        <w:t>50</w:t>
      </w:r>
      <w:r w:rsidR="00DB7E48" w:rsidRPr="003321F5">
        <w:t xml:space="preserve">  Subregulation</w:t>
      </w:r>
      <w:r w:rsidR="00013B4D" w:rsidRPr="003321F5">
        <w:t>s</w:t>
      </w:r>
      <w:r w:rsidR="003321F5" w:rsidRPr="003321F5">
        <w:t> </w:t>
      </w:r>
      <w:r w:rsidR="00DB7E48" w:rsidRPr="003321F5">
        <w:t>5.16C</w:t>
      </w:r>
      <w:r w:rsidR="00013B4D" w:rsidRPr="003321F5">
        <w:t xml:space="preserve">(4) and </w:t>
      </w:r>
      <w:r w:rsidR="00DB7E48" w:rsidRPr="003321F5">
        <w:t>(5)</w:t>
      </w:r>
    </w:p>
    <w:p w:rsidR="00DB7E48" w:rsidRPr="003321F5" w:rsidRDefault="00DB7E48" w:rsidP="00DB7E48">
      <w:pPr>
        <w:pStyle w:val="Item"/>
      </w:pPr>
      <w:r w:rsidRPr="003321F5">
        <w:t xml:space="preserve">Repeal the </w:t>
      </w:r>
      <w:r w:rsidR="00013B4D" w:rsidRPr="003321F5">
        <w:t>subregulations</w:t>
      </w:r>
      <w:r w:rsidRPr="003321F5">
        <w:t>, substitute:</w:t>
      </w:r>
    </w:p>
    <w:p w:rsidR="00013B4D" w:rsidRPr="003321F5" w:rsidRDefault="00013B4D" w:rsidP="00013B4D">
      <w:pPr>
        <w:pStyle w:val="SubsectionHead"/>
      </w:pPr>
      <w:r w:rsidRPr="003321F5">
        <w:t>Part B complexity fee</w:t>
      </w:r>
    </w:p>
    <w:p w:rsidR="00013B4D" w:rsidRPr="003321F5" w:rsidRDefault="00013B4D" w:rsidP="00013B4D">
      <w:pPr>
        <w:pStyle w:val="subsection"/>
      </w:pPr>
      <w:r w:rsidRPr="003321F5">
        <w:tab/>
        <w:t>(4)</w:t>
      </w:r>
      <w:r w:rsidRPr="003321F5">
        <w:tab/>
        <w:t>The Part B complexity fee for the assessment of the action is payable in 2 stages as follows:</w:t>
      </w:r>
    </w:p>
    <w:p w:rsidR="00013B4D" w:rsidRPr="003321F5" w:rsidRDefault="00013B4D" w:rsidP="00013B4D">
      <w:pPr>
        <w:pStyle w:val="paragraph"/>
      </w:pPr>
      <w:r w:rsidRPr="003321F5">
        <w:tab/>
        <w:t>(a)</w:t>
      </w:r>
      <w:r w:rsidRPr="003321F5">
        <w:tab/>
        <w:t>50% before the beginning of stage 3; and</w:t>
      </w:r>
    </w:p>
    <w:p w:rsidR="00013B4D" w:rsidRPr="003321F5" w:rsidRDefault="00013B4D" w:rsidP="00013B4D">
      <w:pPr>
        <w:pStyle w:val="paragraph"/>
      </w:pPr>
      <w:r w:rsidRPr="003321F5">
        <w:tab/>
        <w:t>(b)</w:t>
      </w:r>
      <w:r w:rsidRPr="003321F5">
        <w:tab/>
        <w:t>50% before the beginning of stage 4.</w:t>
      </w:r>
    </w:p>
    <w:p w:rsidR="00874486" w:rsidRPr="003321F5" w:rsidRDefault="009E1E71" w:rsidP="00CA713F">
      <w:pPr>
        <w:pStyle w:val="ItemHead"/>
      </w:pPr>
      <w:r w:rsidRPr="003321F5">
        <w:t>51</w:t>
      </w:r>
      <w:r w:rsidR="00874486" w:rsidRPr="003321F5">
        <w:t xml:space="preserve">  </w:t>
      </w:r>
      <w:r w:rsidR="00B915EB" w:rsidRPr="003321F5">
        <w:t>R</w:t>
      </w:r>
      <w:r w:rsidR="00874486" w:rsidRPr="003321F5">
        <w:t>egulation</w:t>
      </w:r>
      <w:r w:rsidR="003321F5" w:rsidRPr="003321F5">
        <w:t> </w:t>
      </w:r>
      <w:r w:rsidR="00874486" w:rsidRPr="003321F5">
        <w:t>5.16D</w:t>
      </w:r>
    </w:p>
    <w:p w:rsidR="00874486" w:rsidRPr="003321F5" w:rsidRDefault="00B915EB" w:rsidP="00874486">
      <w:pPr>
        <w:pStyle w:val="Item"/>
      </w:pPr>
      <w:r w:rsidRPr="003321F5">
        <w:t xml:space="preserve">Repeal the </w:t>
      </w:r>
      <w:r w:rsidR="00874486" w:rsidRPr="003321F5">
        <w:t>regulation, substitute:</w:t>
      </w:r>
    </w:p>
    <w:p w:rsidR="00B915EB" w:rsidRPr="003321F5" w:rsidRDefault="00B915EB" w:rsidP="00B915EB">
      <w:pPr>
        <w:pStyle w:val="ActHead5"/>
      </w:pPr>
      <w:bookmarkStart w:id="23" w:name="_Toc460853518"/>
      <w:r w:rsidRPr="003321F5">
        <w:rPr>
          <w:rStyle w:val="CharSectno"/>
        </w:rPr>
        <w:t>5.16D</w:t>
      </w:r>
      <w:r w:rsidRPr="003321F5">
        <w:t xml:space="preserve">  Amount of </w:t>
      </w:r>
      <w:r w:rsidR="00597FFC" w:rsidRPr="003321F5">
        <w:t>project composition component</w:t>
      </w:r>
      <w:bookmarkEnd w:id="23"/>
    </w:p>
    <w:p w:rsidR="00874486" w:rsidRPr="003321F5" w:rsidRDefault="00B915EB" w:rsidP="00874486">
      <w:pPr>
        <w:pStyle w:val="subsection"/>
      </w:pPr>
      <w:r w:rsidRPr="003321F5">
        <w:tab/>
      </w:r>
      <w:r w:rsidR="00874486" w:rsidRPr="003321F5">
        <w:tab/>
        <w:t xml:space="preserve">The amount of the </w:t>
      </w:r>
      <w:r w:rsidR="00597FFC" w:rsidRPr="003321F5">
        <w:t>project composition component</w:t>
      </w:r>
      <w:r w:rsidR="00874486" w:rsidRPr="003321F5">
        <w:t xml:space="preserve"> of the complexity fee is:</w:t>
      </w:r>
    </w:p>
    <w:p w:rsidR="00874486" w:rsidRPr="003321F5" w:rsidRDefault="00874486" w:rsidP="00874486">
      <w:pPr>
        <w:pStyle w:val="paragraph"/>
      </w:pPr>
      <w:r w:rsidRPr="003321F5">
        <w:tab/>
        <w:t>(a)</w:t>
      </w:r>
      <w:r w:rsidRPr="003321F5">
        <w:tab/>
        <w:t xml:space="preserve">if </w:t>
      </w:r>
      <w:r w:rsidR="00586B62" w:rsidRPr="003321F5">
        <w:t>the</w:t>
      </w:r>
      <w:r w:rsidR="00B915EB" w:rsidRPr="003321F5">
        <w:t>re</w:t>
      </w:r>
      <w:r w:rsidR="00586B62" w:rsidRPr="003321F5">
        <w:t xml:space="preserve"> is one</w:t>
      </w:r>
      <w:r w:rsidR="00B915EB" w:rsidRPr="003321F5">
        <w:t xml:space="preserve"> project component</w:t>
      </w:r>
      <w:r w:rsidRPr="003321F5">
        <w:t>—nil; and</w:t>
      </w:r>
    </w:p>
    <w:p w:rsidR="00874486" w:rsidRPr="003321F5" w:rsidRDefault="00874486" w:rsidP="00B915EB">
      <w:pPr>
        <w:pStyle w:val="paragraph"/>
      </w:pPr>
      <w:r w:rsidRPr="003321F5">
        <w:tab/>
        <w:t>(b)</w:t>
      </w:r>
      <w:r w:rsidRPr="003321F5">
        <w:tab/>
        <w:t xml:space="preserve">if </w:t>
      </w:r>
      <w:r w:rsidR="00B915EB" w:rsidRPr="003321F5">
        <w:t>there are 2</w:t>
      </w:r>
      <w:r w:rsidR="00586B62" w:rsidRPr="003321F5">
        <w:t xml:space="preserve"> or more</w:t>
      </w:r>
      <w:r w:rsidR="00B915EB" w:rsidRPr="003321F5">
        <w:t xml:space="preserve"> project components</w:t>
      </w:r>
      <w:r w:rsidRPr="003321F5">
        <w:t>—the amount worked out using the following formula:</w:t>
      </w:r>
    </w:p>
    <w:p w:rsidR="00874486" w:rsidRPr="003321F5" w:rsidRDefault="00874486" w:rsidP="00874486">
      <w:pPr>
        <w:pStyle w:val="paragraph"/>
        <w:spacing w:before="120"/>
      </w:pPr>
      <w:r w:rsidRPr="003321F5">
        <w:tab/>
      </w:r>
      <w:r w:rsidRPr="003321F5">
        <w:tab/>
      </w:r>
      <w:bookmarkStart w:id="24" w:name="BKCheck15B_7"/>
      <w:bookmarkEnd w:id="24"/>
      <w:r w:rsidR="00B915EB" w:rsidRPr="003321F5">
        <w:rPr>
          <w:position w:val="-34"/>
        </w:rPr>
        <w:object w:dxaOrig="3340" w:dyaOrig="780">
          <v:shape id="_x0000_i1028" type="#_x0000_t75" style="width:165.75pt;height:39pt" o:ole="">
            <v:imagedata r:id="rId27" o:title=""/>
          </v:shape>
          <o:OLEObject Type="Embed" ProgID="Equation.DSMT4" ShapeID="_x0000_i1028" DrawAspect="Content" ObjectID="_1536141176" r:id="rId28"/>
        </w:object>
      </w:r>
    </w:p>
    <w:p w:rsidR="00B915EB" w:rsidRPr="003321F5" w:rsidRDefault="00B915EB" w:rsidP="00B915EB">
      <w:pPr>
        <w:pStyle w:val="notetext"/>
      </w:pPr>
      <w:r w:rsidRPr="003321F5">
        <w:t>Note:</w:t>
      </w:r>
      <w:r w:rsidRPr="003321F5">
        <w:tab/>
        <w:t>Regulation</w:t>
      </w:r>
      <w:r w:rsidR="003321F5" w:rsidRPr="003321F5">
        <w:t> </w:t>
      </w:r>
      <w:r w:rsidRPr="003321F5">
        <w:t>5.12K sets out the amounts of the other components of a complexity fee.</w:t>
      </w:r>
    </w:p>
    <w:p w:rsidR="00554FFC" w:rsidRPr="003321F5" w:rsidRDefault="009E1E71" w:rsidP="00554FFC">
      <w:pPr>
        <w:pStyle w:val="ItemHead"/>
      </w:pPr>
      <w:r w:rsidRPr="003321F5">
        <w:t>52</w:t>
      </w:r>
      <w:r w:rsidR="00554FFC" w:rsidRPr="003321F5">
        <w:t xml:space="preserve">  Subregulation</w:t>
      </w:r>
      <w:r w:rsidR="003321F5" w:rsidRPr="003321F5">
        <w:t> </w:t>
      </w:r>
      <w:r w:rsidR="00554FFC" w:rsidRPr="003321F5">
        <w:t xml:space="preserve">5.17A(1) (definition of </w:t>
      </w:r>
      <w:r w:rsidR="00554FFC" w:rsidRPr="003321F5">
        <w:rPr>
          <w:i/>
        </w:rPr>
        <w:t>stage 1</w:t>
      </w:r>
      <w:r w:rsidR="00554FFC" w:rsidRPr="003321F5">
        <w:t>)</w:t>
      </w:r>
    </w:p>
    <w:p w:rsidR="00554FFC" w:rsidRPr="003321F5" w:rsidRDefault="00554FFC" w:rsidP="00554FFC">
      <w:pPr>
        <w:pStyle w:val="Item"/>
      </w:pPr>
      <w:r w:rsidRPr="003321F5">
        <w:t>Repeal the definition, substitute:</w:t>
      </w:r>
    </w:p>
    <w:p w:rsidR="00554FFC" w:rsidRPr="003321F5" w:rsidRDefault="00554FFC" w:rsidP="00554FFC">
      <w:pPr>
        <w:pStyle w:val="Definition"/>
      </w:pPr>
      <w:r w:rsidRPr="003321F5">
        <w:rPr>
          <w:b/>
          <w:i/>
        </w:rPr>
        <w:t>stage 1</w:t>
      </w:r>
      <w:r w:rsidRPr="003321F5">
        <w:t>:</w:t>
      </w:r>
    </w:p>
    <w:p w:rsidR="00554FFC" w:rsidRPr="003321F5" w:rsidRDefault="00554FFC" w:rsidP="00554FFC">
      <w:pPr>
        <w:pStyle w:val="paragraph"/>
      </w:pPr>
      <w:r w:rsidRPr="003321F5">
        <w:tab/>
        <w:t>(a)</w:t>
      </w:r>
      <w:r w:rsidRPr="003321F5">
        <w:tab/>
        <w:t>if the Minister decides under paragraph</w:t>
      </w:r>
      <w:r w:rsidR="003321F5" w:rsidRPr="003321F5">
        <w:t> </w:t>
      </w:r>
      <w:r w:rsidRPr="003321F5">
        <w:t>101A(2)(b) of the Act that standard guidelines are not appropriate for the preparation of the draft statement—stage 1 begins when the tailored guidelines start to be prepared; and</w:t>
      </w:r>
    </w:p>
    <w:p w:rsidR="000540C1" w:rsidRPr="003321F5" w:rsidRDefault="000540C1" w:rsidP="00554FFC">
      <w:pPr>
        <w:pStyle w:val="paragraph"/>
      </w:pPr>
      <w:r w:rsidRPr="003321F5">
        <w:tab/>
        <w:t>(b)</w:t>
      </w:r>
      <w:r w:rsidRPr="003321F5">
        <w:tab/>
        <w:t>otherwise—stage 1 does not occur.</w:t>
      </w:r>
    </w:p>
    <w:p w:rsidR="000540C1" w:rsidRPr="003321F5" w:rsidRDefault="009E1E71" w:rsidP="000540C1">
      <w:pPr>
        <w:pStyle w:val="ItemHead"/>
      </w:pPr>
      <w:r w:rsidRPr="003321F5">
        <w:t>53</w:t>
      </w:r>
      <w:r w:rsidR="000540C1" w:rsidRPr="003321F5">
        <w:t xml:space="preserve">  Subsection</w:t>
      </w:r>
      <w:r w:rsidR="003321F5" w:rsidRPr="003321F5">
        <w:t> </w:t>
      </w:r>
      <w:r w:rsidR="000540C1" w:rsidRPr="003321F5">
        <w:t>5.17A(2)</w:t>
      </w:r>
    </w:p>
    <w:p w:rsidR="000540C1" w:rsidRPr="003321F5" w:rsidRDefault="000540C1" w:rsidP="000540C1">
      <w:pPr>
        <w:pStyle w:val="Item"/>
      </w:pPr>
      <w:r w:rsidRPr="003321F5">
        <w:t xml:space="preserve">Omit </w:t>
      </w:r>
      <w:r w:rsidR="00A919F9" w:rsidRPr="003321F5">
        <w:t>“</w:t>
      </w:r>
      <w:r w:rsidRPr="003321F5">
        <w:t>(a)</w:t>
      </w:r>
      <w:r w:rsidR="00A919F9" w:rsidRPr="003321F5">
        <w:t>”</w:t>
      </w:r>
      <w:r w:rsidRPr="003321F5">
        <w:t xml:space="preserve">, substitute </w:t>
      </w:r>
      <w:r w:rsidR="00A919F9" w:rsidRPr="003321F5">
        <w:t>“</w:t>
      </w:r>
      <w:r w:rsidRPr="003321F5">
        <w:t>(b)</w:t>
      </w:r>
      <w:r w:rsidR="00A919F9" w:rsidRPr="003321F5">
        <w:t>”</w:t>
      </w:r>
      <w:r w:rsidRPr="003321F5">
        <w:t>.</w:t>
      </w:r>
    </w:p>
    <w:p w:rsidR="00CA713F" w:rsidRPr="003321F5" w:rsidRDefault="009E1E71" w:rsidP="00CA713F">
      <w:pPr>
        <w:pStyle w:val="ItemHead"/>
      </w:pPr>
      <w:r w:rsidRPr="003321F5">
        <w:t>54</w:t>
      </w:r>
      <w:r w:rsidR="00CA713F" w:rsidRPr="003321F5">
        <w:t xml:space="preserve">  Subregulation</w:t>
      </w:r>
      <w:r w:rsidR="003321F5" w:rsidRPr="003321F5">
        <w:t> </w:t>
      </w:r>
      <w:r w:rsidR="00CA713F" w:rsidRPr="003321F5">
        <w:t>5.17B(2) (table)</w:t>
      </w:r>
    </w:p>
    <w:p w:rsidR="00CA713F" w:rsidRPr="003321F5" w:rsidRDefault="00CA713F" w:rsidP="00CA713F">
      <w:pPr>
        <w:pStyle w:val="Item"/>
      </w:pPr>
      <w:r w:rsidRPr="003321F5">
        <w:t>Repeal the table, substitute:</w:t>
      </w:r>
    </w:p>
    <w:p w:rsidR="00CA713F" w:rsidRPr="003321F5" w:rsidRDefault="00CA713F" w:rsidP="00CA713F">
      <w:pPr>
        <w:pStyle w:val="Tabletext"/>
      </w:pPr>
    </w:p>
    <w:tbl>
      <w:tblPr>
        <w:tblW w:w="4002" w:type="dxa"/>
        <w:tblInd w:w="108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92"/>
        <w:gridCol w:w="1701"/>
      </w:tblGrid>
      <w:tr w:rsidR="00CA713F" w:rsidRPr="003321F5" w:rsidTr="00C878BC">
        <w:trPr>
          <w:tblHeader/>
        </w:trPr>
        <w:tc>
          <w:tcPr>
            <w:tcW w:w="4002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CA713F" w:rsidRPr="003321F5" w:rsidRDefault="00CA713F">
            <w:pPr>
              <w:pStyle w:val="TableHeading"/>
              <w:ind w:left="33"/>
            </w:pPr>
            <w:r w:rsidRPr="003321F5">
              <w:t>Base fee for assessment by an environmental impact statement</w:t>
            </w:r>
          </w:p>
        </w:tc>
      </w:tr>
      <w:tr w:rsidR="00CA713F" w:rsidRPr="003321F5" w:rsidTr="00C878BC">
        <w:trPr>
          <w:tblHeader/>
        </w:trPr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A713F" w:rsidRPr="003321F5" w:rsidRDefault="00CA713F">
            <w:pPr>
              <w:pStyle w:val="TableHeading"/>
            </w:pPr>
            <w:r w:rsidRPr="003321F5">
              <w:t>Item</w:t>
            </w:r>
          </w:p>
        </w:tc>
        <w:tc>
          <w:tcPr>
            <w:tcW w:w="159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A713F" w:rsidRPr="003321F5" w:rsidRDefault="00CA713F">
            <w:pPr>
              <w:pStyle w:val="TableHeading"/>
            </w:pPr>
            <w:r w:rsidRPr="003321F5">
              <w:t>Stage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A713F" w:rsidRPr="003321F5" w:rsidRDefault="00CA713F">
            <w:pPr>
              <w:pStyle w:val="TableHeading"/>
              <w:ind w:left="420" w:hanging="420"/>
              <w:jc w:val="right"/>
            </w:pPr>
            <w:r w:rsidRPr="003321F5">
              <w:t>Amount payable</w:t>
            </w:r>
          </w:p>
        </w:tc>
      </w:tr>
      <w:tr w:rsidR="00CA713F" w:rsidRPr="003321F5" w:rsidTr="00C878BC"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713F" w:rsidRPr="003321F5" w:rsidRDefault="00CA713F">
            <w:pPr>
              <w:pStyle w:val="Tabletext"/>
            </w:pPr>
            <w:r w:rsidRPr="003321F5">
              <w:t>1</w:t>
            </w:r>
          </w:p>
        </w:tc>
        <w:tc>
          <w:tcPr>
            <w:tcW w:w="15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713F" w:rsidRPr="003321F5" w:rsidRDefault="00CA713F">
            <w:pPr>
              <w:pStyle w:val="Tabletext"/>
            </w:pPr>
            <w:r w:rsidRPr="003321F5">
              <w:t>stage 1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713F" w:rsidRPr="003321F5" w:rsidRDefault="00CA713F" w:rsidP="005D29AB">
            <w:pPr>
              <w:pStyle w:val="Tabletext"/>
              <w:jc w:val="right"/>
            </w:pPr>
            <w:r w:rsidRPr="003321F5">
              <w:t>$4</w:t>
            </w:r>
            <w:r w:rsidR="00CE47F1" w:rsidRPr="003321F5">
              <w:t>,</w:t>
            </w:r>
            <w:r w:rsidR="005D29AB" w:rsidRPr="003321F5">
              <w:t>715</w:t>
            </w:r>
            <w:r w:rsidRPr="003321F5">
              <w:t>.00</w:t>
            </w:r>
          </w:p>
        </w:tc>
      </w:tr>
      <w:tr w:rsidR="00CA713F" w:rsidRPr="003321F5" w:rsidTr="00C878BC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713F" w:rsidRPr="003321F5" w:rsidRDefault="00CA713F">
            <w:pPr>
              <w:pStyle w:val="Tabletext"/>
            </w:pPr>
            <w:r w:rsidRPr="003321F5"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713F" w:rsidRPr="003321F5" w:rsidRDefault="00CA713F">
            <w:pPr>
              <w:pStyle w:val="Tabletext"/>
            </w:pPr>
            <w:r w:rsidRPr="003321F5">
              <w:t>stage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713F" w:rsidRPr="003321F5" w:rsidRDefault="005D29AB">
            <w:pPr>
              <w:pStyle w:val="Tabletext"/>
              <w:jc w:val="right"/>
            </w:pPr>
            <w:r w:rsidRPr="003321F5">
              <w:t>$5</w:t>
            </w:r>
            <w:r w:rsidR="00CE47F1" w:rsidRPr="003321F5">
              <w:t>,</w:t>
            </w:r>
            <w:r w:rsidRPr="003321F5">
              <w:t>394</w:t>
            </w:r>
            <w:r w:rsidR="00CA713F" w:rsidRPr="003321F5">
              <w:t>.00</w:t>
            </w:r>
          </w:p>
        </w:tc>
      </w:tr>
      <w:tr w:rsidR="00CA713F" w:rsidRPr="003321F5" w:rsidTr="00C878BC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713F" w:rsidRPr="003321F5" w:rsidRDefault="00CA713F">
            <w:pPr>
              <w:pStyle w:val="Tabletext"/>
            </w:pPr>
            <w:r w:rsidRPr="003321F5"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713F" w:rsidRPr="003321F5" w:rsidRDefault="00CA713F">
            <w:pPr>
              <w:pStyle w:val="Tabletext"/>
            </w:pPr>
            <w:r w:rsidRPr="003321F5">
              <w:t>stage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713F" w:rsidRPr="003321F5" w:rsidRDefault="005D29AB">
            <w:pPr>
              <w:pStyle w:val="Tabletext"/>
              <w:jc w:val="right"/>
            </w:pPr>
            <w:r w:rsidRPr="003321F5">
              <w:t>$7</w:t>
            </w:r>
            <w:r w:rsidR="00CE47F1" w:rsidRPr="003321F5">
              <w:t>,</w:t>
            </w:r>
            <w:r w:rsidRPr="003321F5">
              <w:t>119</w:t>
            </w:r>
            <w:r w:rsidR="00CA713F" w:rsidRPr="003321F5">
              <w:t>.00</w:t>
            </w:r>
          </w:p>
        </w:tc>
      </w:tr>
      <w:tr w:rsidR="00CA713F" w:rsidRPr="003321F5" w:rsidTr="00C878BC"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A713F" w:rsidRPr="003321F5" w:rsidRDefault="00CA713F">
            <w:pPr>
              <w:pStyle w:val="Tabletext"/>
            </w:pPr>
            <w:r w:rsidRPr="003321F5"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A713F" w:rsidRPr="003321F5" w:rsidRDefault="00CA713F">
            <w:pPr>
              <w:pStyle w:val="Tabletext"/>
            </w:pPr>
            <w:r w:rsidRPr="003321F5">
              <w:t>stage 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A713F" w:rsidRPr="003321F5" w:rsidRDefault="00B04B7E">
            <w:pPr>
              <w:pStyle w:val="Tabletext"/>
              <w:jc w:val="right"/>
            </w:pPr>
            <w:r w:rsidRPr="003321F5">
              <w:t>$8</w:t>
            </w:r>
            <w:r w:rsidR="00CE47F1" w:rsidRPr="003321F5">
              <w:t>,</w:t>
            </w:r>
            <w:r w:rsidRPr="003321F5">
              <w:t>355</w:t>
            </w:r>
            <w:r w:rsidR="00CA713F" w:rsidRPr="003321F5">
              <w:t>.00</w:t>
            </w:r>
          </w:p>
        </w:tc>
      </w:tr>
    </w:tbl>
    <w:p w:rsidR="00F956FE" w:rsidRPr="003321F5" w:rsidRDefault="009E1E71" w:rsidP="00F956FE">
      <w:pPr>
        <w:pStyle w:val="ItemHead"/>
      </w:pPr>
      <w:r w:rsidRPr="003321F5">
        <w:t>55</w:t>
      </w:r>
      <w:r w:rsidR="00F956FE" w:rsidRPr="003321F5">
        <w:t xml:space="preserve">  Paragraph 5.17C(1)(a)</w:t>
      </w:r>
    </w:p>
    <w:p w:rsidR="00F956FE" w:rsidRPr="003321F5" w:rsidRDefault="00F956FE" w:rsidP="00F956FE">
      <w:pPr>
        <w:pStyle w:val="Item"/>
      </w:pPr>
      <w:r w:rsidRPr="003321F5">
        <w:t>Repeal the paragraph, substitute:</w:t>
      </w:r>
    </w:p>
    <w:p w:rsidR="00F956FE" w:rsidRPr="003321F5" w:rsidRDefault="00F956FE" w:rsidP="00F956FE">
      <w:pPr>
        <w:pStyle w:val="paragraph"/>
      </w:pPr>
      <w:r w:rsidRPr="003321F5">
        <w:tab/>
        <w:t>(a)</w:t>
      </w:r>
      <w:r w:rsidRPr="003321F5">
        <w:tab/>
        <w:t xml:space="preserve">the </w:t>
      </w:r>
      <w:r w:rsidRPr="003321F5">
        <w:rPr>
          <w:b/>
          <w:i/>
        </w:rPr>
        <w:t>Part A complexity fee</w:t>
      </w:r>
      <w:r w:rsidRPr="003321F5">
        <w:t>, which is the sum of the fees for:</w:t>
      </w:r>
    </w:p>
    <w:p w:rsidR="00F956FE" w:rsidRPr="003321F5" w:rsidRDefault="00F956FE" w:rsidP="00F956FE">
      <w:pPr>
        <w:pStyle w:val="paragraphsub"/>
      </w:pPr>
      <w:r w:rsidRPr="003321F5">
        <w:tab/>
        <w:t>(i)</w:t>
      </w:r>
      <w:r w:rsidRPr="003321F5">
        <w:tab/>
        <w:t>each controlling provision component; and</w:t>
      </w:r>
    </w:p>
    <w:p w:rsidR="00F956FE" w:rsidRPr="003321F5" w:rsidRDefault="00F956FE" w:rsidP="00F956FE">
      <w:pPr>
        <w:pStyle w:val="paragraphsub"/>
      </w:pPr>
      <w:r w:rsidRPr="003321F5">
        <w:tab/>
        <w:t>(ii)</w:t>
      </w:r>
      <w:r w:rsidRPr="003321F5">
        <w:tab/>
        <w:t>if applicable—the exceptional case component; and</w:t>
      </w:r>
    </w:p>
    <w:p w:rsidR="00F956FE" w:rsidRPr="003321F5" w:rsidRDefault="00F956FE" w:rsidP="00F956FE">
      <w:pPr>
        <w:pStyle w:val="paragraphsub"/>
      </w:pPr>
      <w:r w:rsidRPr="003321F5">
        <w:tab/>
        <w:t>(iii)</w:t>
      </w:r>
      <w:r w:rsidRPr="003321F5">
        <w:tab/>
        <w:t>the legislative impact component; and</w:t>
      </w:r>
    </w:p>
    <w:p w:rsidR="00F956FE" w:rsidRPr="003321F5" w:rsidRDefault="00F956FE" w:rsidP="00F956FE">
      <w:pPr>
        <w:pStyle w:val="paragraphsub"/>
      </w:pPr>
      <w:r w:rsidRPr="003321F5">
        <w:tab/>
        <w:t>(iv)</w:t>
      </w:r>
      <w:r w:rsidRPr="003321F5">
        <w:tab/>
        <w:t xml:space="preserve">the </w:t>
      </w:r>
      <w:r w:rsidR="00597FFC" w:rsidRPr="003321F5">
        <w:t>project composition component</w:t>
      </w:r>
      <w:r w:rsidRPr="003321F5">
        <w:t>; and</w:t>
      </w:r>
    </w:p>
    <w:p w:rsidR="00731683" w:rsidRPr="003321F5" w:rsidRDefault="009E1E71" w:rsidP="00016DED">
      <w:pPr>
        <w:pStyle w:val="ItemHead"/>
      </w:pPr>
      <w:r w:rsidRPr="003321F5">
        <w:t>56</w:t>
      </w:r>
      <w:r w:rsidR="00731683" w:rsidRPr="003321F5">
        <w:t xml:space="preserve">  Subregulation</w:t>
      </w:r>
      <w:r w:rsidR="003321F5" w:rsidRPr="003321F5">
        <w:t> </w:t>
      </w:r>
      <w:r w:rsidR="00731683" w:rsidRPr="003321F5">
        <w:t>5.17C(3) (table)</w:t>
      </w:r>
    </w:p>
    <w:p w:rsidR="00731683" w:rsidRPr="003321F5" w:rsidRDefault="00731683" w:rsidP="00731683">
      <w:pPr>
        <w:pStyle w:val="Item"/>
      </w:pPr>
      <w:r w:rsidRPr="003321F5">
        <w:t>Repeal the table, substitute:</w:t>
      </w:r>
    </w:p>
    <w:p w:rsidR="00731683" w:rsidRPr="003321F5" w:rsidRDefault="00731683" w:rsidP="00731683">
      <w:pPr>
        <w:pStyle w:val="Tabletext"/>
      </w:pPr>
    </w:p>
    <w:tbl>
      <w:tblPr>
        <w:tblW w:w="4002" w:type="dxa"/>
        <w:tblInd w:w="108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92"/>
        <w:gridCol w:w="1701"/>
      </w:tblGrid>
      <w:tr w:rsidR="00731683" w:rsidRPr="003321F5" w:rsidTr="00C878BC">
        <w:trPr>
          <w:tblHeader/>
        </w:trPr>
        <w:tc>
          <w:tcPr>
            <w:tcW w:w="4002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731683" w:rsidRPr="003321F5" w:rsidRDefault="00AC2262" w:rsidP="00886F56">
            <w:pPr>
              <w:pStyle w:val="TableHeading"/>
              <w:ind w:left="33"/>
            </w:pPr>
            <w:r w:rsidRPr="003321F5">
              <w:t>Part A</w:t>
            </w:r>
            <w:r w:rsidR="00731683" w:rsidRPr="003321F5">
              <w:t xml:space="preserve"> complexity fee for assessment by an environmental impact statement</w:t>
            </w:r>
          </w:p>
        </w:tc>
      </w:tr>
      <w:tr w:rsidR="00731683" w:rsidRPr="003321F5" w:rsidTr="00C878BC">
        <w:trPr>
          <w:tblHeader/>
        </w:trPr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31683" w:rsidRPr="003321F5" w:rsidRDefault="00731683" w:rsidP="00886F56">
            <w:pPr>
              <w:pStyle w:val="TableHeading"/>
            </w:pPr>
            <w:r w:rsidRPr="003321F5">
              <w:t>Item</w:t>
            </w:r>
          </w:p>
        </w:tc>
        <w:tc>
          <w:tcPr>
            <w:tcW w:w="159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31683" w:rsidRPr="003321F5" w:rsidRDefault="00731683" w:rsidP="00886F56">
            <w:pPr>
              <w:pStyle w:val="TableHeading"/>
            </w:pPr>
            <w:r w:rsidRPr="003321F5">
              <w:t>Stage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31683" w:rsidRPr="003321F5" w:rsidRDefault="00731683" w:rsidP="00F14894">
            <w:pPr>
              <w:pStyle w:val="TableHeading"/>
              <w:ind w:left="34"/>
              <w:jc w:val="right"/>
            </w:pPr>
            <w:r w:rsidRPr="003321F5">
              <w:t>Percentage payable</w:t>
            </w:r>
          </w:p>
        </w:tc>
      </w:tr>
      <w:tr w:rsidR="00731683" w:rsidRPr="003321F5" w:rsidTr="00C878BC"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1683" w:rsidRPr="003321F5" w:rsidRDefault="00731683" w:rsidP="00886F56">
            <w:pPr>
              <w:pStyle w:val="Tabletext"/>
            </w:pPr>
            <w:r w:rsidRPr="003321F5">
              <w:t>1</w:t>
            </w:r>
          </w:p>
        </w:tc>
        <w:tc>
          <w:tcPr>
            <w:tcW w:w="15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1683" w:rsidRPr="003321F5" w:rsidRDefault="00731683" w:rsidP="00886F56">
            <w:pPr>
              <w:pStyle w:val="Tabletext"/>
            </w:pPr>
            <w:r w:rsidRPr="003321F5">
              <w:t>stage 1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1683" w:rsidRPr="003321F5" w:rsidRDefault="00AC2262" w:rsidP="00F14894">
            <w:pPr>
              <w:pStyle w:val="Tabletext"/>
              <w:jc w:val="right"/>
            </w:pPr>
            <w:r w:rsidRPr="003321F5">
              <w:t>12</w:t>
            </w:r>
            <w:r w:rsidR="00731683" w:rsidRPr="003321F5">
              <w:t>%</w:t>
            </w:r>
          </w:p>
        </w:tc>
      </w:tr>
      <w:tr w:rsidR="00731683" w:rsidRPr="003321F5" w:rsidTr="00C878BC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1683" w:rsidRPr="003321F5" w:rsidRDefault="00731683" w:rsidP="00886F56">
            <w:pPr>
              <w:pStyle w:val="Tabletext"/>
            </w:pPr>
            <w:r w:rsidRPr="003321F5"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1683" w:rsidRPr="003321F5" w:rsidRDefault="00731683" w:rsidP="00886F56">
            <w:pPr>
              <w:pStyle w:val="Tabletext"/>
            </w:pPr>
            <w:r w:rsidRPr="003321F5">
              <w:t>stage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1683" w:rsidRPr="003321F5" w:rsidRDefault="00AC2262" w:rsidP="00F14894">
            <w:pPr>
              <w:pStyle w:val="Tabletext"/>
              <w:jc w:val="right"/>
            </w:pPr>
            <w:r w:rsidRPr="003321F5">
              <w:t>19</w:t>
            </w:r>
            <w:r w:rsidR="00731683" w:rsidRPr="003321F5">
              <w:t>%</w:t>
            </w:r>
          </w:p>
        </w:tc>
      </w:tr>
      <w:tr w:rsidR="00731683" w:rsidRPr="003321F5" w:rsidTr="00C878BC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1683" w:rsidRPr="003321F5" w:rsidRDefault="00731683" w:rsidP="00886F56">
            <w:pPr>
              <w:pStyle w:val="Tabletext"/>
            </w:pPr>
            <w:r w:rsidRPr="003321F5"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1683" w:rsidRPr="003321F5" w:rsidRDefault="00731683" w:rsidP="00886F56">
            <w:pPr>
              <w:pStyle w:val="Tabletext"/>
            </w:pPr>
            <w:r w:rsidRPr="003321F5">
              <w:t>stage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1683" w:rsidRPr="003321F5" w:rsidRDefault="00AC2262" w:rsidP="00F14894">
            <w:pPr>
              <w:pStyle w:val="Tabletext"/>
              <w:jc w:val="right"/>
            </w:pPr>
            <w:r w:rsidRPr="003321F5">
              <w:t>20</w:t>
            </w:r>
            <w:r w:rsidR="00731683" w:rsidRPr="003321F5">
              <w:t>%</w:t>
            </w:r>
          </w:p>
        </w:tc>
      </w:tr>
      <w:tr w:rsidR="00731683" w:rsidRPr="003321F5" w:rsidTr="00C878BC"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31683" w:rsidRPr="003321F5" w:rsidRDefault="00731683" w:rsidP="00886F56">
            <w:pPr>
              <w:pStyle w:val="Tabletext"/>
            </w:pPr>
            <w:r w:rsidRPr="003321F5"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31683" w:rsidRPr="003321F5" w:rsidRDefault="00731683" w:rsidP="00886F56">
            <w:pPr>
              <w:pStyle w:val="Tabletext"/>
            </w:pPr>
            <w:r w:rsidRPr="003321F5">
              <w:t>stage 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31683" w:rsidRPr="003321F5" w:rsidRDefault="00AC2262" w:rsidP="00F14894">
            <w:pPr>
              <w:pStyle w:val="Tabletext"/>
              <w:jc w:val="right"/>
            </w:pPr>
            <w:r w:rsidRPr="003321F5">
              <w:t>49</w:t>
            </w:r>
            <w:r w:rsidR="00731683" w:rsidRPr="003321F5">
              <w:t>%</w:t>
            </w:r>
          </w:p>
        </w:tc>
      </w:tr>
    </w:tbl>
    <w:p w:rsidR="00016DED" w:rsidRPr="003321F5" w:rsidRDefault="009E1E71" w:rsidP="00016DED">
      <w:pPr>
        <w:pStyle w:val="ItemHead"/>
      </w:pPr>
      <w:r w:rsidRPr="003321F5">
        <w:t>57</w:t>
      </w:r>
      <w:r w:rsidR="00016DED" w:rsidRPr="003321F5">
        <w:t xml:space="preserve">  Subregulation</w:t>
      </w:r>
      <w:r w:rsidR="00C0564C" w:rsidRPr="003321F5">
        <w:t>s</w:t>
      </w:r>
      <w:r w:rsidR="003321F5" w:rsidRPr="003321F5">
        <w:t> </w:t>
      </w:r>
      <w:r w:rsidR="00016DED" w:rsidRPr="003321F5">
        <w:t>5.17C</w:t>
      </w:r>
      <w:r w:rsidR="00C0564C" w:rsidRPr="003321F5">
        <w:t xml:space="preserve">(4) and </w:t>
      </w:r>
      <w:r w:rsidR="00016DED" w:rsidRPr="003321F5">
        <w:t>(5)</w:t>
      </w:r>
    </w:p>
    <w:p w:rsidR="00016DED" w:rsidRPr="003321F5" w:rsidRDefault="00016DED" w:rsidP="00016DED">
      <w:pPr>
        <w:pStyle w:val="Item"/>
      </w:pPr>
      <w:r w:rsidRPr="003321F5">
        <w:t xml:space="preserve">Repeal the </w:t>
      </w:r>
      <w:r w:rsidR="00C0564C" w:rsidRPr="003321F5">
        <w:t>subregulations</w:t>
      </w:r>
      <w:r w:rsidRPr="003321F5">
        <w:t>, substitute:</w:t>
      </w:r>
    </w:p>
    <w:p w:rsidR="00C0564C" w:rsidRPr="003321F5" w:rsidRDefault="00C0564C" w:rsidP="00C0564C">
      <w:pPr>
        <w:pStyle w:val="SubsectionHead"/>
      </w:pPr>
      <w:r w:rsidRPr="003321F5">
        <w:t>Part B complexity fee</w:t>
      </w:r>
    </w:p>
    <w:p w:rsidR="00C0564C" w:rsidRPr="003321F5" w:rsidRDefault="00C0564C" w:rsidP="00C0564C">
      <w:pPr>
        <w:pStyle w:val="subsection"/>
      </w:pPr>
      <w:r w:rsidRPr="003321F5">
        <w:tab/>
        <w:t>(4)</w:t>
      </w:r>
      <w:r w:rsidRPr="003321F5">
        <w:tab/>
        <w:t>The Part B complexity fee for the assessment of the action is payable in 2 stages, as follows:</w:t>
      </w:r>
    </w:p>
    <w:p w:rsidR="00C0564C" w:rsidRPr="003321F5" w:rsidRDefault="00C0564C" w:rsidP="00C0564C">
      <w:pPr>
        <w:pStyle w:val="paragraph"/>
      </w:pPr>
      <w:r w:rsidRPr="003321F5">
        <w:tab/>
        <w:t>(a)</w:t>
      </w:r>
      <w:r w:rsidRPr="003321F5">
        <w:tab/>
        <w:t>50% at the beginning of stage 3; and</w:t>
      </w:r>
    </w:p>
    <w:p w:rsidR="00C0564C" w:rsidRPr="003321F5" w:rsidRDefault="00C0564C" w:rsidP="00C0564C">
      <w:pPr>
        <w:pStyle w:val="paragraph"/>
      </w:pPr>
      <w:r w:rsidRPr="003321F5">
        <w:tab/>
        <w:t>(b)</w:t>
      </w:r>
      <w:r w:rsidRPr="003321F5">
        <w:tab/>
        <w:t>50% at the beginning of stage 4.</w:t>
      </w:r>
    </w:p>
    <w:p w:rsidR="00587600" w:rsidRPr="003321F5" w:rsidRDefault="009E1E71" w:rsidP="0094719E">
      <w:pPr>
        <w:pStyle w:val="ItemHead"/>
      </w:pPr>
      <w:r w:rsidRPr="003321F5">
        <w:t>58</w:t>
      </w:r>
      <w:r w:rsidR="00587600" w:rsidRPr="003321F5">
        <w:t xml:space="preserve">  </w:t>
      </w:r>
      <w:r w:rsidR="00B915EB" w:rsidRPr="003321F5">
        <w:t>Re</w:t>
      </w:r>
      <w:r w:rsidR="00587600" w:rsidRPr="003321F5">
        <w:t>gulation</w:t>
      </w:r>
      <w:r w:rsidR="003321F5" w:rsidRPr="003321F5">
        <w:t> </w:t>
      </w:r>
      <w:r w:rsidR="00587600" w:rsidRPr="003321F5">
        <w:t>5.17D</w:t>
      </w:r>
    </w:p>
    <w:p w:rsidR="00587600" w:rsidRPr="003321F5" w:rsidRDefault="00587600" w:rsidP="00587600">
      <w:pPr>
        <w:pStyle w:val="Item"/>
      </w:pPr>
      <w:r w:rsidRPr="003321F5">
        <w:t>Repeal the regulation, substitute:</w:t>
      </w:r>
    </w:p>
    <w:p w:rsidR="00B915EB" w:rsidRPr="003321F5" w:rsidRDefault="00B915EB" w:rsidP="00B915EB">
      <w:pPr>
        <w:pStyle w:val="ActHead5"/>
      </w:pPr>
      <w:bookmarkStart w:id="25" w:name="_Toc460853519"/>
      <w:r w:rsidRPr="003321F5">
        <w:rPr>
          <w:rStyle w:val="CharSectno"/>
        </w:rPr>
        <w:t>5.17D</w:t>
      </w:r>
      <w:r w:rsidRPr="003321F5">
        <w:t xml:space="preserve">  Amount of </w:t>
      </w:r>
      <w:r w:rsidR="00597FFC" w:rsidRPr="003321F5">
        <w:t>project composition component</w:t>
      </w:r>
      <w:bookmarkEnd w:id="25"/>
    </w:p>
    <w:p w:rsidR="00587600" w:rsidRPr="003321F5" w:rsidRDefault="00B915EB" w:rsidP="00587600">
      <w:pPr>
        <w:pStyle w:val="subsection"/>
      </w:pPr>
      <w:r w:rsidRPr="003321F5">
        <w:tab/>
      </w:r>
      <w:r w:rsidRPr="003321F5">
        <w:tab/>
      </w:r>
      <w:r w:rsidR="00587600" w:rsidRPr="003321F5">
        <w:t xml:space="preserve">The amount of the </w:t>
      </w:r>
      <w:r w:rsidR="00597FFC" w:rsidRPr="003321F5">
        <w:t>project composition component</w:t>
      </w:r>
      <w:r w:rsidR="00587600" w:rsidRPr="003321F5">
        <w:t xml:space="preserve"> of the complexity fee is:</w:t>
      </w:r>
    </w:p>
    <w:p w:rsidR="00587600" w:rsidRPr="003321F5" w:rsidRDefault="00587600" w:rsidP="00587600">
      <w:pPr>
        <w:pStyle w:val="paragraph"/>
      </w:pPr>
      <w:r w:rsidRPr="003321F5">
        <w:tab/>
        <w:t>(a)</w:t>
      </w:r>
      <w:r w:rsidRPr="003321F5">
        <w:tab/>
        <w:t xml:space="preserve">if </w:t>
      </w:r>
      <w:r w:rsidR="00976AFF" w:rsidRPr="003321F5">
        <w:t>the</w:t>
      </w:r>
      <w:r w:rsidR="00B915EB" w:rsidRPr="003321F5">
        <w:t>re</w:t>
      </w:r>
      <w:r w:rsidR="00976AFF" w:rsidRPr="003321F5">
        <w:t xml:space="preserve"> is one</w:t>
      </w:r>
      <w:r w:rsidR="00B915EB" w:rsidRPr="003321F5">
        <w:t xml:space="preserve"> project component</w:t>
      </w:r>
      <w:r w:rsidRPr="003321F5">
        <w:t>—nil; and</w:t>
      </w:r>
    </w:p>
    <w:p w:rsidR="00587600" w:rsidRPr="003321F5" w:rsidRDefault="00587600" w:rsidP="00B915EB">
      <w:pPr>
        <w:pStyle w:val="paragraph"/>
      </w:pPr>
      <w:r w:rsidRPr="003321F5">
        <w:tab/>
        <w:t>(b)</w:t>
      </w:r>
      <w:r w:rsidRPr="003321F5">
        <w:tab/>
      </w:r>
      <w:r w:rsidR="00B915EB" w:rsidRPr="003321F5">
        <w:t>if there are</w:t>
      </w:r>
      <w:r w:rsidR="00976AFF" w:rsidRPr="003321F5">
        <w:t xml:space="preserve"> </w:t>
      </w:r>
      <w:r w:rsidR="00B915EB" w:rsidRPr="003321F5">
        <w:t>2</w:t>
      </w:r>
      <w:r w:rsidR="00976AFF" w:rsidRPr="003321F5">
        <w:t xml:space="preserve"> or more</w:t>
      </w:r>
      <w:r w:rsidR="00B915EB" w:rsidRPr="003321F5">
        <w:t xml:space="preserve"> project components</w:t>
      </w:r>
      <w:r w:rsidRPr="003321F5">
        <w:t>—the amount worked out using the following formula:</w:t>
      </w:r>
    </w:p>
    <w:p w:rsidR="00587600" w:rsidRPr="003321F5" w:rsidRDefault="00587600" w:rsidP="00587600">
      <w:pPr>
        <w:pStyle w:val="paragraph"/>
        <w:spacing w:before="120"/>
      </w:pPr>
      <w:r w:rsidRPr="003321F5">
        <w:tab/>
      </w:r>
      <w:r w:rsidRPr="003321F5">
        <w:tab/>
      </w:r>
      <w:bookmarkStart w:id="26" w:name="BKCheck15B_8"/>
      <w:bookmarkEnd w:id="26"/>
      <w:r w:rsidR="00B915EB" w:rsidRPr="003321F5">
        <w:rPr>
          <w:position w:val="-34"/>
        </w:rPr>
        <w:object w:dxaOrig="3340" w:dyaOrig="780">
          <v:shape id="_x0000_i1029" type="#_x0000_t75" style="width:165.75pt;height:39pt" o:ole="">
            <v:imagedata r:id="rId29" o:title=""/>
          </v:shape>
          <o:OLEObject Type="Embed" ProgID="Equation.DSMT4" ShapeID="_x0000_i1029" DrawAspect="Content" ObjectID="_1536141177" r:id="rId30"/>
        </w:object>
      </w:r>
    </w:p>
    <w:p w:rsidR="00B915EB" w:rsidRPr="003321F5" w:rsidRDefault="00B915EB" w:rsidP="00B915EB">
      <w:pPr>
        <w:pStyle w:val="notetext"/>
      </w:pPr>
      <w:r w:rsidRPr="003321F5">
        <w:t>Note:</w:t>
      </w:r>
      <w:r w:rsidRPr="003321F5">
        <w:tab/>
        <w:t>Regulation</w:t>
      </w:r>
      <w:r w:rsidR="003321F5" w:rsidRPr="003321F5">
        <w:t> </w:t>
      </w:r>
      <w:r w:rsidRPr="003321F5">
        <w:t>5.12K sets out the amounts of the other components of a complexity fee.</w:t>
      </w:r>
    </w:p>
    <w:p w:rsidR="00F70DDF" w:rsidRPr="003321F5" w:rsidRDefault="009E1E71" w:rsidP="0094719E">
      <w:pPr>
        <w:pStyle w:val="ItemHead"/>
      </w:pPr>
      <w:r w:rsidRPr="003321F5">
        <w:t>59</w:t>
      </w:r>
      <w:r w:rsidR="00F70DDF" w:rsidRPr="003321F5">
        <w:t xml:space="preserve">  Subregulation</w:t>
      </w:r>
      <w:r w:rsidR="003321F5" w:rsidRPr="003321F5">
        <w:t> </w:t>
      </w:r>
      <w:r w:rsidR="00F70DDF" w:rsidRPr="003321F5">
        <w:t>5.18(2)</w:t>
      </w:r>
    </w:p>
    <w:p w:rsidR="00F70DDF" w:rsidRPr="003321F5" w:rsidRDefault="00F70DDF" w:rsidP="00F70DDF">
      <w:pPr>
        <w:pStyle w:val="Item"/>
      </w:pPr>
      <w:r w:rsidRPr="003321F5">
        <w:t xml:space="preserve">Omit </w:t>
      </w:r>
      <w:r w:rsidR="00A919F9" w:rsidRPr="003321F5">
        <w:t>“</w:t>
      </w:r>
      <w:r w:rsidRPr="003321F5">
        <w:t>$3</w:t>
      </w:r>
      <w:r w:rsidR="003321F5" w:rsidRPr="003321F5">
        <w:t> </w:t>
      </w:r>
      <w:r w:rsidRPr="003321F5">
        <w:t>233.00</w:t>
      </w:r>
      <w:r w:rsidR="00A919F9" w:rsidRPr="003321F5">
        <w:t>”</w:t>
      </w:r>
      <w:r w:rsidRPr="003321F5">
        <w:t xml:space="preserve">, substitute </w:t>
      </w:r>
      <w:r w:rsidR="00A919F9" w:rsidRPr="003321F5">
        <w:t>“</w:t>
      </w:r>
      <w:r w:rsidRPr="003321F5">
        <w:t>$2</w:t>
      </w:r>
      <w:r w:rsidR="00CE47F1" w:rsidRPr="003321F5">
        <w:t>,</w:t>
      </w:r>
      <w:r w:rsidRPr="003321F5">
        <w:t>690</w:t>
      </w:r>
      <w:r w:rsidR="00C6748D" w:rsidRPr="003321F5">
        <w:t>.00</w:t>
      </w:r>
      <w:r w:rsidR="00A919F9" w:rsidRPr="003321F5">
        <w:t>”</w:t>
      </w:r>
      <w:r w:rsidRPr="003321F5">
        <w:t>.</w:t>
      </w:r>
    </w:p>
    <w:p w:rsidR="00EC470D" w:rsidRPr="003321F5" w:rsidRDefault="009E1E71" w:rsidP="0094719E">
      <w:pPr>
        <w:pStyle w:val="ItemHead"/>
      </w:pPr>
      <w:r w:rsidRPr="003321F5">
        <w:t>60</w:t>
      </w:r>
      <w:r w:rsidR="00EC470D" w:rsidRPr="003321F5">
        <w:t xml:space="preserve">  Paragraph 5.18B(3)(a)</w:t>
      </w:r>
    </w:p>
    <w:p w:rsidR="00EC470D" w:rsidRPr="003321F5" w:rsidRDefault="00EC470D" w:rsidP="00EC470D">
      <w:pPr>
        <w:pStyle w:val="Item"/>
      </w:pPr>
      <w:r w:rsidRPr="003321F5">
        <w:t xml:space="preserve">Omit </w:t>
      </w:r>
      <w:r w:rsidR="00A919F9" w:rsidRPr="003321F5">
        <w:t>“</w:t>
      </w:r>
      <w:r w:rsidRPr="003321F5">
        <w:t>$943.00</w:t>
      </w:r>
      <w:r w:rsidR="00A919F9" w:rsidRPr="003321F5">
        <w:t>”</w:t>
      </w:r>
      <w:r w:rsidRPr="003321F5">
        <w:t xml:space="preserve">, substitute </w:t>
      </w:r>
      <w:r w:rsidR="00A919F9" w:rsidRPr="003321F5">
        <w:t>“</w:t>
      </w:r>
      <w:r w:rsidRPr="003321F5">
        <w:t>$710</w:t>
      </w:r>
      <w:r w:rsidR="00C6748D" w:rsidRPr="003321F5">
        <w:t>.00</w:t>
      </w:r>
      <w:r w:rsidR="00A919F9" w:rsidRPr="003321F5">
        <w:t>”</w:t>
      </w:r>
      <w:r w:rsidRPr="003321F5">
        <w:t>.</w:t>
      </w:r>
    </w:p>
    <w:p w:rsidR="00360106" w:rsidRPr="003321F5" w:rsidRDefault="009E1E71" w:rsidP="00360106">
      <w:pPr>
        <w:pStyle w:val="ItemHead"/>
      </w:pPr>
      <w:r w:rsidRPr="003321F5">
        <w:t>61</w:t>
      </w:r>
      <w:r w:rsidR="00360106" w:rsidRPr="003321F5">
        <w:t xml:space="preserve">  Paragraph 5.18B(3)(b)</w:t>
      </w:r>
    </w:p>
    <w:p w:rsidR="00360106" w:rsidRPr="003321F5" w:rsidRDefault="00360106" w:rsidP="00360106">
      <w:pPr>
        <w:pStyle w:val="Item"/>
      </w:pPr>
      <w:r w:rsidRPr="003321F5">
        <w:t xml:space="preserve">Omit </w:t>
      </w:r>
      <w:r w:rsidR="00A919F9" w:rsidRPr="003321F5">
        <w:t>“</w:t>
      </w:r>
      <w:r w:rsidRPr="003321F5">
        <w:t>$3</w:t>
      </w:r>
      <w:r w:rsidR="003321F5" w:rsidRPr="003321F5">
        <w:t> </w:t>
      </w:r>
      <w:r w:rsidRPr="003321F5">
        <w:t>233.00</w:t>
      </w:r>
      <w:r w:rsidR="00A919F9" w:rsidRPr="003321F5">
        <w:t>”</w:t>
      </w:r>
      <w:r w:rsidRPr="003321F5">
        <w:t xml:space="preserve">, substitute </w:t>
      </w:r>
      <w:r w:rsidR="00A919F9" w:rsidRPr="003321F5">
        <w:t>“</w:t>
      </w:r>
      <w:r w:rsidR="00DF7828" w:rsidRPr="003321F5">
        <w:t>$</w:t>
      </w:r>
      <w:r w:rsidRPr="003321F5">
        <w:t>2</w:t>
      </w:r>
      <w:r w:rsidR="00CE47F1" w:rsidRPr="003321F5">
        <w:t>,</w:t>
      </w:r>
      <w:r w:rsidRPr="003321F5">
        <w:t>690</w:t>
      </w:r>
      <w:r w:rsidR="00C6748D" w:rsidRPr="003321F5">
        <w:t>.00</w:t>
      </w:r>
      <w:r w:rsidR="00A919F9" w:rsidRPr="003321F5">
        <w:t>”</w:t>
      </w:r>
      <w:r w:rsidRPr="003321F5">
        <w:t>.</w:t>
      </w:r>
    </w:p>
    <w:p w:rsidR="00805534" w:rsidRPr="003321F5" w:rsidRDefault="009E1E71" w:rsidP="00805534">
      <w:pPr>
        <w:pStyle w:val="ItemHead"/>
      </w:pPr>
      <w:r w:rsidRPr="003321F5">
        <w:t>62</w:t>
      </w:r>
      <w:r w:rsidR="00805534" w:rsidRPr="003321F5">
        <w:t xml:space="preserve">  At the end of subregulation</w:t>
      </w:r>
      <w:r w:rsidR="003321F5" w:rsidRPr="003321F5">
        <w:t> </w:t>
      </w:r>
      <w:r w:rsidR="00805534" w:rsidRPr="003321F5">
        <w:t>5.18B(3)</w:t>
      </w:r>
    </w:p>
    <w:p w:rsidR="00805534" w:rsidRPr="003321F5" w:rsidRDefault="00805534" w:rsidP="00805534">
      <w:pPr>
        <w:pStyle w:val="Item"/>
      </w:pPr>
      <w:r w:rsidRPr="003321F5">
        <w:t>Add:</w:t>
      </w:r>
    </w:p>
    <w:p w:rsidR="00805534" w:rsidRPr="003321F5" w:rsidRDefault="00805534" w:rsidP="00805534">
      <w:pPr>
        <w:pStyle w:val="notetext"/>
      </w:pPr>
      <w:r w:rsidRPr="003321F5">
        <w:t>Note:</w:t>
      </w:r>
      <w:r w:rsidRPr="003321F5">
        <w:tab/>
      </w:r>
      <w:r w:rsidR="00D1410F" w:rsidRPr="003321F5">
        <w:t>The application must be accompanied by the application fee</w:t>
      </w:r>
      <w:r w:rsidR="009A5E7D" w:rsidRPr="003321F5">
        <w:t xml:space="preserve"> and the Minister need not consider the application if it is not</w:t>
      </w:r>
      <w:r w:rsidR="00D1410F" w:rsidRPr="003321F5">
        <w:t>. See paragraph</w:t>
      </w:r>
      <w:r w:rsidR="003321F5" w:rsidRPr="003321F5">
        <w:t> </w:t>
      </w:r>
      <w:r w:rsidR="00D1410F" w:rsidRPr="003321F5">
        <w:t>143A(2)(b) of the Ac</w:t>
      </w:r>
      <w:r w:rsidR="009A5E7D" w:rsidRPr="003321F5">
        <w:t>t and section</w:t>
      </w:r>
      <w:r w:rsidR="003321F5" w:rsidRPr="003321F5">
        <w:t> </w:t>
      </w:r>
      <w:r w:rsidR="009A5E7D" w:rsidRPr="003321F5">
        <w:t>521A of the Act.</w:t>
      </w:r>
    </w:p>
    <w:p w:rsidR="00104515" w:rsidRPr="003321F5" w:rsidRDefault="009E1E71" w:rsidP="0094719E">
      <w:pPr>
        <w:pStyle w:val="ItemHead"/>
      </w:pPr>
      <w:r w:rsidRPr="003321F5">
        <w:t>63</w:t>
      </w:r>
      <w:r w:rsidR="00104515" w:rsidRPr="003321F5">
        <w:t xml:space="preserve">  Subregulation</w:t>
      </w:r>
      <w:r w:rsidR="003321F5" w:rsidRPr="003321F5">
        <w:t> </w:t>
      </w:r>
      <w:r w:rsidR="00104515" w:rsidRPr="003321F5">
        <w:t>5.18B(4)</w:t>
      </w:r>
    </w:p>
    <w:p w:rsidR="00104515" w:rsidRPr="003321F5" w:rsidRDefault="00104515" w:rsidP="00104515">
      <w:pPr>
        <w:pStyle w:val="Item"/>
      </w:pPr>
      <w:r w:rsidRPr="003321F5">
        <w:t>Repeal the subregulation.</w:t>
      </w:r>
    </w:p>
    <w:p w:rsidR="005D0A70" w:rsidRPr="003321F5" w:rsidRDefault="009E1E71" w:rsidP="0094719E">
      <w:pPr>
        <w:pStyle w:val="ItemHead"/>
      </w:pPr>
      <w:r w:rsidRPr="003321F5">
        <w:t>64</w:t>
      </w:r>
      <w:r w:rsidR="005D0A70" w:rsidRPr="003321F5">
        <w:t xml:space="preserve">  Subregulation</w:t>
      </w:r>
      <w:r w:rsidR="003321F5" w:rsidRPr="003321F5">
        <w:t> </w:t>
      </w:r>
      <w:r w:rsidR="005D0A70" w:rsidRPr="003321F5">
        <w:t>5.19(1)</w:t>
      </w:r>
    </w:p>
    <w:p w:rsidR="005D0A70" w:rsidRPr="003321F5" w:rsidRDefault="005D0A70" w:rsidP="005D0A70">
      <w:pPr>
        <w:pStyle w:val="Item"/>
      </w:pPr>
      <w:r w:rsidRPr="003321F5">
        <w:t xml:space="preserve">Omit </w:t>
      </w:r>
      <w:r w:rsidR="00A919F9" w:rsidRPr="003321F5">
        <w:t>“</w:t>
      </w:r>
      <w:r w:rsidR="000D2708" w:rsidRPr="003321F5">
        <w:t>$2</w:t>
      </w:r>
      <w:r w:rsidR="003321F5" w:rsidRPr="003321F5">
        <w:t> </w:t>
      </w:r>
      <w:r w:rsidR="000D2708" w:rsidRPr="003321F5">
        <w:t>544.00</w:t>
      </w:r>
      <w:r w:rsidR="00A919F9" w:rsidRPr="003321F5">
        <w:t>”</w:t>
      </w:r>
      <w:r w:rsidRPr="003321F5">
        <w:t xml:space="preserve">, substitute </w:t>
      </w:r>
      <w:r w:rsidR="00A919F9" w:rsidRPr="003321F5">
        <w:t>“</w:t>
      </w:r>
      <w:r w:rsidRPr="003321F5">
        <w:t>$1</w:t>
      </w:r>
      <w:r w:rsidR="00CE47F1" w:rsidRPr="003321F5">
        <w:t>,</w:t>
      </w:r>
      <w:r w:rsidRPr="003321F5">
        <w:t>701</w:t>
      </w:r>
      <w:r w:rsidR="00C6748D" w:rsidRPr="003321F5">
        <w:t>.00</w:t>
      </w:r>
      <w:r w:rsidR="00A919F9" w:rsidRPr="003321F5">
        <w:t>”</w:t>
      </w:r>
      <w:r w:rsidRPr="003321F5">
        <w:t>.</w:t>
      </w:r>
    </w:p>
    <w:p w:rsidR="008211BE" w:rsidRPr="003321F5" w:rsidRDefault="009E1E71" w:rsidP="0084495A">
      <w:pPr>
        <w:pStyle w:val="ItemHead"/>
      </w:pPr>
      <w:r w:rsidRPr="003321F5">
        <w:t>65</w:t>
      </w:r>
      <w:r w:rsidR="008211BE" w:rsidRPr="003321F5">
        <w:t xml:space="preserve">  At the end of subregulation</w:t>
      </w:r>
      <w:r w:rsidR="003321F5" w:rsidRPr="003321F5">
        <w:t> </w:t>
      </w:r>
      <w:r w:rsidR="008211BE" w:rsidRPr="003321F5">
        <w:t>5.19(1)</w:t>
      </w:r>
    </w:p>
    <w:p w:rsidR="008211BE" w:rsidRPr="003321F5" w:rsidRDefault="008211BE" w:rsidP="008211BE">
      <w:pPr>
        <w:pStyle w:val="Item"/>
      </w:pPr>
      <w:r w:rsidRPr="003321F5">
        <w:t>Add:</w:t>
      </w:r>
    </w:p>
    <w:p w:rsidR="008211BE" w:rsidRPr="003321F5" w:rsidRDefault="008211BE" w:rsidP="008211BE">
      <w:pPr>
        <w:pStyle w:val="notetext"/>
      </w:pPr>
      <w:r w:rsidRPr="003321F5">
        <w:t>Note:</w:t>
      </w:r>
      <w:r w:rsidRPr="003321F5">
        <w:tab/>
        <w:t xml:space="preserve">The Minister need not consider the </w:t>
      </w:r>
      <w:r w:rsidR="00DE1EE0" w:rsidRPr="003321F5">
        <w:t>information</w:t>
      </w:r>
      <w:r w:rsidRPr="003321F5">
        <w:t xml:space="preserve"> if it is not accompanied by the fee. See section</w:t>
      </w:r>
      <w:r w:rsidR="003321F5" w:rsidRPr="003321F5">
        <w:t> </w:t>
      </w:r>
      <w:r w:rsidRPr="003321F5">
        <w:t>521A of the Act.</w:t>
      </w:r>
    </w:p>
    <w:p w:rsidR="0084495A" w:rsidRPr="003321F5" w:rsidRDefault="009E1E71" w:rsidP="0084495A">
      <w:pPr>
        <w:pStyle w:val="ItemHead"/>
      </w:pPr>
      <w:r w:rsidRPr="003321F5">
        <w:t>66</w:t>
      </w:r>
      <w:r w:rsidR="0084495A" w:rsidRPr="003321F5">
        <w:t xml:space="preserve">  Subregulation</w:t>
      </w:r>
      <w:r w:rsidR="003321F5" w:rsidRPr="003321F5">
        <w:t> </w:t>
      </w:r>
      <w:r w:rsidR="0084495A" w:rsidRPr="003321F5">
        <w:t>5.19(2)</w:t>
      </w:r>
    </w:p>
    <w:p w:rsidR="0084495A" w:rsidRPr="003321F5" w:rsidRDefault="0084495A" w:rsidP="0084495A">
      <w:pPr>
        <w:pStyle w:val="Item"/>
      </w:pPr>
      <w:r w:rsidRPr="003321F5">
        <w:t xml:space="preserve">Omit </w:t>
      </w:r>
      <w:r w:rsidR="00A919F9" w:rsidRPr="003321F5">
        <w:t>“</w:t>
      </w:r>
      <w:r w:rsidRPr="003321F5">
        <w:t>$13</w:t>
      </w:r>
      <w:r w:rsidR="003321F5" w:rsidRPr="003321F5">
        <w:t> </w:t>
      </w:r>
      <w:r w:rsidRPr="003321F5">
        <w:t>087.00</w:t>
      </w:r>
      <w:r w:rsidR="00A919F9" w:rsidRPr="003321F5">
        <w:t>”</w:t>
      </w:r>
      <w:r w:rsidRPr="003321F5">
        <w:t xml:space="preserve">, substitute </w:t>
      </w:r>
      <w:r w:rsidR="00A919F9" w:rsidRPr="003321F5">
        <w:t>“</w:t>
      </w:r>
      <w:r w:rsidRPr="003321F5">
        <w:t>$</w:t>
      </w:r>
      <w:r w:rsidR="0020371A" w:rsidRPr="003321F5">
        <w:t>7</w:t>
      </w:r>
      <w:r w:rsidR="00CE47F1" w:rsidRPr="003321F5">
        <w:t>,</w:t>
      </w:r>
      <w:r w:rsidR="0020371A" w:rsidRPr="003321F5">
        <w:t>476</w:t>
      </w:r>
      <w:r w:rsidR="00C6748D" w:rsidRPr="003321F5">
        <w:t>.00</w:t>
      </w:r>
      <w:r w:rsidR="00A919F9" w:rsidRPr="003321F5">
        <w:t>”</w:t>
      </w:r>
      <w:r w:rsidR="0020371A" w:rsidRPr="003321F5">
        <w:t>.</w:t>
      </w:r>
    </w:p>
    <w:p w:rsidR="000C0936" w:rsidRPr="003321F5" w:rsidRDefault="009E1E71" w:rsidP="008534D3">
      <w:pPr>
        <w:pStyle w:val="ItemHead"/>
      </w:pPr>
      <w:r w:rsidRPr="003321F5">
        <w:t>67</w:t>
      </w:r>
      <w:r w:rsidR="000C0936" w:rsidRPr="003321F5">
        <w:t xml:space="preserve">  At the end of subregulation</w:t>
      </w:r>
      <w:r w:rsidR="003321F5" w:rsidRPr="003321F5">
        <w:t> </w:t>
      </w:r>
      <w:r w:rsidR="000C0936" w:rsidRPr="003321F5">
        <w:t>5.19(2)</w:t>
      </w:r>
    </w:p>
    <w:p w:rsidR="000C0936" w:rsidRPr="003321F5" w:rsidRDefault="000C0936" w:rsidP="000C0936">
      <w:pPr>
        <w:pStyle w:val="Item"/>
      </w:pPr>
      <w:r w:rsidRPr="003321F5">
        <w:t>Add:</w:t>
      </w:r>
    </w:p>
    <w:p w:rsidR="000C0936" w:rsidRPr="003321F5" w:rsidRDefault="000C0936" w:rsidP="000C0936">
      <w:pPr>
        <w:pStyle w:val="notetext"/>
      </w:pPr>
      <w:r w:rsidRPr="003321F5">
        <w:t>Note:</w:t>
      </w:r>
      <w:r w:rsidRPr="003321F5">
        <w:tab/>
        <w:t>T</w:t>
      </w:r>
      <w:r w:rsidR="00DE1EE0" w:rsidRPr="003321F5">
        <w:t xml:space="preserve">he Minister need not consider the information </w:t>
      </w:r>
      <w:r w:rsidRPr="003321F5">
        <w:t>if it is not accompanied by the fee. See section</w:t>
      </w:r>
      <w:r w:rsidR="003321F5" w:rsidRPr="003321F5">
        <w:t> </w:t>
      </w:r>
      <w:r w:rsidRPr="003321F5">
        <w:t>521A of the Act</w:t>
      </w:r>
      <w:r w:rsidR="005F6E62" w:rsidRPr="003321F5">
        <w:t>.</w:t>
      </w:r>
    </w:p>
    <w:p w:rsidR="008534D3" w:rsidRPr="003321F5" w:rsidRDefault="009E1E71" w:rsidP="008534D3">
      <w:pPr>
        <w:pStyle w:val="ItemHead"/>
      </w:pPr>
      <w:r w:rsidRPr="003321F5">
        <w:t>68</w:t>
      </w:r>
      <w:r w:rsidR="008534D3" w:rsidRPr="003321F5">
        <w:t xml:space="preserve">  </w:t>
      </w:r>
      <w:r w:rsidR="000C0936" w:rsidRPr="003321F5">
        <w:t>S</w:t>
      </w:r>
      <w:r w:rsidR="008534D3" w:rsidRPr="003321F5">
        <w:t>ubregulation</w:t>
      </w:r>
      <w:r w:rsidR="003321F5" w:rsidRPr="003321F5">
        <w:t> </w:t>
      </w:r>
      <w:r w:rsidR="008534D3" w:rsidRPr="003321F5">
        <w:t>5.19(</w:t>
      </w:r>
      <w:r w:rsidR="000C0936" w:rsidRPr="003321F5">
        <w:t>3</w:t>
      </w:r>
      <w:r w:rsidR="008534D3" w:rsidRPr="003321F5">
        <w:t>)</w:t>
      </w:r>
    </w:p>
    <w:p w:rsidR="008534D3" w:rsidRPr="003321F5" w:rsidRDefault="000C0936" w:rsidP="008534D3">
      <w:pPr>
        <w:pStyle w:val="Item"/>
      </w:pPr>
      <w:r w:rsidRPr="003321F5">
        <w:t>Repeal the subregulation, substitute</w:t>
      </w:r>
      <w:r w:rsidR="008534D3" w:rsidRPr="003321F5">
        <w:t>:</w:t>
      </w:r>
    </w:p>
    <w:p w:rsidR="00961E26" w:rsidRPr="003321F5" w:rsidRDefault="000C0936" w:rsidP="000D2708">
      <w:pPr>
        <w:pStyle w:val="subsection"/>
      </w:pPr>
      <w:r w:rsidRPr="003321F5">
        <w:tab/>
        <w:t>(3</w:t>
      </w:r>
      <w:r w:rsidR="00961E26" w:rsidRPr="003321F5">
        <w:t>)</w:t>
      </w:r>
      <w:r w:rsidR="00961E26" w:rsidRPr="003321F5">
        <w:tab/>
        <w:t xml:space="preserve">Despite subregulations (1) and (2), </w:t>
      </w:r>
      <w:r w:rsidR="008534D3" w:rsidRPr="003321F5">
        <w:t xml:space="preserve">no </w:t>
      </w:r>
      <w:r w:rsidR="00961E26" w:rsidRPr="003321F5">
        <w:t>fee is payable</w:t>
      </w:r>
      <w:r w:rsidR="008534D3" w:rsidRPr="003321F5">
        <w:t xml:space="preserve"> in relation to</w:t>
      </w:r>
      <w:r w:rsidR="00961E26" w:rsidRPr="003321F5">
        <w:t>:</w:t>
      </w:r>
    </w:p>
    <w:p w:rsidR="000D2708" w:rsidRPr="003321F5" w:rsidRDefault="000D2708" w:rsidP="000D2708">
      <w:pPr>
        <w:pStyle w:val="paragraph"/>
      </w:pPr>
      <w:r w:rsidRPr="003321F5">
        <w:tab/>
        <w:t>(a)</w:t>
      </w:r>
      <w:r w:rsidRPr="003321F5">
        <w:tab/>
      </w:r>
      <w:r w:rsidR="008534D3" w:rsidRPr="003321F5">
        <w:t>a request</w:t>
      </w:r>
      <w:r w:rsidR="00416A04" w:rsidRPr="003321F5">
        <w:t xml:space="preserve"> </w:t>
      </w:r>
      <w:r w:rsidRPr="003321F5">
        <w:t>referred to in subsection</w:t>
      </w:r>
      <w:r w:rsidR="003321F5" w:rsidRPr="003321F5">
        <w:t> </w:t>
      </w:r>
      <w:r w:rsidRPr="003321F5">
        <w:t>76(4) or 89(2)</w:t>
      </w:r>
      <w:r w:rsidR="00706682" w:rsidRPr="003321F5">
        <w:t xml:space="preserve"> of the Act</w:t>
      </w:r>
      <w:r w:rsidRPr="003321F5">
        <w:t xml:space="preserve"> (about assessments by a State or Territory); or</w:t>
      </w:r>
    </w:p>
    <w:p w:rsidR="000D2708" w:rsidRPr="003321F5" w:rsidRDefault="000D2708" w:rsidP="000D2708">
      <w:pPr>
        <w:pStyle w:val="paragraph"/>
      </w:pPr>
      <w:r w:rsidRPr="003321F5">
        <w:tab/>
        <w:t>(b)</w:t>
      </w:r>
      <w:r w:rsidRPr="003321F5">
        <w:tab/>
      </w:r>
      <w:r w:rsidR="008534D3" w:rsidRPr="003321F5">
        <w:t xml:space="preserve">a request </w:t>
      </w:r>
      <w:r w:rsidRPr="003321F5">
        <w:t>made under section</w:t>
      </w:r>
      <w:r w:rsidR="003321F5" w:rsidRPr="003321F5">
        <w:t> </w:t>
      </w:r>
      <w:r w:rsidRPr="003321F5">
        <w:t>132</w:t>
      </w:r>
      <w:r w:rsidR="00706682" w:rsidRPr="003321F5">
        <w:t xml:space="preserve"> of the Act</w:t>
      </w:r>
      <w:r w:rsidRPr="003321F5">
        <w:t xml:space="preserve"> to a person </w:t>
      </w:r>
      <w:r w:rsidR="00D213A8" w:rsidRPr="003321F5">
        <w:t xml:space="preserve">who is </w:t>
      </w:r>
      <w:r w:rsidR="008534D3" w:rsidRPr="003321F5">
        <w:t>neither</w:t>
      </w:r>
      <w:r w:rsidRPr="003321F5">
        <w:t xml:space="preserve"> the person proposing to take the action </w:t>
      </w:r>
      <w:r w:rsidR="008534D3" w:rsidRPr="003321F5">
        <w:t>n</w:t>
      </w:r>
      <w:r w:rsidRPr="003321F5">
        <w:t>or the designated proponent of the action.</w:t>
      </w:r>
    </w:p>
    <w:p w:rsidR="0094719E" w:rsidRPr="003321F5" w:rsidRDefault="009E1E71" w:rsidP="0084495A">
      <w:pPr>
        <w:pStyle w:val="ItemHead"/>
      </w:pPr>
      <w:r w:rsidRPr="003321F5">
        <w:t>69</w:t>
      </w:r>
      <w:r w:rsidR="0094719E" w:rsidRPr="003321F5">
        <w:t xml:space="preserve">  Regulation</w:t>
      </w:r>
      <w:r w:rsidR="003321F5" w:rsidRPr="003321F5">
        <w:t> </w:t>
      </w:r>
      <w:r w:rsidR="0094719E" w:rsidRPr="003321F5">
        <w:t>5.19A</w:t>
      </w:r>
    </w:p>
    <w:p w:rsidR="0094719E" w:rsidRPr="003321F5" w:rsidRDefault="0094719E" w:rsidP="0094719E">
      <w:pPr>
        <w:pStyle w:val="Item"/>
      </w:pPr>
      <w:r w:rsidRPr="003321F5">
        <w:t xml:space="preserve">Omit </w:t>
      </w:r>
      <w:r w:rsidR="00A919F9" w:rsidRPr="003321F5">
        <w:t>“</w:t>
      </w:r>
      <w:r w:rsidR="00DF7828" w:rsidRPr="003321F5">
        <w:t>$</w:t>
      </w:r>
      <w:r w:rsidRPr="003321F5">
        <w:t>7</w:t>
      </w:r>
      <w:r w:rsidR="003321F5" w:rsidRPr="003321F5">
        <w:t> </w:t>
      </w:r>
      <w:r w:rsidRPr="003321F5">
        <w:t>423.00</w:t>
      </w:r>
      <w:r w:rsidR="00A919F9" w:rsidRPr="003321F5">
        <w:t>”</w:t>
      </w:r>
      <w:r w:rsidRPr="003321F5">
        <w:t xml:space="preserve">, substitute </w:t>
      </w:r>
      <w:r w:rsidR="00A919F9" w:rsidRPr="003321F5">
        <w:t>“</w:t>
      </w:r>
      <w:r w:rsidRPr="003321F5">
        <w:t>$6</w:t>
      </w:r>
      <w:r w:rsidR="00CE47F1" w:rsidRPr="003321F5">
        <w:t>,</w:t>
      </w:r>
      <w:r w:rsidRPr="003321F5">
        <w:t>577</w:t>
      </w:r>
      <w:r w:rsidR="00C6748D" w:rsidRPr="003321F5">
        <w:t>.00</w:t>
      </w:r>
      <w:r w:rsidR="00A919F9" w:rsidRPr="003321F5">
        <w:t>”</w:t>
      </w:r>
      <w:r w:rsidRPr="003321F5">
        <w:t>.</w:t>
      </w:r>
    </w:p>
    <w:p w:rsidR="000C0936" w:rsidRPr="003321F5" w:rsidRDefault="009E1E71" w:rsidP="000C0936">
      <w:pPr>
        <w:pStyle w:val="ItemHead"/>
      </w:pPr>
      <w:r w:rsidRPr="003321F5">
        <w:t>70</w:t>
      </w:r>
      <w:r w:rsidR="000C0936" w:rsidRPr="003321F5">
        <w:t xml:space="preserve">  At the end of regulation</w:t>
      </w:r>
      <w:r w:rsidR="003321F5" w:rsidRPr="003321F5">
        <w:t> </w:t>
      </w:r>
      <w:r w:rsidR="000C0936" w:rsidRPr="003321F5">
        <w:t>5.19A</w:t>
      </w:r>
    </w:p>
    <w:p w:rsidR="000C0936" w:rsidRPr="003321F5" w:rsidRDefault="000C0936" w:rsidP="000C0936">
      <w:pPr>
        <w:pStyle w:val="Item"/>
      </w:pPr>
      <w:r w:rsidRPr="003321F5">
        <w:t>Add:</w:t>
      </w:r>
    </w:p>
    <w:p w:rsidR="000C0936" w:rsidRPr="003321F5" w:rsidRDefault="000C0936" w:rsidP="000C0936">
      <w:pPr>
        <w:pStyle w:val="notetext"/>
      </w:pPr>
      <w:r w:rsidRPr="003321F5">
        <w:t>Note:</w:t>
      </w:r>
      <w:r w:rsidRPr="003321F5">
        <w:tab/>
      </w:r>
      <w:r w:rsidR="00203AC9" w:rsidRPr="003321F5">
        <w:t>The Minister need not consider the</w:t>
      </w:r>
      <w:r w:rsidRPr="003321F5">
        <w:t xml:space="preserve"> request if it is not accompanied by the fee. See section</w:t>
      </w:r>
      <w:r w:rsidR="003321F5" w:rsidRPr="003321F5">
        <w:t> </w:t>
      </w:r>
      <w:r w:rsidRPr="003321F5">
        <w:t>521A of the Act</w:t>
      </w:r>
      <w:r w:rsidR="005F6E62" w:rsidRPr="003321F5">
        <w:t>.</w:t>
      </w:r>
    </w:p>
    <w:p w:rsidR="00B14667" w:rsidRPr="003321F5" w:rsidRDefault="009E1E71" w:rsidP="00B14667">
      <w:pPr>
        <w:pStyle w:val="ItemHead"/>
      </w:pPr>
      <w:r w:rsidRPr="003321F5">
        <w:t>71</w:t>
      </w:r>
      <w:r w:rsidR="00B14667" w:rsidRPr="003321F5">
        <w:t xml:space="preserve">  Subregulation</w:t>
      </w:r>
      <w:r w:rsidR="003321F5" w:rsidRPr="003321F5">
        <w:t> </w:t>
      </w:r>
      <w:r w:rsidR="00B14667" w:rsidRPr="003321F5">
        <w:t>5.19B(1)</w:t>
      </w:r>
    </w:p>
    <w:p w:rsidR="00B14667" w:rsidRPr="003321F5" w:rsidRDefault="00B14667" w:rsidP="00B14667">
      <w:pPr>
        <w:pStyle w:val="Item"/>
      </w:pPr>
      <w:r w:rsidRPr="003321F5">
        <w:t xml:space="preserve">Omit </w:t>
      </w:r>
      <w:r w:rsidR="00A919F9" w:rsidRPr="003321F5">
        <w:t>“</w:t>
      </w:r>
      <w:r w:rsidRPr="003321F5">
        <w:t>(1)</w:t>
      </w:r>
      <w:r w:rsidR="00A919F9" w:rsidRPr="003321F5">
        <w:t>”</w:t>
      </w:r>
      <w:r w:rsidRPr="003321F5">
        <w:t>.</w:t>
      </w:r>
    </w:p>
    <w:p w:rsidR="00BB0C0C" w:rsidRPr="003321F5" w:rsidRDefault="009E1E71" w:rsidP="00BB0C0C">
      <w:pPr>
        <w:pStyle w:val="ItemHead"/>
      </w:pPr>
      <w:r w:rsidRPr="003321F5">
        <w:t>72</w:t>
      </w:r>
      <w:r w:rsidR="00BB0C0C" w:rsidRPr="003321F5">
        <w:t xml:space="preserve">  </w:t>
      </w:r>
      <w:r w:rsidR="00C55C35" w:rsidRPr="003321F5">
        <w:t>Subr</w:t>
      </w:r>
      <w:r w:rsidR="00BB0C0C" w:rsidRPr="003321F5">
        <w:t>egulation</w:t>
      </w:r>
      <w:r w:rsidR="003321F5" w:rsidRPr="003321F5">
        <w:t> </w:t>
      </w:r>
      <w:r w:rsidR="00BB0C0C" w:rsidRPr="003321F5">
        <w:t>5.19B</w:t>
      </w:r>
      <w:r w:rsidR="00C55C35" w:rsidRPr="003321F5">
        <w:t>(1)</w:t>
      </w:r>
    </w:p>
    <w:p w:rsidR="00BB0C0C" w:rsidRPr="003321F5" w:rsidRDefault="00BB0C0C" w:rsidP="00BB0C0C">
      <w:pPr>
        <w:pStyle w:val="Item"/>
      </w:pPr>
      <w:r w:rsidRPr="003321F5">
        <w:t xml:space="preserve">Omit </w:t>
      </w:r>
      <w:r w:rsidR="00A919F9" w:rsidRPr="003321F5">
        <w:t>“</w:t>
      </w:r>
      <w:r w:rsidRPr="003321F5">
        <w:t>$3</w:t>
      </w:r>
      <w:r w:rsidR="003321F5" w:rsidRPr="003321F5">
        <w:t> </w:t>
      </w:r>
      <w:r w:rsidRPr="003321F5">
        <w:t>320.00</w:t>
      </w:r>
      <w:r w:rsidR="00A919F9" w:rsidRPr="003321F5">
        <w:t>”</w:t>
      </w:r>
      <w:r w:rsidRPr="003321F5">
        <w:t xml:space="preserve">, substitute </w:t>
      </w:r>
      <w:r w:rsidR="00A919F9" w:rsidRPr="003321F5">
        <w:t>“</w:t>
      </w:r>
      <w:r w:rsidRPr="003321F5">
        <w:t>$2</w:t>
      </w:r>
      <w:r w:rsidR="00CE47F1" w:rsidRPr="003321F5">
        <w:t>,</w:t>
      </w:r>
      <w:r w:rsidRPr="003321F5">
        <w:t>690</w:t>
      </w:r>
      <w:r w:rsidR="00C6748D" w:rsidRPr="003321F5">
        <w:t>.00</w:t>
      </w:r>
      <w:r w:rsidR="00A919F9" w:rsidRPr="003321F5">
        <w:t>”</w:t>
      </w:r>
      <w:r w:rsidRPr="003321F5">
        <w:t>.</w:t>
      </w:r>
    </w:p>
    <w:p w:rsidR="00423E65" w:rsidRPr="003321F5" w:rsidRDefault="009E1E71" w:rsidP="00423E65">
      <w:pPr>
        <w:pStyle w:val="ItemHead"/>
      </w:pPr>
      <w:r w:rsidRPr="003321F5">
        <w:t>73</w:t>
      </w:r>
      <w:r w:rsidR="00423E65" w:rsidRPr="003321F5">
        <w:t xml:space="preserve">  At the end of subregulation</w:t>
      </w:r>
      <w:r w:rsidR="003321F5" w:rsidRPr="003321F5">
        <w:t> </w:t>
      </w:r>
      <w:r w:rsidR="00423E65" w:rsidRPr="003321F5">
        <w:t>5.19B(1)</w:t>
      </w:r>
    </w:p>
    <w:p w:rsidR="00423E65" w:rsidRPr="003321F5" w:rsidRDefault="00423E65" w:rsidP="00423E65">
      <w:pPr>
        <w:pStyle w:val="Item"/>
      </w:pPr>
      <w:r w:rsidRPr="003321F5">
        <w:t>Add:</w:t>
      </w:r>
    </w:p>
    <w:p w:rsidR="00423E65" w:rsidRPr="003321F5" w:rsidRDefault="00423E65" w:rsidP="00423E65">
      <w:pPr>
        <w:pStyle w:val="notetext"/>
      </w:pPr>
      <w:r w:rsidRPr="003321F5">
        <w:t>Note:</w:t>
      </w:r>
      <w:r w:rsidRPr="003321F5">
        <w:tab/>
        <w:t xml:space="preserve">The Minister need not consider </w:t>
      </w:r>
      <w:r w:rsidR="00203AC9" w:rsidRPr="003321F5">
        <w:t>the</w:t>
      </w:r>
      <w:r w:rsidRPr="003321F5">
        <w:t xml:space="preserve"> request if it is not accompanied by the fee. See section</w:t>
      </w:r>
      <w:r w:rsidR="003321F5" w:rsidRPr="003321F5">
        <w:t> </w:t>
      </w:r>
      <w:r w:rsidRPr="003321F5">
        <w:t>521A of the Act</w:t>
      </w:r>
      <w:r w:rsidR="005F6E62" w:rsidRPr="003321F5">
        <w:t>.</w:t>
      </w:r>
    </w:p>
    <w:p w:rsidR="00423E65" w:rsidRPr="003321F5" w:rsidRDefault="009E1E71" w:rsidP="00423E65">
      <w:pPr>
        <w:pStyle w:val="ItemHead"/>
      </w:pPr>
      <w:r w:rsidRPr="003321F5">
        <w:t>74</w:t>
      </w:r>
      <w:r w:rsidR="00423E65" w:rsidRPr="003321F5">
        <w:t xml:space="preserve">  Subregulation</w:t>
      </w:r>
      <w:r w:rsidR="003321F5" w:rsidRPr="003321F5">
        <w:t> </w:t>
      </w:r>
      <w:r w:rsidR="00423E65" w:rsidRPr="003321F5">
        <w:t>5.19B(2)</w:t>
      </w:r>
    </w:p>
    <w:p w:rsidR="00423E65" w:rsidRPr="003321F5" w:rsidRDefault="00423E65" w:rsidP="00423E65">
      <w:pPr>
        <w:pStyle w:val="Item"/>
      </w:pPr>
      <w:r w:rsidRPr="003321F5">
        <w:t>Repeal the subregulation.</w:t>
      </w:r>
    </w:p>
    <w:p w:rsidR="00A27827" w:rsidRPr="003321F5" w:rsidRDefault="009E1E71" w:rsidP="00A27827">
      <w:pPr>
        <w:pStyle w:val="ItemHead"/>
      </w:pPr>
      <w:r w:rsidRPr="003321F5">
        <w:t>75</w:t>
      </w:r>
      <w:r w:rsidR="00A27827" w:rsidRPr="003321F5">
        <w:t xml:space="preserve">  At the end of Subdivision I of Division</w:t>
      </w:r>
      <w:r w:rsidR="003321F5" w:rsidRPr="003321F5">
        <w:t> </w:t>
      </w:r>
      <w:r w:rsidR="00A27827" w:rsidRPr="003321F5">
        <w:t>5.6 of Part</w:t>
      </w:r>
      <w:r w:rsidR="003321F5" w:rsidRPr="003321F5">
        <w:t> </w:t>
      </w:r>
      <w:r w:rsidR="00A27827" w:rsidRPr="003321F5">
        <w:t>5</w:t>
      </w:r>
    </w:p>
    <w:p w:rsidR="00A27827" w:rsidRPr="003321F5" w:rsidRDefault="00A27827" w:rsidP="00A27827">
      <w:pPr>
        <w:pStyle w:val="Item"/>
      </w:pPr>
      <w:r w:rsidRPr="003321F5">
        <w:t>Add:</w:t>
      </w:r>
    </w:p>
    <w:p w:rsidR="00D230EC" w:rsidRPr="003321F5" w:rsidRDefault="00D230EC" w:rsidP="00A27827">
      <w:pPr>
        <w:pStyle w:val="ActHead5"/>
      </w:pPr>
      <w:bookmarkStart w:id="27" w:name="_Toc460853520"/>
      <w:r w:rsidRPr="003321F5">
        <w:rPr>
          <w:rStyle w:val="CharSectno"/>
        </w:rPr>
        <w:t>5.19C</w:t>
      </w:r>
      <w:r w:rsidRPr="003321F5">
        <w:t xml:space="preserve">  Request for Minister</w:t>
      </w:r>
      <w:r w:rsidR="00A919F9" w:rsidRPr="003321F5">
        <w:t>’</w:t>
      </w:r>
      <w:r w:rsidRPr="003321F5">
        <w:t>s consent to transfer of approval</w:t>
      </w:r>
      <w:bookmarkEnd w:id="27"/>
    </w:p>
    <w:p w:rsidR="00D230EC" w:rsidRPr="003321F5" w:rsidRDefault="00730C44" w:rsidP="00D230EC">
      <w:pPr>
        <w:pStyle w:val="subsection"/>
      </w:pPr>
      <w:r w:rsidRPr="003321F5">
        <w:tab/>
      </w:r>
      <w:r w:rsidRPr="003321F5">
        <w:tab/>
        <w:t>If a person requests the Minister to decide under section</w:t>
      </w:r>
      <w:r w:rsidR="003321F5" w:rsidRPr="003321F5">
        <w:t> </w:t>
      </w:r>
      <w:r w:rsidRPr="003321F5">
        <w:t>145B of the Act whether or not to consent to the transfer of</w:t>
      </w:r>
      <w:r w:rsidR="00345842" w:rsidRPr="003321F5">
        <w:t xml:space="preserve"> an approval</w:t>
      </w:r>
      <w:r w:rsidRPr="003321F5">
        <w:t>, the request must be accompanied by a fee of $1</w:t>
      </w:r>
      <w:r w:rsidR="00CE47F1" w:rsidRPr="003321F5">
        <w:t>,</w:t>
      </w:r>
      <w:r w:rsidRPr="003321F5">
        <w:t>967</w:t>
      </w:r>
      <w:r w:rsidR="00C6748D" w:rsidRPr="003321F5">
        <w:t>.00</w:t>
      </w:r>
      <w:r w:rsidRPr="003321F5">
        <w:t>.</w:t>
      </w:r>
    </w:p>
    <w:p w:rsidR="00971A92" w:rsidRPr="003321F5" w:rsidRDefault="00971A92" w:rsidP="00971A92">
      <w:pPr>
        <w:pStyle w:val="notetext"/>
      </w:pPr>
      <w:r w:rsidRPr="003321F5">
        <w:t>Note:</w:t>
      </w:r>
      <w:r w:rsidRPr="003321F5">
        <w:tab/>
        <w:t xml:space="preserve">The Minister need not consider </w:t>
      </w:r>
      <w:r w:rsidR="00203AC9" w:rsidRPr="003321F5">
        <w:t>the</w:t>
      </w:r>
      <w:r w:rsidRPr="003321F5">
        <w:t xml:space="preserve"> request </w:t>
      </w:r>
      <w:r w:rsidR="00C42C9D" w:rsidRPr="003321F5">
        <w:t xml:space="preserve">if it is </w:t>
      </w:r>
      <w:r w:rsidRPr="003321F5">
        <w:t>not accompanied by the fee. See section</w:t>
      </w:r>
      <w:r w:rsidR="003321F5" w:rsidRPr="003321F5">
        <w:t> </w:t>
      </w:r>
      <w:r w:rsidRPr="003321F5">
        <w:t>521A of the Act</w:t>
      </w:r>
      <w:r w:rsidR="005F6E62" w:rsidRPr="003321F5">
        <w:t>.</w:t>
      </w:r>
    </w:p>
    <w:p w:rsidR="000F03B3" w:rsidRPr="003321F5" w:rsidRDefault="000F03B3" w:rsidP="00A27827">
      <w:pPr>
        <w:pStyle w:val="ActHead5"/>
      </w:pPr>
      <w:bookmarkStart w:id="28" w:name="_Toc460853521"/>
      <w:r w:rsidRPr="003321F5">
        <w:rPr>
          <w:rStyle w:val="CharSectno"/>
        </w:rPr>
        <w:t>5.19D</w:t>
      </w:r>
      <w:r w:rsidRPr="003321F5">
        <w:t xml:space="preserve">  Application to extend period of effect of approval</w:t>
      </w:r>
      <w:bookmarkEnd w:id="28"/>
    </w:p>
    <w:p w:rsidR="000F03B3" w:rsidRPr="003321F5" w:rsidRDefault="000F03B3" w:rsidP="000F03B3">
      <w:pPr>
        <w:pStyle w:val="subsection"/>
      </w:pPr>
      <w:r w:rsidRPr="003321F5">
        <w:tab/>
      </w:r>
      <w:r w:rsidRPr="003321F5">
        <w:tab/>
        <w:t>If a person applies to the Minister under subsection</w:t>
      </w:r>
      <w:r w:rsidR="003321F5" w:rsidRPr="003321F5">
        <w:t> </w:t>
      </w:r>
      <w:r w:rsidRPr="003321F5">
        <w:t>145C(1) of the Act to extend the period for which an approval has effect, the application must be accompanied by a fee of $2</w:t>
      </w:r>
      <w:r w:rsidR="00CE47F1" w:rsidRPr="003321F5">
        <w:t>,</w:t>
      </w:r>
      <w:r w:rsidRPr="003321F5">
        <w:t>690</w:t>
      </w:r>
      <w:r w:rsidR="00C6748D" w:rsidRPr="003321F5">
        <w:t>.00</w:t>
      </w:r>
      <w:r w:rsidRPr="003321F5">
        <w:t>.</w:t>
      </w:r>
    </w:p>
    <w:p w:rsidR="000C0936" w:rsidRPr="003321F5" w:rsidRDefault="000C0936" w:rsidP="000C0936">
      <w:pPr>
        <w:pStyle w:val="notetext"/>
      </w:pPr>
      <w:r w:rsidRPr="003321F5">
        <w:t>Note:</w:t>
      </w:r>
      <w:r w:rsidRPr="003321F5">
        <w:tab/>
        <w:t>T</w:t>
      </w:r>
      <w:r w:rsidR="008A1D00" w:rsidRPr="003321F5">
        <w:t xml:space="preserve">he Minister need not consider </w:t>
      </w:r>
      <w:r w:rsidR="00203AC9" w:rsidRPr="003321F5">
        <w:t>the</w:t>
      </w:r>
      <w:r w:rsidR="008A1D00" w:rsidRPr="003321F5">
        <w:t xml:space="preserve"> application </w:t>
      </w:r>
      <w:r w:rsidRPr="003321F5">
        <w:t>if it is not accompanied by the fee. See section</w:t>
      </w:r>
      <w:r w:rsidR="003321F5" w:rsidRPr="003321F5">
        <w:t> </w:t>
      </w:r>
      <w:r w:rsidRPr="003321F5">
        <w:t>521A of the Act</w:t>
      </w:r>
      <w:r w:rsidR="005F6E62" w:rsidRPr="003321F5">
        <w:t>.</w:t>
      </w:r>
    </w:p>
    <w:p w:rsidR="00A27827" w:rsidRPr="003321F5" w:rsidRDefault="00A27827" w:rsidP="00A27827">
      <w:pPr>
        <w:pStyle w:val="ActHead5"/>
      </w:pPr>
      <w:bookmarkStart w:id="29" w:name="_Toc460853522"/>
      <w:r w:rsidRPr="003321F5">
        <w:rPr>
          <w:rStyle w:val="CharSectno"/>
        </w:rPr>
        <w:t>5.19</w:t>
      </w:r>
      <w:r w:rsidR="000F03B3" w:rsidRPr="003321F5">
        <w:rPr>
          <w:rStyle w:val="CharSectno"/>
        </w:rPr>
        <w:t>E</w:t>
      </w:r>
      <w:r w:rsidRPr="003321F5">
        <w:t xml:space="preserve">  Request to vary proposal to take an action</w:t>
      </w:r>
      <w:bookmarkEnd w:id="29"/>
    </w:p>
    <w:p w:rsidR="00A27827" w:rsidRPr="003321F5" w:rsidRDefault="00AF62D5" w:rsidP="00A27827">
      <w:pPr>
        <w:pStyle w:val="subsection"/>
      </w:pPr>
      <w:r w:rsidRPr="003321F5">
        <w:tab/>
      </w:r>
      <w:r w:rsidRPr="003321F5">
        <w:tab/>
      </w:r>
      <w:r w:rsidR="000F03B3" w:rsidRPr="003321F5">
        <w:t xml:space="preserve">If </w:t>
      </w:r>
      <w:r w:rsidRPr="003321F5">
        <w:t xml:space="preserve">a person requests the Minister </w:t>
      </w:r>
      <w:r w:rsidR="000F03B3" w:rsidRPr="003321F5">
        <w:t>under subsection</w:t>
      </w:r>
      <w:r w:rsidR="003321F5" w:rsidRPr="003321F5">
        <w:t> </w:t>
      </w:r>
      <w:r w:rsidR="000F03B3" w:rsidRPr="003321F5">
        <w:t xml:space="preserve">156A(1) of the Act </w:t>
      </w:r>
      <w:r w:rsidRPr="003321F5">
        <w:t xml:space="preserve">to accept a variation </w:t>
      </w:r>
      <w:r w:rsidR="004D366D" w:rsidRPr="003321F5">
        <w:t>of a proposal</w:t>
      </w:r>
      <w:r w:rsidR="00DF7828" w:rsidRPr="003321F5">
        <w:t xml:space="preserve"> </w:t>
      </w:r>
      <w:r w:rsidR="004D366D" w:rsidRPr="003321F5">
        <w:t>to take an action, the request must be accompanied by a fee of $1</w:t>
      </w:r>
      <w:r w:rsidR="00CE47F1" w:rsidRPr="003321F5">
        <w:t>,</w:t>
      </w:r>
      <w:r w:rsidR="004D366D" w:rsidRPr="003321F5">
        <w:t>353</w:t>
      </w:r>
      <w:r w:rsidR="00C6748D" w:rsidRPr="003321F5">
        <w:t>.00</w:t>
      </w:r>
      <w:r w:rsidR="004D366D" w:rsidRPr="003321F5">
        <w:t>.</w:t>
      </w:r>
    </w:p>
    <w:p w:rsidR="000C0936" w:rsidRPr="003321F5" w:rsidRDefault="000C0936" w:rsidP="000C0936">
      <w:pPr>
        <w:pStyle w:val="notetext"/>
      </w:pPr>
      <w:r w:rsidRPr="003321F5">
        <w:t>Note:</w:t>
      </w:r>
      <w:r w:rsidRPr="003321F5">
        <w:tab/>
        <w:t xml:space="preserve">The Minister need not consider </w:t>
      </w:r>
      <w:r w:rsidR="00924582" w:rsidRPr="003321F5">
        <w:t>the</w:t>
      </w:r>
      <w:r w:rsidRPr="003321F5">
        <w:t xml:space="preserve"> request if it is not accompanied by the fee. See section</w:t>
      </w:r>
      <w:r w:rsidR="003321F5" w:rsidRPr="003321F5">
        <w:t> </w:t>
      </w:r>
      <w:r w:rsidRPr="003321F5">
        <w:t>521A of the Act</w:t>
      </w:r>
      <w:r w:rsidR="005F6E62" w:rsidRPr="003321F5">
        <w:t>.</w:t>
      </w:r>
    </w:p>
    <w:p w:rsidR="00115011" w:rsidRPr="003321F5" w:rsidRDefault="009E1E71" w:rsidP="00D84A39">
      <w:pPr>
        <w:pStyle w:val="ItemHead"/>
      </w:pPr>
      <w:r w:rsidRPr="003321F5">
        <w:t>76</w:t>
      </w:r>
      <w:r w:rsidR="00115011" w:rsidRPr="003321F5">
        <w:t xml:space="preserve">  Regulation</w:t>
      </w:r>
      <w:r w:rsidR="003321F5" w:rsidRPr="003321F5">
        <w:t> </w:t>
      </w:r>
      <w:r w:rsidR="00115011" w:rsidRPr="003321F5">
        <w:t>5.22A</w:t>
      </w:r>
    </w:p>
    <w:p w:rsidR="00115011" w:rsidRPr="003321F5" w:rsidRDefault="00115011" w:rsidP="00115011">
      <w:pPr>
        <w:pStyle w:val="Item"/>
      </w:pPr>
      <w:r w:rsidRPr="003321F5">
        <w:t xml:space="preserve">Before </w:t>
      </w:r>
      <w:r w:rsidR="00A919F9" w:rsidRPr="003321F5">
        <w:t>“</w:t>
      </w:r>
      <w:r w:rsidRPr="003321F5">
        <w:t>For</w:t>
      </w:r>
      <w:r w:rsidR="00A919F9" w:rsidRPr="003321F5">
        <w:t>”</w:t>
      </w:r>
      <w:r w:rsidRPr="003321F5">
        <w:t xml:space="preserve">, insert </w:t>
      </w:r>
      <w:r w:rsidR="00A919F9" w:rsidRPr="003321F5">
        <w:t>“</w:t>
      </w:r>
      <w:r w:rsidRPr="003321F5">
        <w:t>(1)</w:t>
      </w:r>
      <w:r w:rsidR="00A919F9" w:rsidRPr="003321F5">
        <w:t>”</w:t>
      </w:r>
      <w:r w:rsidRPr="003321F5">
        <w:t>.</w:t>
      </w:r>
    </w:p>
    <w:p w:rsidR="00D84A39" w:rsidRPr="003321F5" w:rsidRDefault="009E1E71" w:rsidP="00D84A39">
      <w:pPr>
        <w:pStyle w:val="ItemHead"/>
      </w:pPr>
      <w:r w:rsidRPr="003321F5">
        <w:t>77</w:t>
      </w:r>
      <w:r w:rsidR="00D84A39" w:rsidRPr="003321F5">
        <w:t xml:space="preserve">  </w:t>
      </w:r>
      <w:r w:rsidR="00115011" w:rsidRPr="003321F5">
        <w:t>At the end of</w:t>
      </w:r>
      <w:r w:rsidR="00521AEB" w:rsidRPr="003321F5">
        <w:t xml:space="preserve"> </w:t>
      </w:r>
      <w:r w:rsidR="00D84A39" w:rsidRPr="003321F5">
        <w:t>regulation</w:t>
      </w:r>
      <w:r w:rsidR="003321F5" w:rsidRPr="003321F5">
        <w:t> </w:t>
      </w:r>
      <w:r w:rsidR="00D84A39" w:rsidRPr="003321F5">
        <w:t>5.22</w:t>
      </w:r>
      <w:r w:rsidR="00115011" w:rsidRPr="003321F5">
        <w:t>A</w:t>
      </w:r>
      <w:r w:rsidR="00D84A39" w:rsidRPr="003321F5">
        <w:t xml:space="preserve"> (before the note)</w:t>
      </w:r>
    </w:p>
    <w:p w:rsidR="00D84A39" w:rsidRPr="003321F5" w:rsidRDefault="00D84A39" w:rsidP="00D84A39">
      <w:pPr>
        <w:pStyle w:val="Item"/>
      </w:pPr>
      <w:r w:rsidRPr="003321F5">
        <w:t>Insert:</w:t>
      </w:r>
    </w:p>
    <w:p w:rsidR="00C53054" w:rsidRPr="003321F5" w:rsidRDefault="00C53054" w:rsidP="00D84A39">
      <w:pPr>
        <w:pStyle w:val="subsection"/>
      </w:pPr>
      <w:r w:rsidRPr="003321F5">
        <w:tab/>
        <w:t>(</w:t>
      </w:r>
      <w:r w:rsidR="00115011" w:rsidRPr="003321F5">
        <w:t>2</w:t>
      </w:r>
      <w:r w:rsidRPr="003321F5">
        <w:t>)</w:t>
      </w:r>
      <w:r w:rsidRPr="003321F5">
        <w:tab/>
        <w:t>The Department must, on behalf of the Commonwealth, refund the amount of a referral fee paid by a person if:</w:t>
      </w:r>
    </w:p>
    <w:p w:rsidR="00C53054" w:rsidRPr="003321F5" w:rsidRDefault="00C53054" w:rsidP="00C53054">
      <w:pPr>
        <w:pStyle w:val="paragraph"/>
      </w:pPr>
      <w:r w:rsidRPr="003321F5">
        <w:tab/>
        <w:t>(a)</w:t>
      </w:r>
      <w:r w:rsidRPr="003321F5">
        <w:tab/>
        <w:t>the referral is withdrawn under section</w:t>
      </w:r>
      <w:r w:rsidR="003321F5" w:rsidRPr="003321F5">
        <w:t> </w:t>
      </w:r>
      <w:r w:rsidRPr="003321F5">
        <w:t>170C of the Act</w:t>
      </w:r>
      <w:r w:rsidR="00A021A1" w:rsidRPr="003321F5">
        <w:t xml:space="preserve"> before the Minister publishe</w:t>
      </w:r>
      <w:r w:rsidR="005756C6" w:rsidRPr="003321F5">
        <w:t>s</w:t>
      </w:r>
      <w:r w:rsidR="00A021A1" w:rsidRPr="003321F5">
        <w:t xml:space="preserve"> an invitation under paragraph</w:t>
      </w:r>
      <w:r w:rsidR="003321F5" w:rsidRPr="003321F5">
        <w:t> </w:t>
      </w:r>
      <w:r w:rsidR="00A021A1" w:rsidRPr="003321F5">
        <w:t>7</w:t>
      </w:r>
      <w:r w:rsidR="00BC79B7" w:rsidRPr="003321F5">
        <w:t>4</w:t>
      </w:r>
      <w:r w:rsidR="00A021A1" w:rsidRPr="003321F5">
        <w:t>(3)(b) of the Act in relation to the referral</w:t>
      </w:r>
      <w:r w:rsidRPr="003321F5">
        <w:t>; and</w:t>
      </w:r>
    </w:p>
    <w:p w:rsidR="00A021A1" w:rsidRPr="003321F5" w:rsidRDefault="00C53054" w:rsidP="00A021A1">
      <w:pPr>
        <w:pStyle w:val="paragraph"/>
      </w:pPr>
      <w:r w:rsidRPr="003321F5">
        <w:tab/>
        <w:t>(b)</w:t>
      </w:r>
      <w:r w:rsidRPr="003321F5">
        <w:tab/>
        <w:t>the Minister is satisfied that</w:t>
      </w:r>
      <w:r w:rsidR="00A021A1" w:rsidRPr="003321F5">
        <w:t>:</w:t>
      </w:r>
    </w:p>
    <w:p w:rsidR="00A021A1" w:rsidRPr="003321F5" w:rsidRDefault="00A021A1" w:rsidP="00A021A1">
      <w:pPr>
        <w:pStyle w:val="paragraphsub"/>
      </w:pPr>
      <w:r w:rsidRPr="003321F5">
        <w:tab/>
        <w:t>(i)</w:t>
      </w:r>
      <w:r w:rsidRPr="003321F5">
        <w:tab/>
      </w:r>
      <w:r w:rsidR="00DA113F" w:rsidRPr="003321F5">
        <w:t xml:space="preserve">there has not been any </w:t>
      </w:r>
      <w:r w:rsidR="008D145F" w:rsidRPr="003321F5">
        <w:t xml:space="preserve">substantial work </w:t>
      </w:r>
      <w:r w:rsidR="00DA113F" w:rsidRPr="003321F5">
        <w:t xml:space="preserve">done </w:t>
      </w:r>
      <w:r w:rsidR="008D145F" w:rsidRPr="003321F5">
        <w:t>on the referral</w:t>
      </w:r>
      <w:r w:rsidRPr="003321F5">
        <w:t>; and</w:t>
      </w:r>
    </w:p>
    <w:p w:rsidR="00C53054" w:rsidRPr="003321F5" w:rsidRDefault="00A021A1" w:rsidP="00A021A1">
      <w:pPr>
        <w:pStyle w:val="paragraphsub"/>
      </w:pPr>
      <w:r w:rsidRPr="003321F5">
        <w:tab/>
        <w:t>(ii)</w:t>
      </w:r>
      <w:r w:rsidRPr="003321F5">
        <w:tab/>
      </w:r>
      <w:r w:rsidR="005B1326" w:rsidRPr="003321F5">
        <w:t>in the circumstances it would be appropriate</w:t>
      </w:r>
      <w:r w:rsidR="00B16E8F" w:rsidRPr="003321F5">
        <w:t xml:space="preserve"> to refund the referral fee.</w:t>
      </w:r>
    </w:p>
    <w:p w:rsidR="00A01B34" w:rsidRPr="003321F5" w:rsidRDefault="009E1E71" w:rsidP="005F0293">
      <w:pPr>
        <w:pStyle w:val="ItemHead"/>
      </w:pPr>
      <w:r w:rsidRPr="003321F5">
        <w:t>78</w:t>
      </w:r>
      <w:r w:rsidR="00A01B34" w:rsidRPr="003321F5">
        <w:t xml:space="preserve">  </w:t>
      </w:r>
      <w:r w:rsidR="007E4E24" w:rsidRPr="003321F5">
        <w:t>In the appropriate position in</w:t>
      </w:r>
      <w:r w:rsidR="00A01B34" w:rsidRPr="003321F5">
        <w:t xml:space="preserve"> Part</w:t>
      </w:r>
      <w:r w:rsidR="003321F5" w:rsidRPr="003321F5">
        <w:t> </w:t>
      </w:r>
      <w:r w:rsidR="00A01B34" w:rsidRPr="003321F5">
        <w:t>20</w:t>
      </w:r>
    </w:p>
    <w:p w:rsidR="00A01B34" w:rsidRPr="003321F5" w:rsidRDefault="00091B6A" w:rsidP="00A01B34">
      <w:pPr>
        <w:pStyle w:val="Item"/>
      </w:pPr>
      <w:r w:rsidRPr="003321F5">
        <w:t>Insert</w:t>
      </w:r>
      <w:r w:rsidR="00A01B34" w:rsidRPr="003321F5">
        <w:t>:</w:t>
      </w:r>
    </w:p>
    <w:p w:rsidR="00A01B34" w:rsidRPr="003321F5" w:rsidRDefault="00A01B34" w:rsidP="00A01B34">
      <w:pPr>
        <w:pStyle w:val="ActHead5"/>
      </w:pPr>
      <w:bookmarkStart w:id="30" w:name="_Toc460853523"/>
      <w:r w:rsidRPr="003321F5">
        <w:rPr>
          <w:rStyle w:val="CharSectno"/>
        </w:rPr>
        <w:t>20.11</w:t>
      </w:r>
      <w:r w:rsidRPr="003321F5">
        <w:t xml:space="preserve">  Amendments made by the Environment Protection and Biodiversity Conservation Amendment (Cost Recovery) Regulation</w:t>
      </w:r>
      <w:r w:rsidR="003321F5" w:rsidRPr="003321F5">
        <w:t> </w:t>
      </w:r>
      <w:r w:rsidRPr="003321F5">
        <w:t>2016</w:t>
      </w:r>
      <w:bookmarkEnd w:id="30"/>
    </w:p>
    <w:p w:rsidR="00571028" w:rsidRPr="003321F5" w:rsidRDefault="00571028" w:rsidP="00571028">
      <w:pPr>
        <w:pStyle w:val="SubsectionHead"/>
      </w:pPr>
      <w:r w:rsidRPr="003321F5">
        <w:t>Fees paid after commencement time</w:t>
      </w:r>
    </w:p>
    <w:p w:rsidR="00E658D7" w:rsidRPr="003321F5" w:rsidRDefault="00E658D7" w:rsidP="00E658D7">
      <w:pPr>
        <w:pStyle w:val="subsection"/>
      </w:pPr>
      <w:r w:rsidRPr="003321F5">
        <w:tab/>
        <w:t>(1)</w:t>
      </w:r>
      <w:r w:rsidRPr="003321F5">
        <w:tab/>
        <w:t>The amendments made by Schedule</w:t>
      </w:r>
      <w:r w:rsidR="003321F5" w:rsidRPr="003321F5">
        <w:t> </w:t>
      </w:r>
      <w:r w:rsidRPr="003321F5">
        <w:t xml:space="preserve">1 to the </w:t>
      </w:r>
      <w:r w:rsidRPr="003321F5">
        <w:rPr>
          <w:i/>
        </w:rPr>
        <w:t>Environment Protection and Biodiversity Conservation Amendment (Cost Recovery) Regulation</w:t>
      </w:r>
      <w:r w:rsidR="003321F5" w:rsidRPr="003321F5">
        <w:rPr>
          <w:i/>
        </w:rPr>
        <w:t> </w:t>
      </w:r>
      <w:r w:rsidRPr="003321F5">
        <w:rPr>
          <w:i/>
        </w:rPr>
        <w:t xml:space="preserve">2016 </w:t>
      </w:r>
      <w:r w:rsidR="00000BD4" w:rsidRPr="003321F5">
        <w:t xml:space="preserve">apply in relation to any fee </w:t>
      </w:r>
      <w:r w:rsidRPr="003321F5">
        <w:t xml:space="preserve">paid after the </w:t>
      </w:r>
      <w:r w:rsidR="000E1B25" w:rsidRPr="003321F5">
        <w:t xml:space="preserve">commencement </w:t>
      </w:r>
      <w:r w:rsidR="0025697B" w:rsidRPr="003321F5">
        <w:t>time</w:t>
      </w:r>
      <w:r w:rsidRPr="003321F5">
        <w:t>.</w:t>
      </w:r>
    </w:p>
    <w:p w:rsidR="008C6BDC" w:rsidRPr="003321F5" w:rsidRDefault="008C6BDC" w:rsidP="008C6BDC">
      <w:pPr>
        <w:pStyle w:val="subsection"/>
      </w:pPr>
      <w:r w:rsidRPr="003321F5">
        <w:tab/>
        <w:t>(2)</w:t>
      </w:r>
      <w:r w:rsidRPr="003321F5">
        <w:tab/>
        <w:t>Subregulation (1) applies regardless of whether other fees</w:t>
      </w:r>
      <w:r w:rsidR="00D90C69" w:rsidRPr="003321F5">
        <w:t xml:space="preserve"> </w:t>
      </w:r>
      <w:r w:rsidR="00033DF0" w:rsidRPr="003321F5">
        <w:t>have been</w:t>
      </w:r>
      <w:r w:rsidRPr="003321F5">
        <w:t xml:space="preserve"> paid before the commencement time</w:t>
      </w:r>
      <w:r w:rsidR="00033DF0" w:rsidRPr="003321F5">
        <w:t xml:space="preserve"> in relation to the same assessment of an action.</w:t>
      </w:r>
    </w:p>
    <w:p w:rsidR="008C6BDC" w:rsidRPr="003321F5" w:rsidRDefault="00A85C68" w:rsidP="00A85C68">
      <w:pPr>
        <w:pStyle w:val="subsection"/>
      </w:pPr>
      <w:r w:rsidRPr="003321F5">
        <w:tab/>
        <w:t>(</w:t>
      </w:r>
      <w:r w:rsidR="008358A4" w:rsidRPr="003321F5">
        <w:t>3</w:t>
      </w:r>
      <w:r w:rsidRPr="003321F5">
        <w:t>)</w:t>
      </w:r>
      <w:r w:rsidRPr="003321F5">
        <w:tab/>
      </w:r>
      <w:r w:rsidR="008C6BDC" w:rsidRPr="003321F5">
        <w:t>If a person was given a fee schedule under regulation</w:t>
      </w:r>
      <w:r w:rsidR="003321F5" w:rsidRPr="003321F5">
        <w:t> </w:t>
      </w:r>
      <w:r w:rsidR="008C6BDC" w:rsidRPr="003321F5">
        <w:t>5.12J setting out</w:t>
      </w:r>
      <w:r w:rsidR="008358A4" w:rsidRPr="003321F5">
        <w:t xml:space="preserve"> a</w:t>
      </w:r>
      <w:r w:rsidR="008C6BDC" w:rsidRPr="003321F5">
        <w:t xml:space="preserve"> fee that, at the commencement time, ha</w:t>
      </w:r>
      <w:r w:rsidR="008358A4" w:rsidRPr="003321F5">
        <w:t>s</w:t>
      </w:r>
      <w:r w:rsidR="008C6BDC" w:rsidRPr="003321F5">
        <w:t xml:space="preserve"> not been paid</w:t>
      </w:r>
      <w:r w:rsidR="00993D7B" w:rsidRPr="003321F5">
        <w:t xml:space="preserve">, </w:t>
      </w:r>
      <w:r w:rsidR="008C6BDC" w:rsidRPr="003321F5">
        <w:t xml:space="preserve">the Minister must give the person a revised fee schedule setting out the amount of </w:t>
      </w:r>
      <w:r w:rsidR="008358A4" w:rsidRPr="003321F5">
        <w:t>the</w:t>
      </w:r>
      <w:r w:rsidR="008C6BDC" w:rsidRPr="003321F5">
        <w:t xml:space="preserve"> fee </w:t>
      </w:r>
      <w:r w:rsidR="008358A4" w:rsidRPr="003321F5">
        <w:t xml:space="preserve">worked out </w:t>
      </w:r>
      <w:r w:rsidR="008C6BDC" w:rsidRPr="003321F5">
        <w:t xml:space="preserve">in accordance with </w:t>
      </w:r>
      <w:r w:rsidR="008358A4" w:rsidRPr="003321F5">
        <w:t>Division</w:t>
      </w:r>
      <w:r w:rsidR="003321F5" w:rsidRPr="003321F5">
        <w:t> </w:t>
      </w:r>
      <w:r w:rsidR="008358A4" w:rsidRPr="003321F5">
        <w:t>5.6 of Part</w:t>
      </w:r>
      <w:r w:rsidR="003321F5" w:rsidRPr="003321F5">
        <w:t> </w:t>
      </w:r>
      <w:r w:rsidR="008358A4" w:rsidRPr="003321F5">
        <w:t>5 as amended</w:t>
      </w:r>
      <w:r w:rsidR="008C6BDC" w:rsidRPr="003321F5">
        <w:t>.</w:t>
      </w:r>
      <w:r w:rsidR="000A1B61" w:rsidRPr="003321F5">
        <w:t xml:space="preserve"> If the Minister does so, the revised fee schedule is taken to have been given under regulation</w:t>
      </w:r>
      <w:r w:rsidR="003321F5" w:rsidRPr="003321F5">
        <w:t> </w:t>
      </w:r>
      <w:r w:rsidR="000A1B61" w:rsidRPr="003321F5">
        <w:t>5.12J.</w:t>
      </w:r>
    </w:p>
    <w:p w:rsidR="0025697B" w:rsidRPr="003321F5" w:rsidRDefault="008358A4" w:rsidP="00A85C68">
      <w:pPr>
        <w:pStyle w:val="subsection"/>
      </w:pPr>
      <w:r w:rsidRPr="003321F5">
        <w:tab/>
        <w:t>(4)</w:t>
      </w:r>
      <w:r w:rsidRPr="003321F5">
        <w:tab/>
      </w:r>
      <w:r w:rsidR="0025697B" w:rsidRPr="003321F5">
        <w:t>A person is not entitled</w:t>
      </w:r>
      <w:r w:rsidRPr="003321F5">
        <w:t xml:space="preserve"> under regulation</w:t>
      </w:r>
      <w:r w:rsidR="003321F5" w:rsidRPr="003321F5">
        <w:t> </w:t>
      </w:r>
      <w:r w:rsidRPr="003321F5">
        <w:t>5.22</w:t>
      </w:r>
      <w:r w:rsidR="0025697B" w:rsidRPr="003321F5">
        <w:t xml:space="preserve"> to a refund of a fee paid before the commencement </w:t>
      </w:r>
      <w:r w:rsidR="008C6BDC" w:rsidRPr="003321F5">
        <w:t>time</w:t>
      </w:r>
      <w:r w:rsidR="0025697B" w:rsidRPr="003321F5">
        <w:t xml:space="preserve"> </w:t>
      </w:r>
      <w:r w:rsidRPr="003321F5">
        <w:t>only on the basis that</w:t>
      </w:r>
      <w:r w:rsidR="0025697B" w:rsidRPr="003321F5">
        <w:t xml:space="preserve"> the fee</w:t>
      </w:r>
      <w:r w:rsidR="006D2AFC" w:rsidRPr="003321F5">
        <w:t xml:space="preserve"> </w:t>
      </w:r>
      <w:r w:rsidRPr="003321F5">
        <w:t>would have been lower had it been paid</w:t>
      </w:r>
      <w:r w:rsidR="0025697B" w:rsidRPr="003321F5">
        <w:t xml:space="preserve"> after the commencement time.</w:t>
      </w:r>
    </w:p>
    <w:p w:rsidR="00571028" w:rsidRPr="003321F5" w:rsidRDefault="00571028" w:rsidP="00571028">
      <w:pPr>
        <w:pStyle w:val="SubsectionHead"/>
      </w:pPr>
      <w:r w:rsidRPr="003321F5">
        <w:t>Fee waiver</w:t>
      </w:r>
    </w:p>
    <w:p w:rsidR="008358A4" w:rsidRPr="003321F5" w:rsidRDefault="008358A4" w:rsidP="00E658D7">
      <w:pPr>
        <w:pStyle w:val="subsection"/>
      </w:pPr>
      <w:r w:rsidRPr="003321F5">
        <w:tab/>
        <w:t>(5)</w:t>
      </w:r>
      <w:r w:rsidRPr="003321F5">
        <w:tab/>
        <w:t>The Minister may, at the Minis</w:t>
      </w:r>
      <w:r w:rsidR="005C460E" w:rsidRPr="003321F5">
        <w:t>ter</w:t>
      </w:r>
      <w:r w:rsidR="00A919F9" w:rsidRPr="003321F5">
        <w:t>’</w:t>
      </w:r>
      <w:r w:rsidR="005C460E" w:rsidRPr="003321F5">
        <w:t>s discretion,</w:t>
      </w:r>
      <w:r w:rsidRPr="003321F5">
        <w:t xml:space="preserve"> waive a fee that would otherwise be paid after the commencement time in relation to an assessment of an action.</w:t>
      </w:r>
    </w:p>
    <w:p w:rsidR="008358A4" w:rsidRPr="003321F5" w:rsidRDefault="008358A4" w:rsidP="00E658D7">
      <w:pPr>
        <w:pStyle w:val="subsection"/>
      </w:pPr>
      <w:r w:rsidRPr="003321F5">
        <w:tab/>
        <w:t>(6)</w:t>
      </w:r>
      <w:r w:rsidRPr="003321F5">
        <w:tab/>
        <w:t>In deciding whether to waive a fee</w:t>
      </w:r>
      <w:r w:rsidR="00993D7B" w:rsidRPr="003321F5">
        <w:t xml:space="preserve"> under subregulation</w:t>
      </w:r>
      <w:r w:rsidR="003321F5" w:rsidRPr="003321F5">
        <w:t> </w:t>
      </w:r>
      <w:r w:rsidR="00993D7B" w:rsidRPr="003321F5">
        <w:t>(5)</w:t>
      </w:r>
      <w:r w:rsidRPr="003321F5">
        <w:t xml:space="preserve">, the Minister </w:t>
      </w:r>
      <w:r w:rsidR="00993D7B" w:rsidRPr="003321F5">
        <w:t>must</w:t>
      </w:r>
      <w:r w:rsidRPr="003321F5">
        <w:t xml:space="preserve"> have regard to whether the </w:t>
      </w:r>
      <w:r w:rsidR="0072364C" w:rsidRPr="003321F5">
        <w:t xml:space="preserve">total </w:t>
      </w:r>
      <w:r w:rsidRPr="003321F5">
        <w:t>amount of</w:t>
      </w:r>
      <w:r w:rsidR="00731A9B" w:rsidRPr="003321F5">
        <w:t xml:space="preserve"> the</w:t>
      </w:r>
      <w:r w:rsidRPr="003321F5">
        <w:t xml:space="preserve"> fees payable</w:t>
      </w:r>
      <w:r w:rsidR="0072364C" w:rsidRPr="003321F5">
        <w:t xml:space="preserve"> after the commencement time</w:t>
      </w:r>
      <w:r w:rsidR="00033D44" w:rsidRPr="003321F5">
        <w:t xml:space="preserve"> </w:t>
      </w:r>
      <w:r w:rsidRPr="003321F5">
        <w:t>in relation to the assessment</w:t>
      </w:r>
      <w:r w:rsidR="00033D44" w:rsidRPr="003321F5">
        <w:t xml:space="preserve"> of the action </w:t>
      </w:r>
      <w:r w:rsidRPr="003321F5">
        <w:t xml:space="preserve">is higher than </w:t>
      </w:r>
      <w:r w:rsidR="00731A9B" w:rsidRPr="003321F5">
        <w:t xml:space="preserve">it </w:t>
      </w:r>
      <w:r w:rsidRPr="003321F5">
        <w:t xml:space="preserve">would have been if the </w:t>
      </w:r>
      <w:r w:rsidR="00033D44" w:rsidRPr="003321F5">
        <w:t>amendments had not been made.</w:t>
      </w:r>
    </w:p>
    <w:p w:rsidR="00033D44" w:rsidRPr="003321F5" w:rsidRDefault="00033D44" w:rsidP="00E658D7">
      <w:pPr>
        <w:pStyle w:val="subsection"/>
      </w:pPr>
      <w:r w:rsidRPr="003321F5">
        <w:tab/>
        <w:t>(7)</w:t>
      </w:r>
      <w:r w:rsidRPr="003321F5">
        <w:tab/>
        <w:t>The Minister</w:t>
      </w:r>
      <w:r w:rsidR="00A919F9" w:rsidRPr="003321F5">
        <w:t>’</w:t>
      </w:r>
      <w:r w:rsidRPr="003321F5">
        <w:t>s power under subregulation</w:t>
      </w:r>
      <w:r w:rsidR="003321F5" w:rsidRPr="003321F5">
        <w:t> </w:t>
      </w:r>
      <w:r w:rsidRPr="003321F5">
        <w:t>(5) may only be exercised on the Minister</w:t>
      </w:r>
      <w:r w:rsidR="00A919F9" w:rsidRPr="003321F5">
        <w:t>’</w:t>
      </w:r>
      <w:r w:rsidRPr="003321F5">
        <w:t>s own initiative.</w:t>
      </w:r>
    </w:p>
    <w:p w:rsidR="00571028" w:rsidRPr="003321F5" w:rsidRDefault="00571028" w:rsidP="00571028">
      <w:pPr>
        <w:pStyle w:val="SubsectionHead"/>
      </w:pPr>
      <w:r w:rsidRPr="003321F5">
        <w:t>Determinations</w:t>
      </w:r>
    </w:p>
    <w:p w:rsidR="00571028" w:rsidRPr="003321F5" w:rsidRDefault="000E1B25" w:rsidP="00E658D7">
      <w:pPr>
        <w:pStyle w:val="subsection"/>
      </w:pPr>
      <w:r w:rsidRPr="003321F5">
        <w:tab/>
        <w:t>(</w:t>
      </w:r>
      <w:r w:rsidR="00033D44" w:rsidRPr="003321F5">
        <w:t>8</w:t>
      </w:r>
      <w:r w:rsidRPr="003321F5">
        <w:t>)</w:t>
      </w:r>
      <w:r w:rsidRPr="003321F5">
        <w:tab/>
      </w:r>
      <w:r w:rsidR="00571028" w:rsidRPr="003321F5">
        <w:t xml:space="preserve">A determination in </w:t>
      </w:r>
      <w:r w:rsidR="00C91FE4" w:rsidRPr="003321F5">
        <w:t>force</w:t>
      </w:r>
      <w:r w:rsidR="00571028" w:rsidRPr="003321F5">
        <w:t xml:space="preserve"> under regulation</w:t>
      </w:r>
      <w:r w:rsidR="003321F5" w:rsidRPr="003321F5">
        <w:t> </w:t>
      </w:r>
      <w:r w:rsidR="00571028" w:rsidRPr="003321F5">
        <w:t xml:space="preserve">5.12C, 5.12D, 5.12E, 5.12F or 5.12G immediately before the commencement time continues in </w:t>
      </w:r>
      <w:r w:rsidR="00C91FE4" w:rsidRPr="003321F5">
        <w:t>force</w:t>
      </w:r>
      <w:r w:rsidR="00571028" w:rsidRPr="003321F5">
        <w:t xml:space="preserve"> after the commencement time, as if it had been made under that regulation as amended by Schedule</w:t>
      </w:r>
      <w:r w:rsidR="003321F5" w:rsidRPr="003321F5">
        <w:t> </w:t>
      </w:r>
      <w:r w:rsidR="00571028" w:rsidRPr="003321F5">
        <w:t xml:space="preserve">1 to the </w:t>
      </w:r>
      <w:r w:rsidR="00571028" w:rsidRPr="003321F5">
        <w:rPr>
          <w:i/>
        </w:rPr>
        <w:t>Environment Protection and Biodiversity Conservation Amendment (Cost Recovery) Regulation</w:t>
      </w:r>
      <w:r w:rsidR="003321F5" w:rsidRPr="003321F5">
        <w:rPr>
          <w:i/>
        </w:rPr>
        <w:t> </w:t>
      </w:r>
      <w:r w:rsidR="00571028" w:rsidRPr="003321F5">
        <w:rPr>
          <w:i/>
        </w:rPr>
        <w:t>2016</w:t>
      </w:r>
      <w:r w:rsidR="00571028" w:rsidRPr="003321F5">
        <w:t>.</w:t>
      </w:r>
    </w:p>
    <w:p w:rsidR="00571028" w:rsidRPr="003321F5" w:rsidRDefault="00571028" w:rsidP="00571028">
      <w:pPr>
        <w:pStyle w:val="SubsectionHead"/>
      </w:pPr>
      <w:r w:rsidRPr="003321F5">
        <w:t>Delegations</w:t>
      </w:r>
    </w:p>
    <w:p w:rsidR="00571028" w:rsidRPr="003321F5" w:rsidRDefault="00571028" w:rsidP="00571028">
      <w:pPr>
        <w:pStyle w:val="subsection"/>
      </w:pPr>
      <w:r w:rsidRPr="003321F5">
        <w:tab/>
        <w:t>(9)</w:t>
      </w:r>
      <w:r w:rsidRPr="003321F5">
        <w:tab/>
      </w:r>
      <w:r w:rsidR="0015489A" w:rsidRPr="003321F5">
        <w:t>If a</w:t>
      </w:r>
      <w:r w:rsidR="00C91FE4" w:rsidRPr="003321F5">
        <w:t xml:space="preserve"> delegation by the Minister of a power or function under a provision of Division</w:t>
      </w:r>
      <w:r w:rsidR="003321F5" w:rsidRPr="003321F5">
        <w:t> </w:t>
      </w:r>
      <w:r w:rsidR="00C91FE4" w:rsidRPr="003321F5">
        <w:t>5.6 of these Regulations</w:t>
      </w:r>
      <w:r w:rsidR="0015489A" w:rsidRPr="003321F5">
        <w:t xml:space="preserve"> was </w:t>
      </w:r>
      <w:r w:rsidR="00C91FE4" w:rsidRPr="003321F5">
        <w:t>in force immediately before the commencement time</w:t>
      </w:r>
      <w:r w:rsidR="0015489A" w:rsidRPr="003321F5">
        <w:t>, the delegation</w:t>
      </w:r>
      <w:r w:rsidR="00C91FE4" w:rsidRPr="003321F5">
        <w:t xml:space="preserve"> continues in force after the commencement time as if it were a delegation of the power or function under the provision of Division</w:t>
      </w:r>
      <w:r w:rsidR="003321F5" w:rsidRPr="003321F5">
        <w:t> </w:t>
      </w:r>
      <w:r w:rsidR="00C91FE4" w:rsidRPr="003321F5">
        <w:t>5.6 as amended by Schedule</w:t>
      </w:r>
      <w:r w:rsidR="003321F5" w:rsidRPr="003321F5">
        <w:t> </w:t>
      </w:r>
      <w:r w:rsidR="00C91FE4" w:rsidRPr="003321F5">
        <w:t xml:space="preserve">1 to the </w:t>
      </w:r>
      <w:r w:rsidR="00C91FE4" w:rsidRPr="003321F5">
        <w:rPr>
          <w:i/>
        </w:rPr>
        <w:t>Environment Protection and Biodiversity Conservation Amendment (Cost Recovery) Regulation</w:t>
      </w:r>
      <w:r w:rsidR="003321F5" w:rsidRPr="003321F5">
        <w:rPr>
          <w:i/>
        </w:rPr>
        <w:t> </w:t>
      </w:r>
      <w:r w:rsidR="00C91FE4" w:rsidRPr="003321F5">
        <w:rPr>
          <w:i/>
        </w:rPr>
        <w:t>2016</w:t>
      </w:r>
      <w:r w:rsidR="00C91FE4" w:rsidRPr="003321F5">
        <w:t>.</w:t>
      </w:r>
    </w:p>
    <w:p w:rsidR="003F5D81" w:rsidRPr="003321F5" w:rsidRDefault="003F5D81" w:rsidP="003F5D81">
      <w:pPr>
        <w:pStyle w:val="SubsectionHead"/>
      </w:pPr>
      <w:r w:rsidRPr="003321F5">
        <w:t>Definitions</w:t>
      </w:r>
    </w:p>
    <w:p w:rsidR="0025697B" w:rsidRPr="003321F5" w:rsidRDefault="003F5D81" w:rsidP="003F5D81">
      <w:pPr>
        <w:pStyle w:val="subsection"/>
      </w:pPr>
      <w:r w:rsidRPr="003321F5">
        <w:tab/>
        <w:t>(10)</w:t>
      </w:r>
      <w:r w:rsidRPr="003321F5">
        <w:tab/>
      </w:r>
      <w:r w:rsidR="0025697B" w:rsidRPr="003321F5">
        <w:t>In this section:</w:t>
      </w:r>
    </w:p>
    <w:p w:rsidR="0025697B" w:rsidRPr="003321F5" w:rsidRDefault="0025697B" w:rsidP="0025697B">
      <w:pPr>
        <w:pStyle w:val="Definition"/>
      </w:pPr>
      <w:r w:rsidRPr="003321F5">
        <w:rPr>
          <w:b/>
          <w:i/>
        </w:rPr>
        <w:t>commencement time</w:t>
      </w:r>
      <w:r w:rsidRPr="003321F5">
        <w:t xml:space="preserve"> means the start of the day that Schedule</w:t>
      </w:r>
      <w:r w:rsidR="003321F5" w:rsidRPr="003321F5">
        <w:t> </w:t>
      </w:r>
      <w:r w:rsidRPr="003321F5">
        <w:t xml:space="preserve">1 to the </w:t>
      </w:r>
      <w:r w:rsidRPr="003321F5">
        <w:rPr>
          <w:i/>
        </w:rPr>
        <w:t>Environment Protection and Biodiversity Conservation Amendment (Cost Recovery) Regulation</w:t>
      </w:r>
      <w:r w:rsidR="003321F5" w:rsidRPr="003321F5">
        <w:rPr>
          <w:i/>
        </w:rPr>
        <w:t> </w:t>
      </w:r>
      <w:r w:rsidRPr="003321F5">
        <w:rPr>
          <w:i/>
        </w:rPr>
        <w:t xml:space="preserve">2016 </w:t>
      </w:r>
      <w:r w:rsidRPr="003321F5">
        <w:t>commences.</w:t>
      </w:r>
    </w:p>
    <w:p w:rsidR="002C23C8" w:rsidRPr="003321F5" w:rsidRDefault="002C23C8" w:rsidP="002C23C8">
      <w:pPr>
        <w:pStyle w:val="notetext"/>
      </w:pPr>
      <w:r w:rsidRPr="003321F5">
        <w:t>Note:</w:t>
      </w:r>
      <w:r w:rsidRPr="003321F5">
        <w:tab/>
        <w:t>Schedule</w:t>
      </w:r>
      <w:r w:rsidR="003321F5" w:rsidRPr="003321F5">
        <w:t> </w:t>
      </w:r>
      <w:r w:rsidRPr="003321F5">
        <w:t xml:space="preserve">1 to the </w:t>
      </w:r>
      <w:r w:rsidRPr="003321F5">
        <w:rPr>
          <w:i/>
        </w:rPr>
        <w:t>Environment Protection and Biodiversity Conservation Amendment (Cost Recovery) Regulation</w:t>
      </w:r>
      <w:r w:rsidR="003321F5" w:rsidRPr="003321F5">
        <w:rPr>
          <w:i/>
        </w:rPr>
        <w:t> </w:t>
      </w:r>
      <w:r w:rsidRPr="003321F5">
        <w:rPr>
          <w:i/>
        </w:rPr>
        <w:t xml:space="preserve">2016 </w:t>
      </w:r>
      <w:r w:rsidRPr="003321F5">
        <w:t>commences on 1</w:t>
      </w:r>
      <w:r w:rsidR="003321F5" w:rsidRPr="003321F5">
        <w:t> </w:t>
      </w:r>
      <w:r w:rsidRPr="003321F5">
        <w:t>October 2016.</w:t>
      </w:r>
    </w:p>
    <w:p w:rsidR="00D90C69" w:rsidRPr="003321F5" w:rsidRDefault="00D90C69" w:rsidP="00D90C69">
      <w:pPr>
        <w:pStyle w:val="Definition"/>
      </w:pPr>
      <w:r w:rsidRPr="003321F5">
        <w:rPr>
          <w:b/>
          <w:i/>
        </w:rPr>
        <w:t>fee</w:t>
      </w:r>
      <w:r w:rsidRPr="003321F5">
        <w:t xml:space="preserve"> includes part of a fee.</w:t>
      </w:r>
    </w:p>
    <w:sectPr w:rsidR="00D90C69" w:rsidRPr="003321F5" w:rsidSect="00CB7063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2C" w:rsidRDefault="00907C2C" w:rsidP="0048364F">
      <w:pPr>
        <w:spacing w:line="240" w:lineRule="auto"/>
      </w:pPr>
      <w:r>
        <w:separator/>
      </w:r>
    </w:p>
  </w:endnote>
  <w:endnote w:type="continuationSeparator" w:id="0">
    <w:p w:rsidR="00907C2C" w:rsidRDefault="00907C2C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2C" w:rsidRPr="00CB7063" w:rsidRDefault="00907C2C" w:rsidP="00CB706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CB7063">
      <w:rPr>
        <w:i/>
        <w:sz w:val="18"/>
      </w:rPr>
      <w:t xml:space="preserve"> </w:t>
    </w:r>
    <w:r w:rsidR="00CB7063" w:rsidRPr="00CB7063">
      <w:rPr>
        <w:i/>
        <w:sz w:val="18"/>
      </w:rPr>
      <w:t>OPC61419 -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63" w:rsidRDefault="00CB7063" w:rsidP="00CB7063">
    <w:pPr>
      <w:pStyle w:val="Footer"/>
    </w:pPr>
    <w:r w:rsidRPr="00CB7063">
      <w:rPr>
        <w:i/>
        <w:sz w:val="18"/>
      </w:rPr>
      <w:t>OPC61419 -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2C" w:rsidRPr="00CB7063" w:rsidRDefault="00907C2C" w:rsidP="00486382">
    <w:pPr>
      <w:pStyle w:val="Footer"/>
      <w:rPr>
        <w:sz w:val="18"/>
      </w:rPr>
    </w:pPr>
  </w:p>
  <w:p w:rsidR="00907C2C" w:rsidRPr="00CB7063" w:rsidRDefault="00CB7063" w:rsidP="00CB7063">
    <w:pPr>
      <w:pStyle w:val="Footer"/>
      <w:rPr>
        <w:sz w:val="18"/>
      </w:rPr>
    </w:pPr>
    <w:r w:rsidRPr="00CB7063">
      <w:rPr>
        <w:i/>
        <w:sz w:val="18"/>
      </w:rPr>
      <w:t>OPC61419 -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2C" w:rsidRPr="00CB7063" w:rsidRDefault="00907C2C" w:rsidP="002B5B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907C2C" w:rsidRPr="00CB7063" w:rsidTr="005330BD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907C2C" w:rsidRPr="00CB7063" w:rsidRDefault="00907C2C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CB7063">
            <w:rPr>
              <w:rFonts w:cs="Times New Roman"/>
              <w:i/>
              <w:sz w:val="18"/>
            </w:rPr>
            <w:fldChar w:fldCharType="begin"/>
          </w:r>
          <w:r w:rsidRPr="00CB7063">
            <w:rPr>
              <w:rFonts w:cs="Times New Roman"/>
              <w:i/>
              <w:sz w:val="18"/>
            </w:rPr>
            <w:instrText xml:space="preserve"> PAGE </w:instrText>
          </w:r>
          <w:r w:rsidRPr="00CB7063">
            <w:rPr>
              <w:rFonts w:cs="Times New Roman"/>
              <w:i/>
              <w:sz w:val="18"/>
            </w:rPr>
            <w:fldChar w:fldCharType="separate"/>
          </w:r>
          <w:r w:rsidR="00AB73EA">
            <w:rPr>
              <w:rFonts w:cs="Times New Roman"/>
              <w:i/>
              <w:noProof/>
              <w:sz w:val="18"/>
            </w:rPr>
            <w:t>ii</w:t>
          </w:r>
          <w:r w:rsidRPr="00CB7063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907C2C" w:rsidRPr="00CB7063" w:rsidRDefault="00907C2C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CB7063">
            <w:rPr>
              <w:rFonts w:cs="Times New Roman"/>
              <w:i/>
              <w:sz w:val="18"/>
            </w:rPr>
            <w:fldChar w:fldCharType="begin"/>
          </w:r>
          <w:r w:rsidRPr="00CB7063">
            <w:rPr>
              <w:rFonts w:cs="Times New Roman"/>
              <w:i/>
              <w:sz w:val="18"/>
            </w:rPr>
            <w:instrText xml:space="preserve"> DOCPROPERTY ShortT </w:instrText>
          </w:r>
          <w:r w:rsidRPr="00CB7063">
            <w:rPr>
              <w:rFonts w:cs="Times New Roman"/>
              <w:i/>
              <w:sz w:val="18"/>
            </w:rPr>
            <w:fldChar w:fldCharType="separate"/>
          </w:r>
          <w:r w:rsidR="006D3851">
            <w:rPr>
              <w:rFonts w:cs="Times New Roman"/>
              <w:i/>
              <w:sz w:val="18"/>
            </w:rPr>
            <w:t>Environment Protection and Biodiversity Conservation Amendment (Cost Recovery) Regulation 2016</w:t>
          </w:r>
          <w:r w:rsidRPr="00CB7063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907C2C" w:rsidRPr="00CB7063" w:rsidRDefault="00907C2C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907C2C" w:rsidRPr="00CB7063" w:rsidRDefault="00CB7063" w:rsidP="00CB7063">
    <w:pPr>
      <w:rPr>
        <w:rFonts w:cs="Times New Roman"/>
        <w:i/>
        <w:sz w:val="18"/>
      </w:rPr>
    </w:pPr>
    <w:r w:rsidRPr="00CB7063">
      <w:rPr>
        <w:rFonts w:cs="Times New Roman"/>
        <w:i/>
        <w:sz w:val="18"/>
      </w:rPr>
      <w:t>OPC61419 -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2C" w:rsidRPr="00E33C1C" w:rsidRDefault="00907C2C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907C2C" w:rsidTr="005330BD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907C2C" w:rsidRDefault="00907C2C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907C2C" w:rsidRDefault="00907C2C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D3851">
            <w:rPr>
              <w:i/>
              <w:sz w:val="18"/>
            </w:rPr>
            <w:t>Environment Protection and Biodiversity Conservation Amendment (Cost Recovery)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907C2C" w:rsidRDefault="00907C2C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92AAE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907C2C" w:rsidRPr="00ED79B6" w:rsidRDefault="00CB7063" w:rsidP="00CB7063">
    <w:pPr>
      <w:rPr>
        <w:i/>
        <w:sz w:val="18"/>
      </w:rPr>
    </w:pPr>
    <w:r w:rsidRPr="00CB7063">
      <w:rPr>
        <w:rFonts w:cs="Times New Roman"/>
        <w:i/>
        <w:sz w:val="18"/>
      </w:rPr>
      <w:t>OPC61419 -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2C" w:rsidRPr="00CB7063" w:rsidRDefault="00907C2C" w:rsidP="001F6924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907C2C" w:rsidRPr="00CB7063" w:rsidTr="005330BD"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907C2C" w:rsidRPr="00CB7063" w:rsidRDefault="00907C2C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CB7063">
            <w:rPr>
              <w:rFonts w:cs="Times New Roman"/>
              <w:i/>
              <w:sz w:val="18"/>
            </w:rPr>
            <w:fldChar w:fldCharType="begin"/>
          </w:r>
          <w:r w:rsidRPr="00CB7063">
            <w:rPr>
              <w:rFonts w:cs="Times New Roman"/>
              <w:i/>
              <w:sz w:val="18"/>
            </w:rPr>
            <w:instrText xml:space="preserve"> PAGE </w:instrText>
          </w:r>
          <w:r w:rsidRPr="00CB7063">
            <w:rPr>
              <w:rFonts w:cs="Times New Roman"/>
              <w:i/>
              <w:sz w:val="18"/>
            </w:rPr>
            <w:fldChar w:fldCharType="separate"/>
          </w:r>
          <w:r w:rsidR="007C1FAF">
            <w:rPr>
              <w:rFonts w:cs="Times New Roman"/>
              <w:i/>
              <w:noProof/>
              <w:sz w:val="18"/>
            </w:rPr>
            <w:t>16</w:t>
          </w:r>
          <w:r w:rsidRPr="00CB7063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907C2C" w:rsidRPr="00CB7063" w:rsidRDefault="00907C2C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CB7063">
            <w:rPr>
              <w:rFonts w:cs="Times New Roman"/>
              <w:i/>
              <w:sz w:val="18"/>
            </w:rPr>
            <w:fldChar w:fldCharType="begin"/>
          </w:r>
          <w:r w:rsidRPr="00CB7063">
            <w:rPr>
              <w:rFonts w:cs="Times New Roman"/>
              <w:i/>
              <w:sz w:val="18"/>
            </w:rPr>
            <w:instrText xml:space="preserve"> DOCPROPERTY ShortT </w:instrText>
          </w:r>
          <w:r w:rsidRPr="00CB7063">
            <w:rPr>
              <w:rFonts w:cs="Times New Roman"/>
              <w:i/>
              <w:sz w:val="18"/>
            </w:rPr>
            <w:fldChar w:fldCharType="separate"/>
          </w:r>
          <w:r w:rsidR="006D3851">
            <w:rPr>
              <w:rFonts w:cs="Times New Roman"/>
              <w:i/>
              <w:sz w:val="18"/>
            </w:rPr>
            <w:t>Environment Protection and Biodiversity Conservation Amendment (Cost Recovery) Regulation 2016</w:t>
          </w:r>
          <w:r w:rsidRPr="00CB7063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907C2C" w:rsidRPr="00CB7063" w:rsidRDefault="00907C2C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907C2C" w:rsidRPr="00CB7063" w:rsidRDefault="00CB7063" w:rsidP="00CB7063">
    <w:pPr>
      <w:rPr>
        <w:rFonts w:cs="Times New Roman"/>
        <w:i/>
        <w:sz w:val="18"/>
      </w:rPr>
    </w:pPr>
    <w:r w:rsidRPr="00CB7063">
      <w:rPr>
        <w:rFonts w:cs="Times New Roman"/>
        <w:i/>
        <w:sz w:val="18"/>
      </w:rPr>
      <w:t>OPC61419 -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2C" w:rsidRPr="00E33C1C" w:rsidRDefault="00907C2C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907C2C" w:rsidTr="005330BD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907C2C" w:rsidRDefault="00907C2C" w:rsidP="00E33C1C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907C2C" w:rsidRDefault="00907C2C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D3851">
            <w:rPr>
              <w:i/>
              <w:sz w:val="18"/>
            </w:rPr>
            <w:t>Environment Protection and Biodiversity Conservation Amendment (Cost Recovery)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907C2C" w:rsidRDefault="00907C2C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92AAE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907C2C" w:rsidRPr="00ED79B6" w:rsidRDefault="00CB7063" w:rsidP="00CB7063">
    <w:pPr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DOCPROPERTY ID \* MERGEFORMAT </w:instrText>
    </w:r>
    <w:r>
      <w:rPr>
        <w:i/>
        <w:sz w:val="18"/>
      </w:rPr>
      <w:fldChar w:fldCharType="separate"/>
    </w:r>
    <w:r w:rsidR="006D3851">
      <w:rPr>
        <w:i/>
        <w:sz w:val="18"/>
      </w:rPr>
      <w:t>OPC61419</w:t>
    </w:r>
    <w:r>
      <w:rPr>
        <w:i/>
        <w:sz w:val="18"/>
      </w:rPr>
      <w:fldChar w:fldCharType="end"/>
    </w:r>
    <w:r w:rsidRPr="00CB7063">
      <w:rPr>
        <w:rFonts w:cs="Times New Roman"/>
        <w:i/>
        <w:sz w:val="18"/>
      </w:rPr>
      <w:t xml:space="preserve">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2C" w:rsidRPr="00E33C1C" w:rsidRDefault="00907C2C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907C2C" w:rsidTr="005330BD">
      <w:tc>
        <w:tcPr>
          <w:tcW w:w="947" w:type="pct"/>
          <w:tcBorders>
            <w:top w:val="nil"/>
            <w:left w:val="nil"/>
            <w:bottom w:val="nil"/>
            <w:right w:val="nil"/>
          </w:tcBorders>
        </w:tcPr>
        <w:p w:rsidR="00907C2C" w:rsidRDefault="00907C2C" w:rsidP="002F675F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  <w:tcBorders>
            <w:top w:val="nil"/>
            <w:left w:val="nil"/>
            <w:bottom w:val="nil"/>
            <w:right w:val="nil"/>
          </w:tcBorders>
        </w:tcPr>
        <w:p w:rsidR="00907C2C" w:rsidRDefault="00907C2C" w:rsidP="002F675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6D3851">
            <w:rPr>
              <w:i/>
              <w:sz w:val="18"/>
            </w:rPr>
            <w:t>Environment Protection and Biodiversity Conservation Amendment (Cost Recovery) Regulation 2016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  <w:tcBorders>
            <w:top w:val="nil"/>
            <w:left w:val="nil"/>
            <w:bottom w:val="nil"/>
            <w:right w:val="nil"/>
          </w:tcBorders>
        </w:tcPr>
        <w:p w:rsidR="00907C2C" w:rsidRDefault="00907C2C" w:rsidP="002F675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B73EA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907C2C" w:rsidRPr="00ED79B6" w:rsidRDefault="00907C2C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2C" w:rsidRDefault="00907C2C" w:rsidP="0048364F">
      <w:pPr>
        <w:spacing w:line="240" w:lineRule="auto"/>
      </w:pPr>
      <w:r>
        <w:separator/>
      </w:r>
    </w:p>
  </w:footnote>
  <w:footnote w:type="continuationSeparator" w:id="0">
    <w:p w:rsidR="00907C2C" w:rsidRDefault="00907C2C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2C" w:rsidRPr="005F1388" w:rsidRDefault="00907C2C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2C" w:rsidRPr="005F1388" w:rsidRDefault="00907C2C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2C" w:rsidRPr="005F1388" w:rsidRDefault="00907C2C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2C" w:rsidRPr="00ED79B6" w:rsidRDefault="00907C2C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2C" w:rsidRPr="00ED79B6" w:rsidRDefault="00907C2C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2C" w:rsidRPr="00ED79B6" w:rsidRDefault="00907C2C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2C" w:rsidRPr="00A961C4" w:rsidRDefault="00907C2C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7C1FAF">
      <w:rPr>
        <w:b/>
        <w:sz w:val="20"/>
      </w:rPr>
      <w:fldChar w:fldCharType="separate"/>
    </w:r>
    <w:r w:rsidR="007C1FAF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7C1FAF">
      <w:rPr>
        <w:sz w:val="20"/>
      </w:rPr>
      <w:fldChar w:fldCharType="separate"/>
    </w:r>
    <w:r w:rsidR="007C1FAF">
      <w:rPr>
        <w:noProof/>
        <w:sz w:val="20"/>
      </w:rPr>
      <w:t>Amendments</w:t>
    </w:r>
    <w:r>
      <w:rPr>
        <w:sz w:val="20"/>
      </w:rPr>
      <w:fldChar w:fldCharType="end"/>
    </w:r>
  </w:p>
  <w:p w:rsidR="00907C2C" w:rsidRPr="00A961C4" w:rsidRDefault="00907C2C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907C2C" w:rsidRPr="00A961C4" w:rsidRDefault="00907C2C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2C" w:rsidRPr="00A961C4" w:rsidRDefault="00907C2C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907C2C" w:rsidRPr="00A961C4" w:rsidRDefault="00907C2C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907C2C" w:rsidRPr="00A961C4" w:rsidRDefault="00907C2C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2C" w:rsidRPr="00A961C4" w:rsidRDefault="00907C2C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B28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9E8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42D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28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A26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CC7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F21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82C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A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FA2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BD"/>
    <w:rsid w:val="00000BD4"/>
    <w:rsid w:val="000041C6"/>
    <w:rsid w:val="000063E4"/>
    <w:rsid w:val="00011222"/>
    <w:rsid w:val="000113BC"/>
    <w:rsid w:val="00011E0F"/>
    <w:rsid w:val="000120B1"/>
    <w:rsid w:val="000136AF"/>
    <w:rsid w:val="00013B4D"/>
    <w:rsid w:val="00016DED"/>
    <w:rsid w:val="00020E99"/>
    <w:rsid w:val="000237B1"/>
    <w:rsid w:val="00025060"/>
    <w:rsid w:val="00025425"/>
    <w:rsid w:val="00025EA6"/>
    <w:rsid w:val="00027C40"/>
    <w:rsid w:val="00033709"/>
    <w:rsid w:val="00033B21"/>
    <w:rsid w:val="00033D44"/>
    <w:rsid w:val="00033DF0"/>
    <w:rsid w:val="0004044E"/>
    <w:rsid w:val="00041609"/>
    <w:rsid w:val="00044B0D"/>
    <w:rsid w:val="00051F3F"/>
    <w:rsid w:val="000540C1"/>
    <w:rsid w:val="000548FC"/>
    <w:rsid w:val="000614BF"/>
    <w:rsid w:val="00065976"/>
    <w:rsid w:val="000760BA"/>
    <w:rsid w:val="00081AB5"/>
    <w:rsid w:val="00083AE6"/>
    <w:rsid w:val="00084618"/>
    <w:rsid w:val="00087F58"/>
    <w:rsid w:val="00090D7C"/>
    <w:rsid w:val="00091B6A"/>
    <w:rsid w:val="00092CE9"/>
    <w:rsid w:val="0009387B"/>
    <w:rsid w:val="00097390"/>
    <w:rsid w:val="000A1B61"/>
    <w:rsid w:val="000A2A1E"/>
    <w:rsid w:val="000B2499"/>
    <w:rsid w:val="000B2A72"/>
    <w:rsid w:val="000B5553"/>
    <w:rsid w:val="000B57BB"/>
    <w:rsid w:val="000C0936"/>
    <w:rsid w:val="000C4E79"/>
    <w:rsid w:val="000D05EF"/>
    <w:rsid w:val="000D2708"/>
    <w:rsid w:val="000D2E0E"/>
    <w:rsid w:val="000D4C46"/>
    <w:rsid w:val="000D55A2"/>
    <w:rsid w:val="000D5D47"/>
    <w:rsid w:val="000D6117"/>
    <w:rsid w:val="000E1B25"/>
    <w:rsid w:val="000F03B3"/>
    <w:rsid w:val="000F21C1"/>
    <w:rsid w:val="000F2CE3"/>
    <w:rsid w:val="000F6B02"/>
    <w:rsid w:val="000F7427"/>
    <w:rsid w:val="00100EE4"/>
    <w:rsid w:val="0010170E"/>
    <w:rsid w:val="00103868"/>
    <w:rsid w:val="00104515"/>
    <w:rsid w:val="0010745C"/>
    <w:rsid w:val="00115011"/>
    <w:rsid w:val="00116975"/>
    <w:rsid w:val="00117835"/>
    <w:rsid w:val="001208DA"/>
    <w:rsid w:val="00126F1A"/>
    <w:rsid w:val="00152507"/>
    <w:rsid w:val="0015489A"/>
    <w:rsid w:val="00154EAC"/>
    <w:rsid w:val="00156722"/>
    <w:rsid w:val="001643C9"/>
    <w:rsid w:val="00164835"/>
    <w:rsid w:val="00165568"/>
    <w:rsid w:val="00166C2F"/>
    <w:rsid w:val="00167E92"/>
    <w:rsid w:val="00167ED0"/>
    <w:rsid w:val="001712CA"/>
    <w:rsid w:val="001716C9"/>
    <w:rsid w:val="00171EAE"/>
    <w:rsid w:val="001724AA"/>
    <w:rsid w:val="0017254C"/>
    <w:rsid w:val="0017335C"/>
    <w:rsid w:val="00184909"/>
    <w:rsid w:val="00186A75"/>
    <w:rsid w:val="00187A5A"/>
    <w:rsid w:val="00191135"/>
    <w:rsid w:val="00191859"/>
    <w:rsid w:val="00193461"/>
    <w:rsid w:val="001939E1"/>
    <w:rsid w:val="001942A7"/>
    <w:rsid w:val="00194A15"/>
    <w:rsid w:val="00195382"/>
    <w:rsid w:val="001A1821"/>
    <w:rsid w:val="001A40F5"/>
    <w:rsid w:val="001A648F"/>
    <w:rsid w:val="001A7975"/>
    <w:rsid w:val="001B3097"/>
    <w:rsid w:val="001B54B0"/>
    <w:rsid w:val="001B7A5D"/>
    <w:rsid w:val="001C2E92"/>
    <w:rsid w:val="001C3F80"/>
    <w:rsid w:val="001C69C4"/>
    <w:rsid w:val="001C7B75"/>
    <w:rsid w:val="001D4229"/>
    <w:rsid w:val="001D7F83"/>
    <w:rsid w:val="001E04A3"/>
    <w:rsid w:val="001E16D0"/>
    <w:rsid w:val="001E19D3"/>
    <w:rsid w:val="001E3590"/>
    <w:rsid w:val="001E4DEA"/>
    <w:rsid w:val="001E562E"/>
    <w:rsid w:val="001E7407"/>
    <w:rsid w:val="001F41DE"/>
    <w:rsid w:val="001F60CC"/>
    <w:rsid w:val="001F6924"/>
    <w:rsid w:val="001F6CC8"/>
    <w:rsid w:val="0020106A"/>
    <w:rsid w:val="00201D27"/>
    <w:rsid w:val="0020371A"/>
    <w:rsid w:val="00203AC9"/>
    <w:rsid w:val="00212641"/>
    <w:rsid w:val="002229DA"/>
    <w:rsid w:val="00223E4D"/>
    <w:rsid w:val="00231427"/>
    <w:rsid w:val="00234098"/>
    <w:rsid w:val="0023440F"/>
    <w:rsid w:val="00240749"/>
    <w:rsid w:val="002479EB"/>
    <w:rsid w:val="00247D23"/>
    <w:rsid w:val="00254A7C"/>
    <w:rsid w:val="00255F06"/>
    <w:rsid w:val="0025697B"/>
    <w:rsid w:val="00261A4D"/>
    <w:rsid w:val="00265FBC"/>
    <w:rsid w:val="00266D05"/>
    <w:rsid w:val="00273BCF"/>
    <w:rsid w:val="00276480"/>
    <w:rsid w:val="00276CBC"/>
    <w:rsid w:val="0028513C"/>
    <w:rsid w:val="00286170"/>
    <w:rsid w:val="00286917"/>
    <w:rsid w:val="002932B1"/>
    <w:rsid w:val="00295408"/>
    <w:rsid w:val="00295476"/>
    <w:rsid w:val="00295D47"/>
    <w:rsid w:val="00297ECB"/>
    <w:rsid w:val="002A0767"/>
    <w:rsid w:val="002A0FFD"/>
    <w:rsid w:val="002A2ED9"/>
    <w:rsid w:val="002A329D"/>
    <w:rsid w:val="002A4539"/>
    <w:rsid w:val="002A6144"/>
    <w:rsid w:val="002B2731"/>
    <w:rsid w:val="002B5B89"/>
    <w:rsid w:val="002B7D96"/>
    <w:rsid w:val="002C23C8"/>
    <w:rsid w:val="002C6CDA"/>
    <w:rsid w:val="002D043A"/>
    <w:rsid w:val="002E0C0E"/>
    <w:rsid w:val="002E7000"/>
    <w:rsid w:val="002F675F"/>
    <w:rsid w:val="00301904"/>
    <w:rsid w:val="00304E75"/>
    <w:rsid w:val="003072FA"/>
    <w:rsid w:val="00311EEC"/>
    <w:rsid w:val="00312711"/>
    <w:rsid w:val="00315243"/>
    <w:rsid w:val="0031713F"/>
    <w:rsid w:val="00321105"/>
    <w:rsid w:val="003321F5"/>
    <w:rsid w:val="003402A5"/>
    <w:rsid w:val="003415D3"/>
    <w:rsid w:val="00344CB1"/>
    <w:rsid w:val="00345842"/>
    <w:rsid w:val="00352B0F"/>
    <w:rsid w:val="003540B7"/>
    <w:rsid w:val="00355F9C"/>
    <w:rsid w:val="00360106"/>
    <w:rsid w:val="0036088D"/>
    <w:rsid w:val="0036140C"/>
    <w:rsid w:val="00361BD9"/>
    <w:rsid w:val="00363549"/>
    <w:rsid w:val="0036421A"/>
    <w:rsid w:val="00367316"/>
    <w:rsid w:val="00367DA4"/>
    <w:rsid w:val="00370107"/>
    <w:rsid w:val="0037531D"/>
    <w:rsid w:val="003763A6"/>
    <w:rsid w:val="00377EAE"/>
    <w:rsid w:val="003801D0"/>
    <w:rsid w:val="00380FFB"/>
    <w:rsid w:val="003844E5"/>
    <w:rsid w:val="00385BD6"/>
    <w:rsid w:val="003907F3"/>
    <w:rsid w:val="0039228E"/>
    <w:rsid w:val="003926B5"/>
    <w:rsid w:val="003934B0"/>
    <w:rsid w:val="003937F3"/>
    <w:rsid w:val="00396564"/>
    <w:rsid w:val="00396F57"/>
    <w:rsid w:val="00397AF1"/>
    <w:rsid w:val="00397CEF"/>
    <w:rsid w:val="003A0D93"/>
    <w:rsid w:val="003A28CA"/>
    <w:rsid w:val="003A5236"/>
    <w:rsid w:val="003A564D"/>
    <w:rsid w:val="003B04EC"/>
    <w:rsid w:val="003B2848"/>
    <w:rsid w:val="003C56B5"/>
    <w:rsid w:val="003C5F2B"/>
    <w:rsid w:val="003C6856"/>
    <w:rsid w:val="003C735D"/>
    <w:rsid w:val="003D0BFE"/>
    <w:rsid w:val="003D5700"/>
    <w:rsid w:val="003D77E5"/>
    <w:rsid w:val="003E52B0"/>
    <w:rsid w:val="003E5FF5"/>
    <w:rsid w:val="003E7777"/>
    <w:rsid w:val="003F0B53"/>
    <w:rsid w:val="003F1C8C"/>
    <w:rsid w:val="003F4CA9"/>
    <w:rsid w:val="003F567B"/>
    <w:rsid w:val="003F5D81"/>
    <w:rsid w:val="003F6894"/>
    <w:rsid w:val="003F6BDB"/>
    <w:rsid w:val="003F7E1E"/>
    <w:rsid w:val="004010E7"/>
    <w:rsid w:val="00401403"/>
    <w:rsid w:val="00403921"/>
    <w:rsid w:val="0040425B"/>
    <w:rsid w:val="00407CE6"/>
    <w:rsid w:val="004116CD"/>
    <w:rsid w:val="00412B83"/>
    <w:rsid w:val="004133A9"/>
    <w:rsid w:val="00416A04"/>
    <w:rsid w:val="00423E65"/>
    <w:rsid w:val="00424CA9"/>
    <w:rsid w:val="00427188"/>
    <w:rsid w:val="004314FF"/>
    <w:rsid w:val="00432235"/>
    <w:rsid w:val="00432AED"/>
    <w:rsid w:val="00433910"/>
    <w:rsid w:val="004354B2"/>
    <w:rsid w:val="0044056B"/>
    <w:rsid w:val="00440C29"/>
    <w:rsid w:val="0044291A"/>
    <w:rsid w:val="00443287"/>
    <w:rsid w:val="0044511E"/>
    <w:rsid w:val="00445133"/>
    <w:rsid w:val="004504D3"/>
    <w:rsid w:val="004541B9"/>
    <w:rsid w:val="00454787"/>
    <w:rsid w:val="004562D4"/>
    <w:rsid w:val="00457241"/>
    <w:rsid w:val="0045744B"/>
    <w:rsid w:val="004574F6"/>
    <w:rsid w:val="00460499"/>
    <w:rsid w:val="00463171"/>
    <w:rsid w:val="00466860"/>
    <w:rsid w:val="00471B65"/>
    <w:rsid w:val="004760B0"/>
    <w:rsid w:val="00480FB9"/>
    <w:rsid w:val="0048364F"/>
    <w:rsid w:val="00485AF0"/>
    <w:rsid w:val="00486382"/>
    <w:rsid w:val="00487C6E"/>
    <w:rsid w:val="00493369"/>
    <w:rsid w:val="00495D5A"/>
    <w:rsid w:val="00496F97"/>
    <w:rsid w:val="004A0448"/>
    <w:rsid w:val="004A2484"/>
    <w:rsid w:val="004B026D"/>
    <w:rsid w:val="004B29CE"/>
    <w:rsid w:val="004B39E1"/>
    <w:rsid w:val="004B5FBA"/>
    <w:rsid w:val="004C0255"/>
    <w:rsid w:val="004C4D2B"/>
    <w:rsid w:val="004C5719"/>
    <w:rsid w:val="004C5B5A"/>
    <w:rsid w:val="004C6444"/>
    <w:rsid w:val="004C6DE1"/>
    <w:rsid w:val="004D366D"/>
    <w:rsid w:val="004D4A66"/>
    <w:rsid w:val="004E5C11"/>
    <w:rsid w:val="004E7691"/>
    <w:rsid w:val="004E7AEA"/>
    <w:rsid w:val="004F1FAC"/>
    <w:rsid w:val="004F3A90"/>
    <w:rsid w:val="004F66AC"/>
    <w:rsid w:val="004F676E"/>
    <w:rsid w:val="005014B7"/>
    <w:rsid w:val="00502D3A"/>
    <w:rsid w:val="0050763B"/>
    <w:rsid w:val="00512120"/>
    <w:rsid w:val="00514470"/>
    <w:rsid w:val="00516B8D"/>
    <w:rsid w:val="00520A1E"/>
    <w:rsid w:val="00521AEB"/>
    <w:rsid w:val="00530587"/>
    <w:rsid w:val="00532282"/>
    <w:rsid w:val="005330BD"/>
    <w:rsid w:val="00533DBC"/>
    <w:rsid w:val="00537FBC"/>
    <w:rsid w:val="00543467"/>
    <w:rsid w:val="00543469"/>
    <w:rsid w:val="0054408A"/>
    <w:rsid w:val="00546096"/>
    <w:rsid w:val="00550935"/>
    <w:rsid w:val="00551530"/>
    <w:rsid w:val="005517EF"/>
    <w:rsid w:val="00552A63"/>
    <w:rsid w:val="005537B3"/>
    <w:rsid w:val="005548CE"/>
    <w:rsid w:val="00554FFC"/>
    <w:rsid w:val="0055513C"/>
    <w:rsid w:val="005576A4"/>
    <w:rsid w:val="00557C7A"/>
    <w:rsid w:val="005615C9"/>
    <w:rsid w:val="00571028"/>
    <w:rsid w:val="005756C6"/>
    <w:rsid w:val="00584811"/>
    <w:rsid w:val="005851A5"/>
    <w:rsid w:val="0058646E"/>
    <w:rsid w:val="00586B62"/>
    <w:rsid w:val="00587600"/>
    <w:rsid w:val="0059022F"/>
    <w:rsid w:val="00591E07"/>
    <w:rsid w:val="00591E9E"/>
    <w:rsid w:val="00593AA6"/>
    <w:rsid w:val="00594161"/>
    <w:rsid w:val="00594749"/>
    <w:rsid w:val="00595D20"/>
    <w:rsid w:val="00596C7D"/>
    <w:rsid w:val="00597FFC"/>
    <w:rsid w:val="005A3279"/>
    <w:rsid w:val="005A6B54"/>
    <w:rsid w:val="005B1326"/>
    <w:rsid w:val="005B3192"/>
    <w:rsid w:val="005B4067"/>
    <w:rsid w:val="005C12DE"/>
    <w:rsid w:val="005C1867"/>
    <w:rsid w:val="005C2D98"/>
    <w:rsid w:val="005C3F41"/>
    <w:rsid w:val="005C460E"/>
    <w:rsid w:val="005D0A70"/>
    <w:rsid w:val="005D29AB"/>
    <w:rsid w:val="005D2B27"/>
    <w:rsid w:val="005D72F8"/>
    <w:rsid w:val="005E552A"/>
    <w:rsid w:val="005E55AF"/>
    <w:rsid w:val="005F0293"/>
    <w:rsid w:val="005F2B27"/>
    <w:rsid w:val="005F3545"/>
    <w:rsid w:val="005F4822"/>
    <w:rsid w:val="005F6E62"/>
    <w:rsid w:val="00600219"/>
    <w:rsid w:val="00600F8F"/>
    <w:rsid w:val="00603B4A"/>
    <w:rsid w:val="00610E91"/>
    <w:rsid w:val="00614AFB"/>
    <w:rsid w:val="006162A3"/>
    <w:rsid w:val="00623104"/>
    <w:rsid w:val="00623AEB"/>
    <w:rsid w:val="006249E6"/>
    <w:rsid w:val="00630733"/>
    <w:rsid w:val="0063197E"/>
    <w:rsid w:val="00636667"/>
    <w:rsid w:val="0064468A"/>
    <w:rsid w:val="006457BF"/>
    <w:rsid w:val="00647E64"/>
    <w:rsid w:val="0065328D"/>
    <w:rsid w:val="00654CCA"/>
    <w:rsid w:val="00656DE9"/>
    <w:rsid w:val="00663BDD"/>
    <w:rsid w:val="00665F55"/>
    <w:rsid w:val="00666F40"/>
    <w:rsid w:val="00667D99"/>
    <w:rsid w:val="00671A7B"/>
    <w:rsid w:val="00673958"/>
    <w:rsid w:val="00677CC2"/>
    <w:rsid w:val="00680F17"/>
    <w:rsid w:val="00685F42"/>
    <w:rsid w:val="0069207B"/>
    <w:rsid w:val="006937E2"/>
    <w:rsid w:val="0069392E"/>
    <w:rsid w:val="006977FB"/>
    <w:rsid w:val="006A2BC1"/>
    <w:rsid w:val="006A36DA"/>
    <w:rsid w:val="006A6317"/>
    <w:rsid w:val="006B262A"/>
    <w:rsid w:val="006B6280"/>
    <w:rsid w:val="006C2C12"/>
    <w:rsid w:val="006C3FFF"/>
    <w:rsid w:val="006C426F"/>
    <w:rsid w:val="006C49B9"/>
    <w:rsid w:val="006C7F8C"/>
    <w:rsid w:val="006D2AFC"/>
    <w:rsid w:val="006D3667"/>
    <w:rsid w:val="006D3851"/>
    <w:rsid w:val="006D4E91"/>
    <w:rsid w:val="006D5B8E"/>
    <w:rsid w:val="006D5FDD"/>
    <w:rsid w:val="006E004B"/>
    <w:rsid w:val="006E4C00"/>
    <w:rsid w:val="006E65E4"/>
    <w:rsid w:val="006E7147"/>
    <w:rsid w:val="006F3392"/>
    <w:rsid w:val="006F63C2"/>
    <w:rsid w:val="00700392"/>
    <w:rsid w:val="00700595"/>
    <w:rsid w:val="00700B2C"/>
    <w:rsid w:val="00701E6A"/>
    <w:rsid w:val="00706682"/>
    <w:rsid w:val="007105C5"/>
    <w:rsid w:val="00710AB2"/>
    <w:rsid w:val="00712080"/>
    <w:rsid w:val="00713084"/>
    <w:rsid w:val="0072004C"/>
    <w:rsid w:val="00722023"/>
    <w:rsid w:val="0072364C"/>
    <w:rsid w:val="00726E6C"/>
    <w:rsid w:val="00730C44"/>
    <w:rsid w:val="00731683"/>
    <w:rsid w:val="00731A9B"/>
    <w:rsid w:val="00731E00"/>
    <w:rsid w:val="00732D65"/>
    <w:rsid w:val="0074003A"/>
    <w:rsid w:val="00741000"/>
    <w:rsid w:val="00742712"/>
    <w:rsid w:val="007440B7"/>
    <w:rsid w:val="00757D12"/>
    <w:rsid w:val="00760854"/>
    <w:rsid w:val="007626CC"/>
    <w:rsid w:val="0076349B"/>
    <w:rsid w:val="007634AD"/>
    <w:rsid w:val="00763AE7"/>
    <w:rsid w:val="00763D24"/>
    <w:rsid w:val="007715C9"/>
    <w:rsid w:val="00774EDD"/>
    <w:rsid w:val="007757EC"/>
    <w:rsid w:val="007769D4"/>
    <w:rsid w:val="00780EB8"/>
    <w:rsid w:val="00782312"/>
    <w:rsid w:val="00785AFA"/>
    <w:rsid w:val="007903AC"/>
    <w:rsid w:val="00794324"/>
    <w:rsid w:val="007A0264"/>
    <w:rsid w:val="007A3AE9"/>
    <w:rsid w:val="007A7F9F"/>
    <w:rsid w:val="007B3494"/>
    <w:rsid w:val="007B6C15"/>
    <w:rsid w:val="007C1FAF"/>
    <w:rsid w:val="007C2ADE"/>
    <w:rsid w:val="007C5174"/>
    <w:rsid w:val="007C5B4A"/>
    <w:rsid w:val="007D65E0"/>
    <w:rsid w:val="007E05F5"/>
    <w:rsid w:val="007E2154"/>
    <w:rsid w:val="007E37BC"/>
    <w:rsid w:val="007E4E24"/>
    <w:rsid w:val="007E55AD"/>
    <w:rsid w:val="007E7D4A"/>
    <w:rsid w:val="007F76FD"/>
    <w:rsid w:val="00803C2D"/>
    <w:rsid w:val="00805534"/>
    <w:rsid w:val="00805675"/>
    <w:rsid w:val="00813F85"/>
    <w:rsid w:val="008140FB"/>
    <w:rsid w:val="008211BE"/>
    <w:rsid w:val="008231EF"/>
    <w:rsid w:val="008246E1"/>
    <w:rsid w:val="00826DA5"/>
    <w:rsid w:val="0083025A"/>
    <w:rsid w:val="00833416"/>
    <w:rsid w:val="00833435"/>
    <w:rsid w:val="008358A4"/>
    <w:rsid w:val="0084495A"/>
    <w:rsid w:val="00844E49"/>
    <w:rsid w:val="008460BD"/>
    <w:rsid w:val="008534D3"/>
    <w:rsid w:val="00854BD6"/>
    <w:rsid w:val="008550DD"/>
    <w:rsid w:val="00856482"/>
    <w:rsid w:val="00856A31"/>
    <w:rsid w:val="008632EA"/>
    <w:rsid w:val="008651CF"/>
    <w:rsid w:val="00874486"/>
    <w:rsid w:val="00874B69"/>
    <w:rsid w:val="008754D0"/>
    <w:rsid w:val="00877D48"/>
    <w:rsid w:val="008804F0"/>
    <w:rsid w:val="00880795"/>
    <w:rsid w:val="00882DBE"/>
    <w:rsid w:val="00886F56"/>
    <w:rsid w:val="008916C2"/>
    <w:rsid w:val="0089442A"/>
    <w:rsid w:val="00896F00"/>
    <w:rsid w:val="0089783B"/>
    <w:rsid w:val="008A1D00"/>
    <w:rsid w:val="008A6EEF"/>
    <w:rsid w:val="008B064E"/>
    <w:rsid w:val="008B3272"/>
    <w:rsid w:val="008B4160"/>
    <w:rsid w:val="008C6BDC"/>
    <w:rsid w:val="008D0EE0"/>
    <w:rsid w:val="008D145F"/>
    <w:rsid w:val="008D180B"/>
    <w:rsid w:val="008D3E4F"/>
    <w:rsid w:val="008E18FA"/>
    <w:rsid w:val="008E619F"/>
    <w:rsid w:val="008F07E3"/>
    <w:rsid w:val="008F119B"/>
    <w:rsid w:val="008F3574"/>
    <w:rsid w:val="008F4F1C"/>
    <w:rsid w:val="008F62B1"/>
    <w:rsid w:val="009008AC"/>
    <w:rsid w:val="00907271"/>
    <w:rsid w:val="00907C2C"/>
    <w:rsid w:val="0091280F"/>
    <w:rsid w:val="0092451D"/>
    <w:rsid w:val="00924582"/>
    <w:rsid w:val="00927FF5"/>
    <w:rsid w:val="00932377"/>
    <w:rsid w:val="00932A33"/>
    <w:rsid w:val="0093323E"/>
    <w:rsid w:val="00934793"/>
    <w:rsid w:val="00936941"/>
    <w:rsid w:val="00946F8F"/>
    <w:rsid w:val="0094719E"/>
    <w:rsid w:val="0095652D"/>
    <w:rsid w:val="009613EF"/>
    <w:rsid w:val="00961E26"/>
    <w:rsid w:val="00962240"/>
    <w:rsid w:val="00963991"/>
    <w:rsid w:val="009677E1"/>
    <w:rsid w:val="00971A92"/>
    <w:rsid w:val="00976AFF"/>
    <w:rsid w:val="009777BF"/>
    <w:rsid w:val="009848EC"/>
    <w:rsid w:val="0099153C"/>
    <w:rsid w:val="00992AAE"/>
    <w:rsid w:val="00992E85"/>
    <w:rsid w:val="00993D7B"/>
    <w:rsid w:val="0099771F"/>
    <w:rsid w:val="009A3590"/>
    <w:rsid w:val="009A5CD0"/>
    <w:rsid w:val="009A5E7D"/>
    <w:rsid w:val="009A699D"/>
    <w:rsid w:val="009B3629"/>
    <w:rsid w:val="009C1452"/>
    <w:rsid w:val="009C49D8"/>
    <w:rsid w:val="009D107A"/>
    <w:rsid w:val="009E1E71"/>
    <w:rsid w:val="009E3601"/>
    <w:rsid w:val="009F727E"/>
    <w:rsid w:val="00A00AA0"/>
    <w:rsid w:val="00A01B34"/>
    <w:rsid w:val="00A021A1"/>
    <w:rsid w:val="00A029DB"/>
    <w:rsid w:val="00A1027A"/>
    <w:rsid w:val="00A1340A"/>
    <w:rsid w:val="00A2057D"/>
    <w:rsid w:val="00A224E2"/>
    <w:rsid w:val="00A231D7"/>
    <w:rsid w:val="00A231E2"/>
    <w:rsid w:val="00A2550D"/>
    <w:rsid w:val="00A26DBE"/>
    <w:rsid w:val="00A27827"/>
    <w:rsid w:val="00A326A4"/>
    <w:rsid w:val="00A344F2"/>
    <w:rsid w:val="00A3457D"/>
    <w:rsid w:val="00A34951"/>
    <w:rsid w:val="00A4169B"/>
    <w:rsid w:val="00A42F3E"/>
    <w:rsid w:val="00A4361F"/>
    <w:rsid w:val="00A518F5"/>
    <w:rsid w:val="00A5197F"/>
    <w:rsid w:val="00A53F59"/>
    <w:rsid w:val="00A573AD"/>
    <w:rsid w:val="00A61729"/>
    <w:rsid w:val="00A64912"/>
    <w:rsid w:val="00A656BD"/>
    <w:rsid w:val="00A702E9"/>
    <w:rsid w:val="00A70A74"/>
    <w:rsid w:val="00A71C4E"/>
    <w:rsid w:val="00A75E97"/>
    <w:rsid w:val="00A83869"/>
    <w:rsid w:val="00A844AD"/>
    <w:rsid w:val="00A85C68"/>
    <w:rsid w:val="00A87AB9"/>
    <w:rsid w:val="00A919F9"/>
    <w:rsid w:val="00A94843"/>
    <w:rsid w:val="00AA0A66"/>
    <w:rsid w:val="00AA5D7A"/>
    <w:rsid w:val="00AB3315"/>
    <w:rsid w:val="00AB73EA"/>
    <w:rsid w:val="00AB7B41"/>
    <w:rsid w:val="00AC06B3"/>
    <w:rsid w:val="00AC15A3"/>
    <w:rsid w:val="00AC2262"/>
    <w:rsid w:val="00AC2341"/>
    <w:rsid w:val="00AC51BF"/>
    <w:rsid w:val="00AD5641"/>
    <w:rsid w:val="00AE50A2"/>
    <w:rsid w:val="00AF0336"/>
    <w:rsid w:val="00AF5982"/>
    <w:rsid w:val="00AF62D5"/>
    <w:rsid w:val="00AF6613"/>
    <w:rsid w:val="00AF66C7"/>
    <w:rsid w:val="00B00902"/>
    <w:rsid w:val="00B02B86"/>
    <w:rsid w:val="00B032D8"/>
    <w:rsid w:val="00B04B7E"/>
    <w:rsid w:val="00B0657E"/>
    <w:rsid w:val="00B1037A"/>
    <w:rsid w:val="00B14667"/>
    <w:rsid w:val="00B16E8F"/>
    <w:rsid w:val="00B25174"/>
    <w:rsid w:val="00B306DA"/>
    <w:rsid w:val="00B332B8"/>
    <w:rsid w:val="00B33B3C"/>
    <w:rsid w:val="00B34B3C"/>
    <w:rsid w:val="00B402E0"/>
    <w:rsid w:val="00B42164"/>
    <w:rsid w:val="00B44657"/>
    <w:rsid w:val="00B54569"/>
    <w:rsid w:val="00B552EE"/>
    <w:rsid w:val="00B553D3"/>
    <w:rsid w:val="00B61D2C"/>
    <w:rsid w:val="00B6211C"/>
    <w:rsid w:val="00B63BDE"/>
    <w:rsid w:val="00B655DE"/>
    <w:rsid w:val="00B73A5A"/>
    <w:rsid w:val="00B84933"/>
    <w:rsid w:val="00B915EB"/>
    <w:rsid w:val="00B91979"/>
    <w:rsid w:val="00BA2DAC"/>
    <w:rsid w:val="00BA5026"/>
    <w:rsid w:val="00BA6E19"/>
    <w:rsid w:val="00BA7FB7"/>
    <w:rsid w:val="00BB0C0C"/>
    <w:rsid w:val="00BB6E79"/>
    <w:rsid w:val="00BC2D2A"/>
    <w:rsid w:val="00BC4F91"/>
    <w:rsid w:val="00BC79B7"/>
    <w:rsid w:val="00BD14A5"/>
    <w:rsid w:val="00BD3E74"/>
    <w:rsid w:val="00BD60E6"/>
    <w:rsid w:val="00BD6220"/>
    <w:rsid w:val="00BD7E2B"/>
    <w:rsid w:val="00BE0C74"/>
    <w:rsid w:val="00BE0EFB"/>
    <w:rsid w:val="00BE253A"/>
    <w:rsid w:val="00BE59BD"/>
    <w:rsid w:val="00BE719A"/>
    <w:rsid w:val="00BE720A"/>
    <w:rsid w:val="00BF4533"/>
    <w:rsid w:val="00BF5377"/>
    <w:rsid w:val="00C03642"/>
    <w:rsid w:val="00C03CEA"/>
    <w:rsid w:val="00C0564C"/>
    <w:rsid w:val="00C067E5"/>
    <w:rsid w:val="00C15528"/>
    <w:rsid w:val="00C164CA"/>
    <w:rsid w:val="00C2124C"/>
    <w:rsid w:val="00C21A88"/>
    <w:rsid w:val="00C21B63"/>
    <w:rsid w:val="00C21E3F"/>
    <w:rsid w:val="00C22A40"/>
    <w:rsid w:val="00C25534"/>
    <w:rsid w:val="00C26286"/>
    <w:rsid w:val="00C26391"/>
    <w:rsid w:val="00C35363"/>
    <w:rsid w:val="00C414D8"/>
    <w:rsid w:val="00C41E52"/>
    <w:rsid w:val="00C42AA9"/>
    <w:rsid w:val="00C42BF8"/>
    <w:rsid w:val="00C42C9D"/>
    <w:rsid w:val="00C4449F"/>
    <w:rsid w:val="00C460AE"/>
    <w:rsid w:val="00C50043"/>
    <w:rsid w:val="00C50E56"/>
    <w:rsid w:val="00C51E69"/>
    <w:rsid w:val="00C53054"/>
    <w:rsid w:val="00C55C35"/>
    <w:rsid w:val="00C63713"/>
    <w:rsid w:val="00C6748D"/>
    <w:rsid w:val="00C70E62"/>
    <w:rsid w:val="00C7573B"/>
    <w:rsid w:val="00C76CF3"/>
    <w:rsid w:val="00C77977"/>
    <w:rsid w:val="00C77E30"/>
    <w:rsid w:val="00C814F5"/>
    <w:rsid w:val="00C878BC"/>
    <w:rsid w:val="00C91FD3"/>
    <w:rsid w:val="00C91FE4"/>
    <w:rsid w:val="00C924EB"/>
    <w:rsid w:val="00CA37A0"/>
    <w:rsid w:val="00CA498D"/>
    <w:rsid w:val="00CA61E8"/>
    <w:rsid w:val="00CA713F"/>
    <w:rsid w:val="00CA7442"/>
    <w:rsid w:val="00CB0180"/>
    <w:rsid w:val="00CB0902"/>
    <w:rsid w:val="00CB30F1"/>
    <w:rsid w:val="00CB3470"/>
    <w:rsid w:val="00CB7063"/>
    <w:rsid w:val="00CC3311"/>
    <w:rsid w:val="00CD5DC0"/>
    <w:rsid w:val="00CD606E"/>
    <w:rsid w:val="00CD64A9"/>
    <w:rsid w:val="00CD7ECB"/>
    <w:rsid w:val="00CE1EB3"/>
    <w:rsid w:val="00CE47F1"/>
    <w:rsid w:val="00CF0BB2"/>
    <w:rsid w:val="00CF54AC"/>
    <w:rsid w:val="00D0104A"/>
    <w:rsid w:val="00D01A9D"/>
    <w:rsid w:val="00D0688C"/>
    <w:rsid w:val="00D11E0D"/>
    <w:rsid w:val="00D13441"/>
    <w:rsid w:val="00D1410F"/>
    <w:rsid w:val="00D17B17"/>
    <w:rsid w:val="00D213A8"/>
    <w:rsid w:val="00D224A0"/>
    <w:rsid w:val="00D230EC"/>
    <w:rsid w:val="00D243A3"/>
    <w:rsid w:val="00D31066"/>
    <w:rsid w:val="00D317D8"/>
    <w:rsid w:val="00D33010"/>
    <w:rsid w:val="00D333D9"/>
    <w:rsid w:val="00D33440"/>
    <w:rsid w:val="00D353AA"/>
    <w:rsid w:val="00D35C6E"/>
    <w:rsid w:val="00D36F95"/>
    <w:rsid w:val="00D40403"/>
    <w:rsid w:val="00D41D74"/>
    <w:rsid w:val="00D46562"/>
    <w:rsid w:val="00D52EFE"/>
    <w:rsid w:val="00D557DD"/>
    <w:rsid w:val="00D63EF6"/>
    <w:rsid w:val="00D65205"/>
    <w:rsid w:val="00D70DFB"/>
    <w:rsid w:val="00D710F6"/>
    <w:rsid w:val="00D72F5F"/>
    <w:rsid w:val="00D766DF"/>
    <w:rsid w:val="00D77C82"/>
    <w:rsid w:val="00D8017A"/>
    <w:rsid w:val="00D83B83"/>
    <w:rsid w:val="00D83D21"/>
    <w:rsid w:val="00D84A39"/>
    <w:rsid w:val="00D84B58"/>
    <w:rsid w:val="00D90C69"/>
    <w:rsid w:val="00D925D1"/>
    <w:rsid w:val="00D92FD3"/>
    <w:rsid w:val="00D95C4D"/>
    <w:rsid w:val="00D974C5"/>
    <w:rsid w:val="00DA113F"/>
    <w:rsid w:val="00DA420F"/>
    <w:rsid w:val="00DA6216"/>
    <w:rsid w:val="00DB531C"/>
    <w:rsid w:val="00DB7E48"/>
    <w:rsid w:val="00DC3CB3"/>
    <w:rsid w:val="00DC42A3"/>
    <w:rsid w:val="00DD4FD6"/>
    <w:rsid w:val="00DE1EE0"/>
    <w:rsid w:val="00DE5DA6"/>
    <w:rsid w:val="00DF772B"/>
    <w:rsid w:val="00DF7828"/>
    <w:rsid w:val="00E029BB"/>
    <w:rsid w:val="00E0341B"/>
    <w:rsid w:val="00E05704"/>
    <w:rsid w:val="00E05937"/>
    <w:rsid w:val="00E05C46"/>
    <w:rsid w:val="00E07D24"/>
    <w:rsid w:val="00E114F1"/>
    <w:rsid w:val="00E144EC"/>
    <w:rsid w:val="00E170E3"/>
    <w:rsid w:val="00E26EF6"/>
    <w:rsid w:val="00E271A8"/>
    <w:rsid w:val="00E30206"/>
    <w:rsid w:val="00E30FAA"/>
    <w:rsid w:val="00E31D51"/>
    <w:rsid w:val="00E333FE"/>
    <w:rsid w:val="00E33C1C"/>
    <w:rsid w:val="00E420FE"/>
    <w:rsid w:val="00E443FC"/>
    <w:rsid w:val="00E45FE7"/>
    <w:rsid w:val="00E476B8"/>
    <w:rsid w:val="00E50336"/>
    <w:rsid w:val="00E54292"/>
    <w:rsid w:val="00E54433"/>
    <w:rsid w:val="00E55AFD"/>
    <w:rsid w:val="00E55BCD"/>
    <w:rsid w:val="00E60119"/>
    <w:rsid w:val="00E60389"/>
    <w:rsid w:val="00E6444F"/>
    <w:rsid w:val="00E658D7"/>
    <w:rsid w:val="00E67507"/>
    <w:rsid w:val="00E70BCF"/>
    <w:rsid w:val="00E73EC4"/>
    <w:rsid w:val="00E74DC7"/>
    <w:rsid w:val="00E76FAB"/>
    <w:rsid w:val="00E83E2E"/>
    <w:rsid w:val="00E84B32"/>
    <w:rsid w:val="00E87699"/>
    <w:rsid w:val="00E907A5"/>
    <w:rsid w:val="00E93C8A"/>
    <w:rsid w:val="00E94DC7"/>
    <w:rsid w:val="00E97472"/>
    <w:rsid w:val="00EA0ACE"/>
    <w:rsid w:val="00EB23A1"/>
    <w:rsid w:val="00EB6CA4"/>
    <w:rsid w:val="00EC2D33"/>
    <w:rsid w:val="00EC3B17"/>
    <w:rsid w:val="00EC4640"/>
    <w:rsid w:val="00EC470D"/>
    <w:rsid w:val="00ED1D06"/>
    <w:rsid w:val="00ED20CB"/>
    <w:rsid w:val="00ED3A7D"/>
    <w:rsid w:val="00ED6539"/>
    <w:rsid w:val="00EF2E3A"/>
    <w:rsid w:val="00EF397A"/>
    <w:rsid w:val="00F02F72"/>
    <w:rsid w:val="00F047E2"/>
    <w:rsid w:val="00F078DC"/>
    <w:rsid w:val="00F10457"/>
    <w:rsid w:val="00F13E86"/>
    <w:rsid w:val="00F14894"/>
    <w:rsid w:val="00F17E58"/>
    <w:rsid w:val="00F24C35"/>
    <w:rsid w:val="00F27A33"/>
    <w:rsid w:val="00F30BE4"/>
    <w:rsid w:val="00F340C0"/>
    <w:rsid w:val="00F34477"/>
    <w:rsid w:val="00F345ED"/>
    <w:rsid w:val="00F34D09"/>
    <w:rsid w:val="00F44556"/>
    <w:rsid w:val="00F47E87"/>
    <w:rsid w:val="00F51479"/>
    <w:rsid w:val="00F51B00"/>
    <w:rsid w:val="00F539D4"/>
    <w:rsid w:val="00F5635F"/>
    <w:rsid w:val="00F56759"/>
    <w:rsid w:val="00F65744"/>
    <w:rsid w:val="00F677A9"/>
    <w:rsid w:val="00F70DDF"/>
    <w:rsid w:val="00F81EE5"/>
    <w:rsid w:val="00F8379C"/>
    <w:rsid w:val="00F83A42"/>
    <w:rsid w:val="00F8482F"/>
    <w:rsid w:val="00F84CF5"/>
    <w:rsid w:val="00F876B2"/>
    <w:rsid w:val="00F94461"/>
    <w:rsid w:val="00F9515C"/>
    <w:rsid w:val="00F956FE"/>
    <w:rsid w:val="00FA420B"/>
    <w:rsid w:val="00FA4BB2"/>
    <w:rsid w:val="00FA7C98"/>
    <w:rsid w:val="00FB03B3"/>
    <w:rsid w:val="00FB192C"/>
    <w:rsid w:val="00FB34E9"/>
    <w:rsid w:val="00FB4515"/>
    <w:rsid w:val="00FB4D8F"/>
    <w:rsid w:val="00FC312D"/>
    <w:rsid w:val="00FC3B5C"/>
    <w:rsid w:val="00FC76E2"/>
    <w:rsid w:val="00FD465E"/>
    <w:rsid w:val="00FD70B7"/>
    <w:rsid w:val="00FD72AD"/>
    <w:rsid w:val="00FD7CFE"/>
    <w:rsid w:val="00FE18E5"/>
    <w:rsid w:val="00FE3835"/>
    <w:rsid w:val="00FE7AD4"/>
    <w:rsid w:val="00FF3089"/>
    <w:rsid w:val="00FF31EE"/>
    <w:rsid w:val="00FF3B04"/>
    <w:rsid w:val="00FF66F4"/>
    <w:rsid w:val="00FF6BE9"/>
    <w:rsid w:val="00FF6DCE"/>
    <w:rsid w:val="00FF6F6E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21F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0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30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30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30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30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30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30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30B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30B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321F5"/>
  </w:style>
  <w:style w:type="paragraph" w:customStyle="1" w:styleId="OPCParaBase">
    <w:name w:val="OPCParaBase"/>
    <w:qFormat/>
    <w:rsid w:val="003321F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321F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321F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321F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321F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321F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3321F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321F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321F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321F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321F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321F5"/>
  </w:style>
  <w:style w:type="paragraph" w:customStyle="1" w:styleId="Blocks">
    <w:name w:val="Blocks"/>
    <w:aliases w:val="bb"/>
    <w:basedOn w:val="OPCParaBase"/>
    <w:qFormat/>
    <w:rsid w:val="003321F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321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321F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321F5"/>
    <w:rPr>
      <w:i/>
    </w:rPr>
  </w:style>
  <w:style w:type="paragraph" w:customStyle="1" w:styleId="BoxList">
    <w:name w:val="BoxList"/>
    <w:aliases w:val="bl"/>
    <w:basedOn w:val="BoxText"/>
    <w:qFormat/>
    <w:rsid w:val="003321F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321F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321F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321F5"/>
    <w:pPr>
      <w:ind w:left="1985" w:hanging="851"/>
    </w:pPr>
  </w:style>
  <w:style w:type="character" w:customStyle="1" w:styleId="CharAmPartNo">
    <w:name w:val="CharAmPartNo"/>
    <w:basedOn w:val="OPCCharBase"/>
    <w:qFormat/>
    <w:rsid w:val="003321F5"/>
  </w:style>
  <w:style w:type="character" w:customStyle="1" w:styleId="CharAmPartText">
    <w:name w:val="CharAmPartText"/>
    <w:basedOn w:val="OPCCharBase"/>
    <w:qFormat/>
    <w:rsid w:val="003321F5"/>
  </w:style>
  <w:style w:type="character" w:customStyle="1" w:styleId="CharAmSchNo">
    <w:name w:val="CharAmSchNo"/>
    <w:basedOn w:val="OPCCharBase"/>
    <w:qFormat/>
    <w:rsid w:val="003321F5"/>
  </w:style>
  <w:style w:type="character" w:customStyle="1" w:styleId="CharAmSchText">
    <w:name w:val="CharAmSchText"/>
    <w:basedOn w:val="OPCCharBase"/>
    <w:qFormat/>
    <w:rsid w:val="003321F5"/>
  </w:style>
  <w:style w:type="character" w:customStyle="1" w:styleId="CharBoldItalic">
    <w:name w:val="CharBoldItalic"/>
    <w:basedOn w:val="OPCCharBase"/>
    <w:uiPriority w:val="1"/>
    <w:qFormat/>
    <w:rsid w:val="003321F5"/>
    <w:rPr>
      <w:b/>
      <w:i/>
    </w:rPr>
  </w:style>
  <w:style w:type="character" w:customStyle="1" w:styleId="CharChapNo">
    <w:name w:val="CharChapNo"/>
    <w:basedOn w:val="OPCCharBase"/>
    <w:uiPriority w:val="1"/>
    <w:qFormat/>
    <w:rsid w:val="003321F5"/>
  </w:style>
  <w:style w:type="character" w:customStyle="1" w:styleId="CharChapText">
    <w:name w:val="CharChapText"/>
    <w:basedOn w:val="OPCCharBase"/>
    <w:uiPriority w:val="1"/>
    <w:qFormat/>
    <w:rsid w:val="003321F5"/>
  </w:style>
  <w:style w:type="character" w:customStyle="1" w:styleId="CharDivNo">
    <w:name w:val="CharDivNo"/>
    <w:basedOn w:val="OPCCharBase"/>
    <w:uiPriority w:val="1"/>
    <w:qFormat/>
    <w:rsid w:val="003321F5"/>
  </w:style>
  <w:style w:type="character" w:customStyle="1" w:styleId="CharDivText">
    <w:name w:val="CharDivText"/>
    <w:basedOn w:val="OPCCharBase"/>
    <w:uiPriority w:val="1"/>
    <w:qFormat/>
    <w:rsid w:val="003321F5"/>
  </w:style>
  <w:style w:type="character" w:customStyle="1" w:styleId="CharItalic">
    <w:name w:val="CharItalic"/>
    <w:basedOn w:val="OPCCharBase"/>
    <w:uiPriority w:val="1"/>
    <w:qFormat/>
    <w:rsid w:val="003321F5"/>
    <w:rPr>
      <w:i/>
    </w:rPr>
  </w:style>
  <w:style w:type="character" w:customStyle="1" w:styleId="CharPartNo">
    <w:name w:val="CharPartNo"/>
    <w:basedOn w:val="OPCCharBase"/>
    <w:uiPriority w:val="1"/>
    <w:qFormat/>
    <w:rsid w:val="003321F5"/>
  </w:style>
  <w:style w:type="character" w:customStyle="1" w:styleId="CharPartText">
    <w:name w:val="CharPartText"/>
    <w:basedOn w:val="OPCCharBase"/>
    <w:uiPriority w:val="1"/>
    <w:qFormat/>
    <w:rsid w:val="003321F5"/>
  </w:style>
  <w:style w:type="character" w:customStyle="1" w:styleId="CharSectno">
    <w:name w:val="CharSectno"/>
    <w:basedOn w:val="OPCCharBase"/>
    <w:qFormat/>
    <w:rsid w:val="003321F5"/>
  </w:style>
  <w:style w:type="character" w:customStyle="1" w:styleId="CharSubdNo">
    <w:name w:val="CharSubdNo"/>
    <w:basedOn w:val="OPCCharBase"/>
    <w:uiPriority w:val="1"/>
    <w:qFormat/>
    <w:rsid w:val="003321F5"/>
  </w:style>
  <w:style w:type="character" w:customStyle="1" w:styleId="CharSubdText">
    <w:name w:val="CharSubdText"/>
    <w:basedOn w:val="OPCCharBase"/>
    <w:uiPriority w:val="1"/>
    <w:qFormat/>
    <w:rsid w:val="003321F5"/>
  </w:style>
  <w:style w:type="paragraph" w:customStyle="1" w:styleId="CTA--">
    <w:name w:val="CTA --"/>
    <w:basedOn w:val="OPCParaBase"/>
    <w:next w:val="Normal"/>
    <w:rsid w:val="003321F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321F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321F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321F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321F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321F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321F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321F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321F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321F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321F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321F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321F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321F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3321F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321F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321F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321F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321F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321F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321F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321F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321F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321F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321F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321F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321F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321F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321F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321F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321F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321F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321F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321F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321F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3321F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321F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321F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321F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321F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321F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321F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321F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321F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321F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321F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321F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321F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321F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321F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321F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321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321F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321F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321F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3321F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3321F5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3321F5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3321F5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3321F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3321F5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3321F5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3321F5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3321F5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3321F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321F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321F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321F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321F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321F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321F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321F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3321F5"/>
    <w:rPr>
      <w:sz w:val="16"/>
    </w:rPr>
  </w:style>
  <w:style w:type="table" w:customStyle="1" w:styleId="CFlag">
    <w:name w:val="CFlag"/>
    <w:basedOn w:val="TableNormal"/>
    <w:uiPriority w:val="99"/>
    <w:rsid w:val="003321F5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3321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1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3629"/>
    <w:rPr>
      <w:color w:val="0000FF"/>
      <w:u w:val="single"/>
    </w:rPr>
  </w:style>
  <w:style w:type="table" w:styleId="TableGrid">
    <w:name w:val="Table Grid"/>
    <w:basedOn w:val="TableNormal"/>
    <w:uiPriority w:val="59"/>
    <w:rsid w:val="00332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321F5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9228E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3321F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321F5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321F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321F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321F5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3321F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3321F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321F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3321F5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EndNotessubpara"/>
    <w:rsid w:val="003321F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321F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321F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321F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3321F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321F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321F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321F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321F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321F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3321F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321F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321F5"/>
  </w:style>
  <w:style w:type="character" w:customStyle="1" w:styleId="CharSubPartNoCASA">
    <w:name w:val="CharSubPartNo(CASA)"/>
    <w:basedOn w:val="OPCCharBase"/>
    <w:uiPriority w:val="1"/>
    <w:rsid w:val="003321F5"/>
  </w:style>
  <w:style w:type="paragraph" w:customStyle="1" w:styleId="ENoteTTIndentHeadingSub">
    <w:name w:val="ENoteTTIndentHeadingSub"/>
    <w:aliases w:val="enTTHis"/>
    <w:basedOn w:val="OPCParaBase"/>
    <w:rsid w:val="003321F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321F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321F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321F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3321F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330BD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321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321F5"/>
    <w:rPr>
      <w:sz w:val="22"/>
    </w:rPr>
  </w:style>
  <w:style w:type="paragraph" w:customStyle="1" w:styleId="SOTextNote">
    <w:name w:val="SO TextNote"/>
    <w:aliases w:val="sont"/>
    <w:basedOn w:val="SOText"/>
    <w:qFormat/>
    <w:rsid w:val="003321F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321F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321F5"/>
    <w:rPr>
      <w:sz w:val="22"/>
    </w:rPr>
  </w:style>
  <w:style w:type="paragraph" w:customStyle="1" w:styleId="FileName">
    <w:name w:val="FileName"/>
    <w:basedOn w:val="Normal"/>
    <w:rsid w:val="003321F5"/>
  </w:style>
  <w:style w:type="paragraph" w:customStyle="1" w:styleId="TableHeading">
    <w:name w:val="TableHeading"/>
    <w:aliases w:val="th"/>
    <w:basedOn w:val="OPCParaBase"/>
    <w:next w:val="Tabletext"/>
    <w:rsid w:val="003321F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321F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321F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321F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321F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321F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321F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321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321F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321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321F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3321F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330BD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5330BD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33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30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30B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30B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30B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30B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30B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30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30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aragraphChar">
    <w:name w:val="paragraph Char"/>
    <w:aliases w:val="a Char"/>
    <w:link w:val="paragraph"/>
    <w:locked/>
    <w:rsid w:val="00C25534"/>
    <w:rPr>
      <w:rFonts w:eastAsia="Times New Roman" w:cs="Times New Roman"/>
      <w:sz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21F5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0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30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30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30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30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30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30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30B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30B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321F5"/>
  </w:style>
  <w:style w:type="paragraph" w:customStyle="1" w:styleId="OPCParaBase">
    <w:name w:val="OPCParaBase"/>
    <w:qFormat/>
    <w:rsid w:val="003321F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321F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321F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321F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321F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321F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3321F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321F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321F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321F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321F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321F5"/>
  </w:style>
  <w:style w:type="paragraph" w:customStyle="1" w:styleId="Blocks">
    <w:name w:val="Blocks"/>
    <w:aliases w:val="bb"/>
    <w:basedOn w:val="OPCParaBase"/>
    <w:qFormat/>
    <w:rsid w:val="003321F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321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321F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321F5"/>
    <w:rPr>
      <w:i/>
    </w:rPr>
  </w:style>
  <w:style w:type="paragraph" w:customStyle="1" w:styleId="BoxList">
    <w:name w:val="BoxList"/>
    <w:aliases w:val="bl"/>
    <w:basedOn w:val="BoxText"/>
    <w:qFormat/>
    <w:rsid w:val="003321F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321F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321F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321F5"/>
    <w:pPr>
      <w:ind w:left="1985" w:hanging="851"/>
    </w:pPr>
  </w:style>
  <w:style w:type="character" w:customStyle="1" w:styleId="CharAmPartNo">
    <w:name w:val="CharAmPartNo"/>
    <w:basedOn w:val="OPCCharBase"/>
    <w:qFormat/>
    <w:rsid w:val="003321F5"/>
  </w:style>
  <w:style w:type="character" w:customStyle="1" w:styleId="CharAmPartText">
    <w:name w:val="CharAmPartText"/>
    <w:basedOn w:val="OPCCharBase"/>
    <w:qFormat/>
    <w:rsid w:val="003321F5"/>
  </w:style>
  <w:style w:type="character" w:customStyle="1" w:styleId="CharAmSchNo">
    <w:name w:val="CharAmSchNo"/>
    <w:basedOn w:val="OPCCharBase"/>
    <w:qFormat/>
    <w:rsid w:val="003321F5"/>
  </w:style>
  <w:style w:type="character" w:customStyle="1" w:styleId="CharAmSchText">
    <w:name w:val="CharAmSchText"/>
    <w:basedOn w:val="OPCCharBase"/>
    <w:qFormat/>
    <w:rsid w:val="003321F5"/>
  </w:style>
  <w:style w:type="character" w:customStyle="1" w:styleId="CharBoldItalic">
    <w:name w:val="CharBoldItalic"/>
    <w:basedOn w:val="OPCCharBase"/>
    <w:uiPriority w:val="1"/>
    <w:qFormat/>
    <w:rsid w:val="003321F5"/>
    <w:rPr>
      <w:b/>
      <w:i/>
    </w:rPr>
  </w:style>
  <w:style w:type="character" w:customStyle="1" w:styleId="CharChapNo">
    <w:name w:val="CharChapNo"/>
    <w:basedOn w:val="OPCCharBase"/>
    <w:uiPriority w:val="1"/>
    <w:qFormat/>
    <w:rsid w:val="003321F5"/>
  </w:style>
  <w:style w:type="character" w:customStyle="1" w:styleId="CharChapText">
    <w:name w:val="CharChapText"/>
    <w:basedOn w:val="OPCCharBase"/>
    <w:uiPriority w:val="1"/>
    <w:qFormat/>
    <w:rsid w:val="003321F5"/>
  </w:style>
  <w:style w:type="character" w:customStyle="1" w:styleId="CharDivNo">
    <w:name w:val="CharDivNo"/>
    <w:basedOn w:val="OPCCharBase"/>
    <w:uiPriority w:val="1"/>
    <w:qFormat/>
    <w:rsid w:val="003321F5"/>
  </w:style>
  <w:style w:type="character" w:customStyle="1" w:styleId="CharDivText">
    <w:name w:val="CharDivText"/>
    <w:basedOn w:val="OPCCharBase"/>
    <w:uiPriority w:val="1"/>
    <w:qFormat/>
    <w:rsid w:val="003321F5"/>
  </w:style>
  <w:style w:type="character" w:customStyle="1" w:styleId="CharItalic">
    <w:name w:val="CharItalic"/>
    <w:basedOn w:val="OPCCharBase"/>
    <w:uiPriority w:val="1"/>
    <w:qFormat/>
    <w:rsid w:val="003321F5"/>
    <w:rPr>
      <w:i/>
    </w:rPr>
  </w:style>
  <w:style w:type="character" w:customStyle="1" w:styleId="CharPartNo">
    <w:name w:val="CharPartNo"/>
    <w:basedOn w:val="OPCCharBase"/>
    <w:uiPriority w:val="1"/>
    <w:qFormat/>
    <w:rsid w:val="003321F5"/>
  </w:style>
  <w:style w:type="character" w:customStyle="1" w:styleId="CharPartText">
    <w:name w:val="CharPartText"/>
    <w:basedOn w:val="OPCCharBase"/>
    <w:uiPriority w:val="1"/>
    <w:qFormat/>
    <w:rsid w:val="003321F5"/>
  </w:style>
  <w:style w:type="character" w:customStyle="1" w:styleId="CharSectno">
    <w:name w:val="CharSectno"/>
    <w:basedOn w:val="OPCCharBase"/>
    <w:qFormat/>
    <w:rsid w:val="003321F5"/>
  </w:style>
  <w:style w:type="character" w:customStyle="1" w:styleId="CharSubdNo">
    <w:name w:val="CharSubdNo"/>
    <w:basedOn w:val="OPCCharBase"/>
    <w:uiPriority w:val="1"/>
    <w:qFormat/>
    <w:rsid w:val="003321F5"/>
  </w:style>
  <w:style w:type="character" w:customStyle="1" w:styleId="CharSubdText">
    <w:name w:val="CharSubdText"/>
    <w:basedOn w:val="OPCCharBase"/>
    <w:uiPriority w:val="1"/>
    <w:qFormat/>
    <w:rsid w:val="003321F5"/>
  </w:style>
  <w:style w:type="paragraph" w:customStyle="1" w:styleId="CTA--">
    <w:name w:val="CTA --"/>
    <w:basedOn w:val="OPCParaBase"/>
    <w:next w:val="Normal"/>
    <w:rsid w:val="003321F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321F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321F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321F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321F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321F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321F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321F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321F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321F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321F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321F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321F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321F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3321F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321F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321F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321F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321F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321F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321F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321F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321F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321F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321F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321F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321F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321F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321F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321F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321F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321F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321F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321F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321F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3321F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321F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321F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321F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321F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321F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321F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321F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321F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321F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321F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321F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321F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321F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321F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321F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321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321F5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321F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321F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3321F5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3321F5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3321F5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3321F5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3321F5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3321F5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3321F5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3321F5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3321F5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3321F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321F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321F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321F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321F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321F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321F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321F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3321F5"/>
    <w:rPr>
      <w:sz w:val="16"/>
    </w:rPr>
  </w:style>
  <w:style w:type="table" w:customStyle="1" w:styleId="CFlag">
    <w:name w:val="CFlag"/>
    <w:basedOn w:val="TableNormal"/>
    <w:uiPriority w:val="99"/>
    <w:rsid w:val="003321F5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3321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1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3629"/>
    <w:rPr>
      <w:color w:val="0000FF"/>
      <w:u w:val="single"/>
    </w:rPr>
  </w:style>
  <w:style w:type="table" w:styleId="TableGrid">
    <w:name w:val="Table Grid"/>
    <w:basedOn w:val="TableNormal"/>
    <w:uiPriority w:val="59"/>
    <w:rsid w:val="00332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321F5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39228E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3321F5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321F5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321F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321F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321F5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3321F5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3321F5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321F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3321F5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EndNotessubpara"/>
    <w:rsid w:val="003321F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321F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321F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321F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3321F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321F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321F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321F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321F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321F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3321F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321F5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321F5"/>
  </w:style>
  <w:style w:type="character" w:customStyle="1" w:styleId="CharSubPartNoCASA">
    <w:name w:val="CharSubPartNo(CASA)"/>
    <w:basedOn w:val="OPCCharBase"/>
    <w:uiPriority w:val="1"/>
    <w:rsid w:val="003321F5"/>
  </w:style>
  <w:style w:type="paragraph" w:customStyle="1" w:styleId="ENoteTTIndentHeadingSub">
    <w:name w:val="ENoteTTIndentHeadingSub"/>
    <w:aliases w:val="enTTHis"/>
    <w:basedOn w:val="OPCParaBase"/>
    <w:rsid w:val="003321F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321F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321F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321F5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3321F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330BD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321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321F5"/>
    <w:rPr>
      <w:sz w:val="22"/>
    </w:rPr>
  </w:style>
  <w:style w:type="paragraph" w:customStyle="1" w:styleId="SOTextNote">
    <w:name w:val="SO TextNote"/>
    <w:aliases w:val="sont"/>
    <w:basedOn w:val="SOText"/>
    <w:qFormat/>
    <w:rsid w:val="003321F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321F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321F5"/>
    <w:rPr>
      <w:sz w:val="22"/>
    </w:rPr>
  </w:style>
  <w:style w:type="paragraph" w:customStyle="1" w:styleId="FileName">
    <w:name w:val="FileName"/>
    <w:basedOn w:val="Normal"/>
    <w:rsid w:val="003321F5"/>
  </w:style>
  <w:style w:type="paragraph" w:customStyle="1" w:styleId="TableHeading">
    <w:name w:val="TableHeading"/>
    <w:aliases w:val="th"/>
    <w:basedOn w:val="OPCParaBase"/>
    <w:next w:val="Tabletext"/>
    <w:rsid w:val="003321F5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321F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321F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321F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321F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321F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321F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321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321F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321F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321F5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3321F5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330BD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5330BD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33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30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30B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30B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30B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30B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30B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30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30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aragraphChar">
    <w:name w:val="paragraph Char"/>
    <w:aliases w:val="a Char"/>
    <w:link w:val="paragraph"/>
    <w:locked/>
    <w:rsid w:val="00C25534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34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image" Target="media/image4.wmf"/><Relationship Id="rId33" Type="http://schemas.openxmlformats.org/officeDocument/2006/relationships/footer" Target="footer6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oleObject" Target="embeddings/oleObject2.bin"/><Relationship Id="rId32" Type="http://schemas.openxmlformats.org/officeDocument/2006/relationships/header" Target="header8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3.wmf"/><Relationship Id="rId28" Type="http://schemas.openxmlformats.org/officeDocument/2006/relationships/oleObject" Target="embeddings/oleObject4.bin"/><Relationship Id="rId36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oleObject" Target="embeddings/oleObject1.bin"/><Relationship Id="rId27" Type="http://schemas.openxmlformats.org/officeDocument/2006/relationships/image" Target="media/image5.wmf"/><Relationship Id="rId30" Type="http://schemas.openxmlformats.org/officeDocument/2006/relationships/oleObject" Target="embeddings/oleObject5.bin"/><Relationship Id="rId35" Type="http://schemas.openxmlformats.org/officeDocument/2006/relationships/header" Target="header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2794-38E7-4D24-9F69-F850C114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21</Pages>
  <Words>4283</Words>
  <Characters>22713</Characters>
  <Application>Microsoft Office Word</Application>
  <DocSecurity>0</DocSecurity>
  <PresentationFormat/>
  <Lines>751</Lines>
  <Paragraphs>563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Inst-Environment Protection and Biodiversity Conservation Amendment (Cost Recovery) Regulation 2016</vt:lpstr>
    </vt:vector>
  </TitlesOfParts>
  <Manager/>
  <Company/>
  <LinksUpToDate>false</LinksUpToDate>
  <CharactersWithSpaces>26669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2016-08-10T22:18:00Z</cp:lastPrinted>
  <dcterms:created xsi:type="dcterms:W3CDTF">2016-09-23T03:05:00Z</dcterms:created>
  <dcterms:modified xsi:type="dcterms:W3CDTF">2016-09-23T03:05:00Z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2016</vt:lpwstr>
  </property>
  <property fmtid="{D5CDD505-2E9C-101B-9397-08002B2CF9AE}" pid="3" name="ShortT">
    <vt:lpwstr>Environment Protection and Biodiversity Conservation Amendment (Cost Recovery) Regulation 2016</vt:lpwstr>
  </property>
  <property fmtid="{D5CDD505-2E9C-101B-9397-08002B2CF9AE}" pid="4" name="Class">
    <vt:lpwstr>Regulation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28 September 2016</vt:lpwstr>
  </property>
  <property fmtid="{D5CDD505-2E9C-101B-9397-08002B2CF9AE}" pid="10" name="Authority">
    <vt:lpwstr/>
  </property>
  <property fmtid="{D5CDD505-2E9C-101B-9397-08002B2CF9AE}" pid="11" name="ID">
    <vt:lpwstr>OPC61419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section 520</vt:lpwstr>
  </property>
  <property fmtid="{D5CDD505-2E9C-101B-9397-08002B2CF9AE}" pid="15" name="NonLegInst">
    <vt:lpwstr>0</vt:lpwstr>
  </property>
  <property fmtid="{D5CDD505-2E9C-101B-9397-08002B2CF9AE}" pid="16" name="DoNotAsk">
    <vt:lpwstr>1</vt:lpwstr>
  </property>
  <property fmtid="{D5CDD505-2E9C-101B-9397-08002B2CF9AE}" pid="17" name="ChangedTitle">
    <vt:lpwstr>Environment Protection and Biodiversity Conservation Amendment (Cost Recovery) Regulation 2016</vt:lpwstr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ExcoDate">
    <vt:lpwstr>28 September 2016</vt:lpwstr>
  </property>
</Properties>
</file>