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C2" w:rsidRDefault="00AC02C2">
      <w:pPr>
        <w:pStyle w:val="Title"/>
      </w:pPr>
    </w:p>
    <w:p w:rsidR="00AC02C2" w:rsidRDefault="00AC02C2">
      <w:pPr>
        <w:pStyle w:val="Title"/>
      </w:pPr>
    </w:p>
    <w:p w:rsidR="005B0E3A" w:rsidRDefault="005B0E3A" w:rsidP="005B0E3A">
      <w:pPr>
        <w:spacing w:before="63" w:line="479" w:lineRule="auto"/>
        <w:jc w:val="center"/>
        <w:rPr>
          <w:sz w:val="28"/>
          <w:szCs w:val="28"/>
        </w:rPr>
      </w:pPr>
      <w:r>
        <w:rPr>
          <w:b/>
          <w:color w:val="000000"/>
          <w:sz w:val="28"/>
        </w:rPr>
        <w:t>EXPLANATORY</w:t>
      </w:r>
      <w:r>
        <w:rPr>
          <w:b/>
          <w:color w:val="000000"/>
          <w:spacing w:val="-39"/>
          <w:sz w:val="28"/>
        </w:rPr>
        <w:t xml:space="preserve"> </w:t>
      </w:r>
      <w:r>
        <w:rPr>
          <w:b/>
          <w:color w:val="000000"/>
          <w:spacing w:val="-1"/>
          <w:sz w:val="28"/>
        </w:rPr>
        <w:t xml:space="preserve">STATEMENT for </w:t>
      </w:r>
      <w:r>
        <w:rPr>
          <w:b/>
          <w:color w:val="000000"/>
          <w:spacing w:val="-1"/>
          <w:sz w:val="28"/>
        </w:rPr>
        <w:br/>
      </w:r>
      <w:r w:rsidR="00B92D61">
        <w:rPr>
          <w:b/>
          <w:color w:val="000000"/>
          <w:spacing w:val="-1"/>
          <w:sz w:val="28"/>
        </w:rPr>
        <w:t>ASIC Corporations (Qualified Accountant) Instrument 2016/</w:t>
      </w:r>
      <w:r w:rsidR="00A71320">
        <w:rPr>
          <w:b/>
          <w:color w:val="000000"/>
          <w:spacing w:val="-1"/>
          <w:sz w:val="28"/>
        </w:rPr>
        <w:t>786</w:t>
      </w:r>
      <w:r>
        <w:rPr>
          <w:b/>
          <w:color w:val="000000"/>
          <w:spacing w:val="-1"/>
          <w:sz w:val="28"/>
        </w:rPr>
        <w:t xml:space="preserve"> </w:t>
      </w:r>
    </w:p>
    <w:p w:rsidR="005B0E3A" w:rsidRDefault="005B0E3A" w:rsidP="005B0E3A">
      <w:pPr>
        <w:pStyle w:val="BodyText"/>
        <w:jc w:val="center"/>
      </w:pPr>
      <w:r>
        <w:t>Prepared by the Australian Securities and Investments Commission</w:t>
      </w:r>
    </w:p>
    <w:p w:rsidR="005B0E3A" w:rsidRDefault="005B0E3A" w:rsidP="005B0E3A">
      <w:pPr>
        <w:spacing w:before="4" w:line="220" w:lineRule="exact"/>
        <w:jc w:val="center"/>
      </w:pPr>
    </w:p>
    <w:p w:rsidR="005B0E3A" w:rsidRDefault="005B0E3A" w:rsidP="005B0E3A">
      <w:pPr>
        <w:jc w:val="center"/>
        <w:rPr>
          <w:sz w:val="24"/>
          <w:szCs w:val="24"/>
        </w:rPr>
      </w:pPr>
      <w:r>
        <w:rPr>
          <w:i/>
          <w:sz w:val="24"/>
        </w:rPr>
        <w:t>Corporations Act 2001</w:t>
      </w:r>
    </w:p>
    <w:p w:rsidR="005B0E3A" w:rsidRDefault="005B0E3A" w:rsidP="005B0E3A">
      <w:pPr>
        <w:spacing w:before="3" w:line="220" w:lineRule="exact"/>
      </w:pPr>
    </w:p>
    <w:p w:rsidR="00B92D61" w:rsidRDefault="005B0E3A" w:rsidP="005B0E3A">
      <w:pPr>
        <w:pStyle w:val="BodyText"/>
        <w:spacing w:line="261" w:lineRule="auto"/>
        <w:rPr>
          <w:color w:val="000000"/>
          <w:spacing w:val="-1"/>
        </w:rPr>
      </w:pPr>
      <w:r>
        <w:t xml:space="preserve">The Australian Securities and </w:t>
      </w:r>
      <w:r>
        <w:rPr>
          <w:spacing w:val="-1"/>
        </w:rPr>
        <w:t>Investments</w:t>
      </w:r>
      <w:r>
        <w:t xml:space="preserve"> </w:t>
      </w:r>
      <w:r>
        <w:rPr>
          <w:spacing w:val="-1"/>
        </w:rPr>
        <w:t>Commission</w:t>
      </w:r>
      <w:r>
        <w:t xml:space="preserve"> (ASIC) </w:t>
      </w:r>
      <w:r>
        <w:rPr>
          <w:spacing w:val="-1"/>
        </w:rPr>
        <w:t>makes</w:t>
      </w:r>
      <w:r>
        <w:t xml:space="preserve"> </w:t>
      </w:r>
      <w:r w:rsidR="00B92D61" w:rsidRPr="00A71320">
        <w:t>ASIC Corporations (Qualified Accountant) Instrument 2016/</w:t>
      </w:r>
      <w:r w:rsidR="00A71320" w:rsidRPr="00A71320">
        <w:t>786</w:t>
      </w:r>
      <w:r w:rsidRPr="00B92D61">
        <w:rPr>
          <w:spacing w:val="-1"/>
        </w:rPr>
        <w:t xml:space="preserve"> </w:t>
      </w:r>
      <w:r>
        <w:rPr>
          <w:color w:val="000000"/>
          <w:spacing w:val="-1"/>
        </w:rPr>
        <w:t xml:space="preserve">under </w:t>
      </w:r>
      <w:r w:rsidR="00B92D61" w:rsidRPr="00B92D61">
        <w:t xml:space="preserve">subsection 88B(2) of the </w:t>
      </w:r>
      <w:r w:rsidR="00B92D61" w:rsidRPr="00B92D61">
        <w:rPr>
          <w:i/>
        </w:rPr>
        <w:t xml:space="preserve">Corporations Act 2001 </w:t>
      </w:r>
      <w:r w:rsidR="00B92D61" w:rsidRPr="00B92D61">
        <w:t>(the Corporations Act)</w:t>
      </w:r>
      <w:r w:rsidRPr="00B92D61">
        <w:rPr>
          <w:spacing w:val="-1"/>
        </w:rPr>
        <w:t>.</w:t>
      </w:r>
      <w:r>
        <w:rPr>
          <w:color w:val="000000"/>
          <w:spacing w:val="-1"/>
        </w:rPr>
        <w:t xml:space="preserve"> </w:t>
      </w:r>
    </w:p>
    <w:p w:rsidR="005B0E3A" w:rsidRDefault="00B92D61" w:rsidP="005B0E3A">
      <w:pPr>
        <w:pStyle w:val="BodyText"/>
        <w:spacing w:line="261" w:lineRule="auto"/>
      </w:pPr>
      <w:r>
        <w:rPr>
          <w:color w:val="000000"/>
          <w:spacing w:val="-1"/>
        </w:rPr>
        <w:t>Subs</w:t>
      </w:r>
      <w:r w:rsidR="005B0E3A">
        <w:t xml:space="preserve">ection </w:t>
      </w:r>
      <w:r w:rsidRPr="00B92D61">
        <w:rPr>
          <w:spacing w:val="-1"/>
        </w:rPr>
        <w:t>88B(2) of the Corporations Act</w:t>
      </w:r>
      <w:r w:rsidR="005B0E3A" w:rsidRPr="00B92D61">
        <w:rPr>
          <w:spacing w:val="-1"/>
        </w:rPr>
        <w:t xml:space="preserve"> </w:t>
      </w:r>
      <w:r w:rsidR="005B0E3A">
        <w:rPr>
          <w:color w:val="000000"/>
        </w:rPr>
        <w:t>provides that ASIC may</w:t>
      </w:r>
      <w:r>
        <w:rPr>
          <w:color w:val="000000"/>
        </w:rPr>
        <w:t>, in writing, declare that all members of a specified professional body, or all persons in a specified class of members of a specified professional body, are qualified accountants for the purposes of the Corporations Act</w:t>
      </w:r>
      <w:r w:rsidR="005B0E3A">
        <w:rPr>
          <w:color w:val="000000"/>
        </w:rPr>
        <w:t>.</w:t>
      </w:r>
    </w:p>
    <w:p w:rsidR="005B0E3A" w:rsidRDefault="005B0E3A" w:rsidP="005B0E3A">
      <w:pPr>
        <w:spacing w:before="6" w:line="220" w:lineRule="exact"/>
      </w:pPr>
    </w:p>
    <w:p w:rsidR="005B0E3A" w:rsidRDefault="005B0E3A" w:rsidP="005B0E3A">
      <w:pPr>
        <w:widowControl w:val="0"/>
        <w:numPr>
          <w:ilvl w:val="0"/>
          <w:numId w:val="7"/>
        </w:numPr>
        <w:tabs>
          <w:tab w:val="left" w:pos="1592"/>
        </w:tabs>
        <w:spacing w:before="145" w:after="0"/>
        <w:ind w:left="0" w:firstLine="0"/>
        <w:rPr>
          <w:rFonts w:ascii="Arial" w:eastAsia="Arial" w:hAnsi="Arial" w:cs="Arial"/>
          <w:sz w:val="24"/>
          <w:szCs w:val="24"/>
        </w:rPr>
      </w:pPr>
      <w:bookmarkStart w:id="0" w:name="1._Background"/>
      <w:bookmarkEnd w:id="0"/>
      <w:r>
        <w:rPr>
          <w:rFonts w:ascii="Arial"/>
          <w:b/>
          <w:spacing w:val="-1"/>
          <w:sz w:val="24"/>
        </w:rPr>
        <w:t>Background</w:t>
      </w:r>
    </w:p>
    <w:p w:rsidR="005B0E3A" w:rsidRDefault="005B0E3A" w:rsidP="005B0E3A">
      <w:pPr>
        <w:spacing w:before="4" w:line="220" w:lineRule="exact"/>
      </w:pPr>
    </w:p>
    <w:p w:rsidR="009A1704" w:rsidRDefault="009A1704" w:rsidP="009A1704">
      <w:pPr>
        <w:pStyle w:val="BodyText"/>
      </w:pPr>
      <w:r w:rsidRPr="00125151">
        <w:t xml:space="preserve">Under </w:t>
      </w:r>
      <w:r>
        <w:t xml:space="preserve">paragraph </w:t>
      </w:r>
      <w:r w:rsidRPr="00125151">
        <w:t xml:space="preserve">708(8)(c) </w:t>
      </w:r>
      <w:r>
        <w:t xml:space="preserve">of the </w:t>
      </w:r>
      <w:r w:rsidRPr="00FD639B">
        <w:t>Corporations Act</w:t>
      </w:r>
      <w:r>
        <w:t>,</w:t>
      </w:r>
      <w:r>
        <w:rPr>
          <w:i/>
        </w:rPr>
        <w:t xml:space="preserve"> </w:t>
      </w:r>
      <w:r w:rsidRPr="00042FF3">
        <w:t>a body does</w:t>
      </w:r>
      <w:r w:rsidRPr="00125151">
        <w:t xml:space="preserve"> not need to provide a disclosure document for an offer of its securities</w:t>
      </w:r>
      <w:r>
        <w:t>, as otherwise required by section 708 of the Corporations Act,</w:t>
      </w:r>
      <w:r w:rsidRPr="00125151">
        <w:t xml:space="preserve"> to a person who has been certified by a qualified accountant as having net assets of at least $2.5 million or gross income f</w:t>
      </w:r>
      <w:r w:rsidRPr="004846CF">
        <w:t xml:space="preserve">or </w:t>
      </w:r>
      <w:r w:rsidRPr="00343A47">
        <w:t>each of</w:t>
      </w:r>
      <w:r w:rsidRPr="004846CF">
        <w:t xml:space="preserve"> the last</w:t>
      </w:r>
      <w:r w:rsidRPr="00125151">
        <w:t xml:space="preserve"> two financial years of at least $250,000.</w:t>
      </w:r>
      <w:r>
        <w:t xml:space="preserve"> </w:t>
      </w:r>
    </w:p>
    <w:p w:rsidR="009A1704" w:rsidRDefault="009A1704" w:rsidP="009A1704">
      <w:pPr>
        <w:pStyle w:val="BodyText"/>
      </w:pPr>
      <w:r>
        <w:t>Under paragraph761G(7)(c) of the Corporations Act, certain financial products or financial services are only provided to a person as a retail client if a similar certification is given by a qualified accountant within the six months preceding the giving of the product or service.</w:t>
      </w:r>
    </w:p>
    <w:p w:rsidR="005B0E3A" w:rsidRDefault="009A1704" w:rsidP="009A1704">
      <w:pPr>
        <w:pStyle w:val="BodyText"/>
      </w:pPr>
      <w:r w:rsidRPr="00AE6E47">
        <w:t xml:space="preserve">A qualified accountant is a member of a professional body that is approved by ASIC under </w:t>
      </w:r>
      <w:r>
        <w:t xml:space="preserve">subsection </w:t>
      </w:r>
      <w:r w:rsidRPr="00AE6E47">
        <w:t>88B(2)</w:t>
      </w:r>
      <w:r>
        <w:t xml:space="preserve"> of the Corporations Act</w:t>
      </w:r>
      <w:r w:rsidRPr="00AE6E47">
        <w:t xml:space="preserve">. </w:t>
      </w:r>
    </w:p>
    <w:p w:rsidR="005B0E3A" w:rsidRDefault="005B0E3A" w:rsidP="005B0E3A">
      <w:pPr>
        <w:spacing w:before="1" w:line="120" w:lineRule="exact"/>
        <w:rPr>
          <w:sz w:val="12"/>
          <w:szCs w:val="12"/>
        </w:rPr>
      </w:pPr>
    </w:p>
    <w:p w:rsidR="005B0E3A" w:rsidRDefault="005B0E3A" w:rsidP="005B0E3A">
      <w:pPr>
        <w:spacing w:line="240" w:lineRule="exact"/>
        <w:rPr>
          <w:sz w:val="24"/>
          <w:szCs w:val="24"/>
        </w:rPr>
      </w:pPr>
    </w:p>
    <w:p w:rsidR="005B0E3A" w:rsidRPr="009A1704" w:rsidRDefault="005B0E3A" w:rsidP="005B0E3A">
      <w:pPr>
        <w:pStyle w:val="Heading3"/>
        <w:keepNext w:val="0"/>
        <w:widowControl w:val="0"/>
        <w:numPr>
          <w:ilvl w:val="0"/>
          <w:numId w:val="7"/>
        </w:numPr>
        <w:tabs>
          <w:tab w:val="left" w:pos="1592"/>
        </w:tabs>
        <w:spacing w:after="0" w:line="240" w:lineRule="auto"/>
        <w:ind w:left="0" w:firstLine="0"/>
        <w:jc w:val="left"/>
        <w:rPr>
          <w:rFonts w:ascii="Arial" w:eastAsia="Arial" w:hAnsi="Arial" w:cs="Arial"/>
          <w:b/>
          <w:bCs/>
          <w:sz w:val="24"/>
          <w:szCs w:val="24"/>
        </w:rPr>
      </w:pPr>
      <w:bookmarkStart w:id="1" w:name="2._Purpose_of_the_class_order_"/>
      <w:bookmarkEnd w:id="1"/>
      <w:r w:rsidRPr="009A1704">
        <w:rPr>
          <w:rFonts w:ascii="Arial" w:hAnsi="Arial" w:cs="Arial"/>
          <w:b/>
          <w:spacing w:val="-1"/>
          <w:sz w:val="24"/>
          <w:szCs w:val="24"/>
        </w:rPr>
        <w:t>Purpose</w:t>
      </w:r>
      <w:r w:rsidRPr="009A1704">
        <w:rPr>
          <w:rFonts w:ascii="Arial" w:hAnsi="Arial" w:cs="Arial"/>
          <w:b/>
          <w:sz w:val="24"/>
          <w:szCs w:val="24"/>
        </w:rPr>
        <w:t xml:space="preserve"> of </w:t>
      </w:r>
      <w:r w:rsidRPr="009A1704">
        <w:rPr>
          <w:rFonts w:ascii="Arial" w:hAnsi="Arial" w:cs="Arial"/>
          <w:b/>
          <w:spacing w:val="-1"/>
          <w:sz w:val="24"/>
          <w:szCs w:val="24"/>
        </w:rPr>
        <w:t>the</w:t>
      </w:r>
      <w:r w:rsidRPr="009A1704">
        <w:rPr>
          <w:rFonts w:ascii="Arial" w:hAnsi="Arial" w:cs="Arial"/>
          <w:b/>
          <w:sz w:val="24"/>
          <w:szCs w:val="24"/>
        </w:rPr>
        <w:t xml:space="preserve"> </w:t>
      </w:r>
      <w:r w:rsidRPr="009A1704">
        <w:rPr>
          <w:rFonts w:ascii="Arial" w:hAnsi="Arial" w:cs="Arial"/>
          <w:b/>
          <w:spacing w:val="-1"/>
          <w:sz w:val="24"/>
          <w:szCs w:val="24"/>
        </w:rPr>
        <w:t>instrument</w:t>
      </w:r>
    </w:p>
    <w:p w:rsidR="009A1704" w:rsidRDefault="009A1704" w:rsidP="009A1704">
      <w:pPr>
        <w:pStyle w:val="BodyText"/>
      </w:pPr>
      <w:r>
        <w:t>I</w:t>
      </w:r>
      <w:r w:rsidRPr="00AE6E47">
        <w:t xml:space="preserve">mplicit in the use of the term </w:t>
      </w:r>
      <w:r>
        <w:t>‘</w:t>
      </w:r>
      <w:r w:rsidRPr="00AE6E47">
        <w:t>qualified accountant</w:t>
      </w:r>
      <w:r>
        <w:t>’</w:t>
      </w:r>
      <w:r w:rsidRPr="00AE6E47">
        <w:t xml:space="preserve"> </w:t>
      </w:r>
      <w:r>
        <w:t xml:space="preserve">is </w:t>
      </w:r>
      <w:r w:rsidRPr="00AE6E47">
        <w:t xml:space="preserve">that people who are able to be approved under </w:t>
      </w:r>
      <w:r>
        <w:t>subsection 88B(2) of the Corporations Act</w:t>
      </w:r>
      <w:r w:rsidRPr="00AE6E47">
        <w:t xml:space="preserve"> must be accountants. </w:t>
      </w:r>
    </w:p>
    <w:p w:rsidR="009A1704" w:rsidRDefault="009A1704" w:rsidP="009A1704">
      <w:pPr>
        <w:pStyle w:val="BodyText"/>
      </w:pPr>
      <w:r>
        <w:lastRenderedPageBreak/>
        <w:t>The</w:t>
      </w:r>
      <w:r w:rsidRPr="00AE6E47">
        <w:t xml:space="preserve"> preparation of a certificate under </w:t>
      </w:r>
      <w:r>
        <w:t xml:space="preserve">paragraphs </w:t>
      </w:r>
      <w:r w:rsidRPr="00AE6E47">
        <w:t>708(8)(c)</w:t>
      </w:r>
      <w:r>
        <w:t xml:space="preserve"> or 761G(7)(c)</w:t>
      </w:r>
      <w:r w:rsidRPr="00AE6E47">
        <w:t xml:space="preserve"> </w:t>
      </w:r>
      <w:r>
        <w:t xml:space="preserve">of the Corporations Act </w:t>
      </w:r>
      <w:r w:rsidRPr="00AE6E47">
        <w:t xml:space="preserve">requires the same type of professional accounting expertise and skills </w:t>
      </w:r>
      <w:r>
        <w:t>as</w:t>
      </w:r>
      <w:r w:rsidRPr="00AE6E47">
        <w:t xml:space="preserve"> those used when compiling or auditing a financial report. </w:t>
      </w:r>
      <w:r>
        <w:t xml:space="preserve">This instrument declares that </w:t>
      </w:r>
      <w:r w:rsidRPr="00AE6E47">
        <w:t xml:space="preserve">for the purposes of </w:t>
      </w:r>
      <w:r>
        <w:t>these provisions,</w:t>
      </w:r>
      <w:r w:rsidRPr="00AE6E47">
        <w:t xml:space="preserve"> </w:t>
      </w:r>
      <w:r>
        <w:t xml:space="preserve">a qualified </w:t>
      </w:r>
      <w:r w:rsidR="003C3A37">
        <w:t xml:space="preserve">accountant </w:t>
      </w:r>
      <w:r w:rsidR="003C3A37" w:rsidRPr="009A1704">
        <w:t>is</w:t>
      </w:r>
      <w:r w:rsidRPr="009A1704">
        <w:t xml:space="preserve"> </w:t>
      </w:r>
      <w:r w:rsidR="003C3A37">
        <w:t>the same as a ‘prescribed</w:t>
      </w:r>
      <w:r>
        <w:t xml:space="preserve"> accountant’</w:t>
      </w:r>
      <w:r w:rsidRPr="00AE6E47">
        <w:t xml:space="preserve"> </w:t>
      </w:r>
      <w:r w:rsidRPr="009A1704">
        <w:t xml:space="preserve">as </w:t>
      </w:r>
      <w:r w:rsidR="003C3A37">
        <w:t>defined</w:t>
      </w:r>
      <w:r w:rsidRPr="009A1704">
        <w:t xml:space="preserve"> in</w:t>
      </w:r>
      <w:r w:rsidRPr="00AE6E47">
        <w:t xml:space="preserve"> </w:t>
      </w:r>
      <w:r w:rsidRPr="00A71320">
        <w:t>ASIC Corporations (Audit Relief) Instrument 2016/</w:t>
      </w:r>
      <w:r w:rsidR="00A71320">
        <w:t>784</w:t>
      </w:r>
      <w:r w:rsidRPr="00AE6E47">
        <w:t>.</w:t>
      </w:r>
    </w:p>
    <w:p w:rsidR="005B0E3A" w:rsidRDefault="005B0E3A" w:rsidP="005B0E3A">
      <w:pPr>
        <w:spacing w:before="4" w:line="220" w:lineRule="exact"/>
      </w:pPr>
    </w:p>
    <w:p w:rsidR="005B0E3A" w:rsidRPr="009A1704" w:rsidRDefault="005B0E3A" w:rsidP="005B0E3A">
      <w:pPr>
        <w:pStyle w:val="Heading3"/>
        <w:keepNext w:val="0"/>
        <w:widowControl w:val="0"/>
        <w:numPr>
          <w:ilvl w:val="0"/>
          <w:numId w:val="7"/>
        </w:numPr>
        <w:tabs>
          <w:tab w:val="left" w:pos="1593"/>
        </w:tabs>
        <w:spacing w:after="0" w:line="240" w:lineRule="auto"/>
        <w:ind w:left="0" w:firstLine="0"/>
        <w:jc w:val="left"/>
        <w:rPr>
          <w:rFonts w:ascii="Arial" w:eastAsia="Arial" w:hAnsi="Arial" w:cs="Arial"/>
          <w:b/>
          <w:bCs/>
          <w:sz w:val="24"/>
          <w:szCs w:val="24"/>
        </w:rPr>
      </w:pPr>
      <w:bookmarkStart w:id="2" w:name="3._Operation_of_the_class_order_"/>
      <w:bookmarkEnd w:id="2"/>
      <w:r w:rsidRPr="009A1704">
        <w:rPr>
          <w:rFonts w:ascii="Arial" w:hAnsi="Arial" w:cs="Arial"/>
          <w:b/>
          <w:spacing w:val="-1"/>
          <w:sz w:val="24"/>
          <w:szCs w:val="24"/>
        </w:rPr>
        <w:t>Operation</w:t>
      </w:r>
      <w:r w:rsidRPr="009A1704">
        <w:rPr>
          <w:rFonts w:ascii="Arial" w:hAnsi="Arial" w:cs="Arial"/>
          <w:b/>
          <w:sz w:val="24"/>
          <w:szCs w:val="24"/>
        </w:rPr>
        <w:t xml:space="preserve"> </w:t>
      </w:r>
      <w:r w:rsidRPr="009A1704">
        <w:rPr>
          <w:rFonts w:ascii="Arial" w:hAnsi="Arial" w:cs="Arial"/>
          <w:b/>
          <w:spacing w:val="-1"/>
          <w:sz w:val="24"/>
          <w:szCs w:val="24"/>
        </w:rPr>
        <w:t>of</w:t>
      </w:r>
      <w:r w:rsidRPr="009A1704">
        <w:rPr>
          <w:rFonts w:ascii="Arial" w:hAnsi="Arial" w:cs="Arial"/>
          <w:b/>
          <w:sz w:val="24"/>
          <w:szCs w:val="24"/>
        </w:rPr>
        <w:t xml:space="preserve"> </w:t>
      </w:r>
      <w:r w:rsidRPr="009A1704">
        <w:rPr>
          <w:rFonts w:ascii="Arial" w:hAnsi="Arial" w:cs="Arial"/>
          <w:b/>
          <w:spacing w:val="-1"/>
          <w:sz w:val="24"/>
          <w:szCs w:val="24"/>
        </w:rPr>
        <w:t>the</w:t>
      </w:r>
      <w:r w:rsidRPr="009A1704">
        <w:rPr>
          <w:rFonts w:ascii="Arial" w:hAnsi="Arial" w:cs="Arial"/>
          <w:b/>
          <w:sz w:val="24"/>
          <w:szCs w:val="24"/>
        </w:rPr>
        <w:t xml:space="preserve"> instrument</w:t>
      </w:r>
    </w:p>
    <w:p w:rsidR="005B0E3A" w:rsidRDefault="005B0E3A" w:rsidP="005B0E3A">
      <w:pPr>
        <w:spacing w:before="4" w:line="220" w:lineRule="exact"/>
      </w:pPr>
    </w:p>
    <w:p w:rsidR="005B0E3A" w:rsidRDefault="003C3A37" w:rsidP="005B0E3A">
      <w:pPr>
        <w:pStyle w:val="BodyText"/>
        <w:spacing w:before="199"/>
      </w:pPr>
      <w:r>
        <w:t>A qualified accountant for the purposes of the Corporations Act can only be a member of a class of members of a professional body as specified by the instrument.</w:t>
      </w:r>
    </w:p>
    <w:p w:rsidR="005B0E3A" w:rsidRDefault="005B0E3A" w:rsidP="005B0E3A">
      <w:pPr>
        <w:spacing w:before="1" w:line="120" w:lineRule="exact"/>
        <w:rPr>
          <w:sz w:val="12"/>
          <w:szCs w:val="12"/>
        </w:rPr>
      </w:pPr>
    </w:p>
    <w:p w:rsidR="005B0E3A" w:rsidRDefault="005B0E3A" w:rsidP="005B0E3A">
      <w:pPr>
        <w:spacing w:line="240" w:lineRule="exact"/>
        <w:rPr>
          <w:sz w:val="24"/>
          <w:szCs w:val="24"/>
        </w:rPr>
      </w:pPr>
    </w:p>
    <w:p w:rsidR="005B0E3A" w:rsidRPr="003C3A37" w:rsidRDefault="005B0E3A" w:rsidP="005B0E3A">
      <w:pPr>
        <w:pStyle w:val="Heading3"/>
        <w:keepNext w:val="0"/>
        <w:widowControl w:val="0"/>
        <w:numPr>
          <w:ilvl w:val="0"/>
          <w:numId w:val="7"/>
        </w:numPr>
        <w:tabs>
          <w:tab w:val="left" w:pos="1593"/>
        </w:tabs>
        <w:spacing w:after="0" w:line="240" w:lineRule="auto"/>
        <w:ind w:left="0" w:firstLine="0"/>
        <w:jc w:val="left"/>
        <w:rPr>
          <w:rFonts w:ascii="Arial" w:eastAsia="Arial" w:hAnsi="Arial" w:cs="Arial"/>
          <w:b/>
          <w:bCs/>
          <w:sz w:val="24"/>
          <w:szCs w:val="24"/>
        </w:rPr>
      </w:pPr>
      <w:bookmarkStart w:id="3" w:name="4._Documents_incorporated_by_reference"/>
      <w:bookmarkStart w:id="4" w:name="5._Consultation"/>
      <w:bookmarkEnd w:id="3"/>
      <w:bookmarkEnd w:id="4"/>
      <w:r w:rsidRPr="003C3A37">
        <w:rPr>
          <w:rFonts w:ascii="Arial" w:hAnsi="Arial" w:cs="Arial"/>
          <w:b/>
          <w:sz w:val="24"/>
          <w:szCs w:val="24"/>
        </w:rPr>
        <w:t>Consultation</w:t>
      </w:r>
    </w:p>
    <w:p w:rsidR="005B0E3A" w:rsidRDefault="005B0E3A" w:rsidP="005B0E3A">
      <w:pPr>
        <w:spacing w:before="4" w:line="220" w:lineRule="exact"/>
      </w:pPr>
    </w:p>
    <w:p w:rsidR="003C3A37" w:rsidRDefault="003C3A37" w:rsidP="003C3A37">
      <w:pPr>
        <w:pStyle w:val="Bodytextplain"/>
        <w:spacing w:line="276" w:lineRule="auto"/>
        <w:ind w:left="0"/>
      </w:pPr>
      <w:r>
        <w:t xml:space="preserve">ASIC consulted with stakeholders through Consultation Paper </w:t>
      </w:r>
      <w:r w:rsidR="00A71320">
        <w:t>267</w:t>
      </w:r>
      <w:r>
        <w:t xml:space="preserve"> which was issued for comment on </w:t>
      </w:r>
      <w:r w:rsidR="00A71320">
        <w:t>15 August 2016</w:t>
      </w:r>
      <w:r>
        <w:t xml:space="preserve"> and open for comment to </w:t>
      </w:r>
      <w:r w:rsidR="00A71320">
        <w:t>12 September 2016</w:t>
      </w:r>
      <w:r>
        <w:t>.</w:t>
      </w:r>
    </w:p>
    <w:p w:rsidR="003C3A37" w:rsidRDefault="003C3A37" w:rsidP="003C3A37">
      <w:pPr>
        <w:pStyle w:val="Bodytextplain"/>
        <w:spacing w:line="276" w:lineRule="auto"/>
        <w:ind w:left="0"/>
      </w:pPr>
      <w:r>
        <w:t>The Office of Best Practice Regulation has assessed that a Regulatory Impact Statement is not necessary for this instrument.</w:t>
      </w:r>
    </w:p>
    <w:p w:rsidR="005B0E3A" w:rsidRDefault="005B0E3A" w:rsidP="005B0E3A">
      <w:pPr>
        <w:pStyle w:val="Bodytextplain"/>
        <w:sectPr w:rsidR="005B0E3A" w:rsidSect="00A33E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644" w:right="1418" w:bottom="1418" w:left="1418" w:header="567" w:footer="567" w:gutter="0"/>
          <w:cols w:space="720"/>
          <w:docGrid w:linePitch="299"/>
        </w:sectPr>
      </w:pPr>
    </w:p>
    <w:p w:rsidR="000076D6" w:rsidRDefault="000076D6">
      <w:bookmarkStart w:id="5" w:name="_GoBack"/>
      <w:bookmarkEnd w:id="5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492760</wp:posOffset>
                </wp:positionV>
                <wp:extent cx="5311140" cy="6791325"/>
                <wp:effectExtent l="38100" t="38100" r="41910" b="476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140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6D6" w:rsidRPr="00834797" w:rsidRDefault="000076D6" w:rsidP="000076D6">
                            <w:pPr>
                              <w:spacing w:before="360" w:after="120"/>
                              <w:jc w:val="center"/>
                              <w:rPr>
                                <w:b/>
                              </w:rPr>
                            </w:pPr>
                            <w:r w:rsidRPr="00834797">
                              <w:rPr>
                                <w:b/>
                              </w:rPr>
                              <w:t>Statement of Compatibility with Human Rights</w:t>
                            </w:r>
                          </w:p>
                          <w:p w:rsidR="000076D6" w:rsidRPr="00247F54" w:rsidRDefault="000076D6" w:rsidP="000076D6">
                            <w:pPr>
                              <w:spacing w:before="120" w:after="120"/>
                              <w:jc w:val="center"/>
                            </w:pPr>
                            <w:r w:rsidRPr="00247F54">
                              <w:rPr>
                                <w:i/>
                              </w:rPr>
                              <w:t>Prepared in accordance with Part 3 of the Human Rights (Parliamentary Scrutiny) Act 2011</w:t>
                            </w:r>
                          </w:p>
                          <w:p w:rsidR="000076D6" w:rsidRPr="00247F54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:rsidR="000076D6" w:rsidRPr="00247F54" w:rsidRDefault="003C3A37" w:rsidP="000076D6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ASIC Corporations (Qualified Accountant) Instrument 2016/</w:t>
                            </w:r>
                            <w:r w:rsidR="00A71320">
                              <w:rPr>
                                <w:b/>
                              </w:rPr>
                              <w:t>786</w:t>
                            </w:r>
                          </w:p>
                          <w:p w:rsidR="000076D6" w:rsidRPr="00247F54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:rsidR="000076D6" w:rsidRPr="00247F54" w:rsidRDefault="003C3A37" w:rsidP="000076D6">
                            <w:pPr>
                              <w:spacing w:before="120" w:after="120"/>
                              <w:jc w:val="center"/>
                            </w:pPr>
                            <w:r w:rsidRPr="00A71320">
                              <w:t>ASIC Corporations (Qualified Accountant) Instrument 2016/</w:t>
                            </w:r>
                            <w:r w:rsidR="00A71320" w:rsidRPr="00A71320">
                              <w:t>786</w:t>
                            </w:r>
                            <w:r w:rsidRPr="00A71320">
                              <w:t xml:space="preserve"> </w:t>
                            </w:r>
                            <w:r w:rsidR="000076D6" w:rsidRPr="00247F54">
                              <w:t xml:space="preserve">is compatible with the human rights and freedoms recognised or declared in the international instruments listed in section 3 of the </w:t>
                            </w:r>
                            <w:r w:rsidR="000076D6" w:rsidRPr="00247F54">
                              <w:rPr>
                                <w:i/>
                              </w:rPr>
                              <w:t>Human Rights (Parliamentary Scrutiny) Act 2011</w:t>
                            </w:r>
                            <w:r w:rsidR="000076D6" w:rsidRPr="00247F54">
                              <w:t>.</w:t>
                            </w:r>
                          </w:p>
                          <w:p w:rsidR="000076D6" w:rsidRPr="00247F54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:rsidR="000076D6" w:rsidRPr="00247F54" w:rsidRDefault="000076D6" w:rsidP="000076D6">
                            <w:pPr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Overview</w:t>
                            </w:r>
                          </w:p>
                          <w:p w:rsidR="000076D6" w:rsidRPr="00F640B8" w:rsidRDefault="0043055B" w:rsidP="000076D6">
                            <w:pPr>
                              <w:spacing w:before="120" w:after="120"/>
                            </w:pPr>
                            <w:r>
                              <w:t>The instrument specifies the members of professional bodies wh</w:t>
                            </w:r>
                            <w:r w:rsidR="00C356D4">
                              <w:t xml:space="preserve">o </w:t>
                            </w:r>
                            <w:r>
                              <w:t>are qualified accountants for the purposes of the Corporations Act.</w:t>
                            </w:r>
                          </w:p>
                          <w:p w:rsidR="000076D6" w:rsidRPr="00883DB6" w:rsidRDefault="000076D6" w:rsidP="000076D6">
                            <w:pPr>
                              <w:spacing w:before="120" w:after="120"/>
                            </w:pPr>
                          </w:p>
                          <w:p w:rsidR="000076D6" w:rsidRPr="00247F54" w:rsidRDefault="000076D6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Human rights implications</w:t>
                            </w:r>
                          </w:p>
                          <w:p w:rsidR="000076D6" w:rsidRPr="00247F54" w:rsidRDefault="000076D6" w:rsidP="000076D6">
                            <w:pPr>
                              <w:spacing w:before="120" w:after="120"/>
                            </w:pPr>
                            <w:r w:rsidRPr="00247F54">
                              <w:t xml:space="preserve">This </w:t>
                            </w:r>
                            <w:r>
                              <w:t>l</w:t>
                            </w:r>
                            <w:r w:rsidRPr="00247F54">
                              <w:t xml:space="preserve">egislative </w:t>
                            </w:r>
                            <w:r>
                              <w:t>i</w:t>
                            </w:r>
                            <w:r w:rsidRPr="00247F54">
                              <w:t>nstrument does not engage any of the applicable rights or freedoms.</w:t>
                            </w:r>
                          </w:p>
                          <w:p w:rsidR="000076D6" w:rsidRPr="00247F54" w:rsidRDefault="000076D6" w:rsidP="000076D6">
                            <w:pPr>
                              <w:spacing w:before="120" w:after="120"/>
                            </w:pPr>
                          </w:p>
                          <w:p w:rsidR="000076D6" w:rsidRPr="00247F54" w:rsidRDefault="000076D6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Conclusion</w:t>
                            </w:r>
                          </w:p>
                          <w:p w:rsidR="000076D6" w:rsidRPr="00247F54" w:rsidRDefault="000076D6" w:rsidP="000076D6">
                            <w:pPr>
                              <w:spacing w:before="120" w:after="120"/>
                            </w:pPr>
                            <w:r w:rsidRPr="00247F54">
                              <w:t xml:space="preserve">This </w:t>
                            </w:r>
                            <w:r>
                              <w:t>l</w:t>
                            </w:r>
                            <w:r w:rsidRPr="00247F54">
                              <w:t xml:space="preserve">egislative </w:t>
                            </w:r>
                            <w:r>
                              <w:t>i</w:t>
                            </w:r>
                            <w:r w:rsidRPr="00247F54">
                              <w:t>nstrument is compatible with human rights as it does not raise any human rights issues.</w:t>
                            </w:r>
                          </w:p>
                          <w:p w:rsidR="000076D6" w:rsidRPr="00E4135E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:rsidR="000076D6" w:rsidRPr="00E4135E" w:rsidRDefault="0043055B" w:rsidP="000076D6">
                            <w:pPr>
                              <w:spacing w:before="120" w:after="12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Australian Securities and Investments Commission</w:t>
                            </w:r>
                          </w:p>
                        </w:txbxContent>
                      </wps:txbx>
                      <wps:bodyPr rot="0" vert="horz" wrap="square" lIns="180000" tIns="45720" rIns="18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5pt;margin-top:38.8pt;width:418.2pt;height:5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" strokeweight="6pt">
                <v:stroke linestyle="thickBetweenThin"/>
                <v:textbox inset="5mm,,5mm">
                  <w:txbxContent>
                    <w:p w:rsidR="000076D6" w:rsidRPr="00834797" w:rsidRDefault="000076D6" w:rsidP="000076D6">
                      <w:pPr>
                        <w:spacing w:before="360" w:after="120"/>
                        <w:jc w:val="center"/>
                        <w:rPr>
                          <w:b/>
                        </w:rPr>
                      </w:pPr>
                      <w:r w:rsidRPr="00834797">
                        <w:rPr>
                          <w:b/>
                        </w:rPr>
                        <w:t>Statement of Compatibility with Human Rights</w:t>
                      </w:r>
                    </w:p>
                    <w:p w:rsidR="000076D6" w:rsidRPr="00247F54" w:rsidRDefault="000076D6" w:rsidP="000076D6">
                      <w:pPr>
                        <w:spacing w:before="120" w:after="120"/>
                        <w:jc w:val="center"/>
                      </w:pPr>
                      <w:r w:rsidRPr="00247F54">
                        <w:rPr>
                          <w:i/>
                        </w:rPr>
                        <w:t>Prepared in accordance with Part 3 of the Human Rights (Parliamentary Scrutiny) Act 2011</w:t>
                      </w:r>
                    </w:p>
                    <w:p w:rsidR="000076D6" w:rsidRPr="00247F54" w:rsidRDefault="000076D6" w:rsidP="000076D6">
                      <w:pPr>
                        <w:spacing w:before="120" w:after="120"/>
                        <w:jc w:val="center"/>
                      </w:pPr>
                    </w:p>
                    <w:p w:rsidR="000076D6" w:rsidRPr="00247F54" w:rsidRDefault="003C3A37" w:rsidP="000076D6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ASIC Corporations (Qualified Accountant) Instrument 2016/</w:t>
                      </w:r>
                      <w:r w:rsidR="00A71320">
                        <w:rPr>
                          <w:b/>
                        </w:rPr>
                        <w:t>786</w:t>
                      </w:r>
                    </w:p>
                    <w:p w:rsidR="000076D6" w:rsidRPr="00247F54" w:rsidRDefault="000076D6" w:rsidP="000076D6">
                      <w:pPr>
                        <w:spacing w:before="120" w:after="120"/>
                        <w:jc w:val="center"/>
                      </w:pPr>
                    </w:p>
                    <w:p w:rsidR="000076D6" w:rsidRPr="00247F54" w:rsidRDefault="003C3A37" w:rsidP="000076D6">
                      <w:pPr>
                        <w:spacing w:before="120" w:after="120"/>
                        <w:jc w:val="center"/>
                      </w:pPr>
                      <w:r w:rsidRPr="00A71320">
                        <w:t>ASIC Corporations (Qualified Accountant) Instrument 2016/</w:t>
                      </w:r>
                      <w:r w:rsidR="00A71320" w:rsidRPr="00A71320">
                        <w:t>786</w:t>
                      </w:r>
                      <w:r w:rsidRPr="00A71320">
                        <w:t xml:space="preserve"> </w:t>
                      </w:r>
                      <w:r w:rsidR="000076D6" w:rsidRPr="00247F54">
                        <w:t xml:space="preserve">is compatible with the human rights and freedoms recognised or declared in the international instruments listed in section 3 of the </w:t>
                      </w:r>
                      <w:r w:rsidR="000076D6" w:rsidRPr="00247F54">
                        <w:rPr>
                          <w:i/>
                        </w:rPr>
                        <w:t>Human Rights (Parliamentary Scrutiny) Act 2011</w:t>
                      </w:r>
                      <w:r w:rsidR="000076D6" w:rsidRPr="00247F54">
                        <w:t>.</w:t>
                      </w:r>
                    </w:p>
                    <w:p w:rsidR="000076D6" w:rsidRPr="00247F54" w:rsidRDefault="000076D6" w:rsidP="000076D6">
                      <w:pPr>
                        <w:spacing w:before="120" w:after="120"/>
                        <w:jc w:val="center"/>
                      </w:pPr>
                    </w:p>
                    <w:p w:rsidR="000076D6" w:rsidRPr="00247F54" w:rsidRDefault="000076D6" w:rsidP="000076D6">
                      <w:pPr>
                        <w:spacing w:before="120" w:after="120"/>
                        <w:jc w:val="both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Overview</w:t>
                      </w:r>
                    </w:p>
                    <w:p w:rsidR="000076D6" w:rsidRPr="00F640B8" w:rsidRDefault="0043055B" w:rsidP="000076D6">
                      <w:pPr>
                        <w:spacing w:before="120" w:after="120"/>
                      </w:pPr>
                      <w:r>
                        <w:t>The instrument specifies the members of professional bodies wh</w:t>
                      </w:r>
                      <w:r w:rsidR="00C356D4">
                        <w:t xml:space="preserve">o </w:t>
                      </w:r>
                      <w:r>
                        <w:t>are qualified accountants for the purposes of the Corporations Act.</w:t>
                      </w:r>
                    </w:p>
                    <w:p w:rsidR="000076D6" w:rsidRPr="00883DB6" w:rsidRDefault="000076D6" w:rsidP="000076D6">
                      <w:pPr>
                        <w:spacing w:before="120" w:after="120"/>
                      </w:pPr>
                    </w:p>
                    <w:p w:rsidR="000076D6" w:rsidRPr="00247F54" w:rsidRDefault="000076D6" w:rsidP="000076D6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Human rights implications</w:t>
                      </w:r>
                    </w:p>
                    <w:p w:rsidR="000076D6" w:rsidRPr="00247F54" w:rsidRDefault="000076D6" w:rsidP="000076D6">
                      <w:pPr>
                        <w:spacing w:before="120" w:after="120"/>
                      </w:pPr>
                      <w:r w:rsidRPr="00247F54">
                        <w:t xml:space="preserve">This </w:t>
                      </w:r>
                      <w:r>
                        <w:t>l</w:t>
                      </w:r>
                      <w:r w:rsidRPr="00247F54">
                        <w:t xml:space="preserve">egislative </w:t>
                      </w:r>
                      <w:r>
                        <w:t>i</w:t>
                      </w:r>
                      <w:r w:rsidRPr="00247F54">
                        <w:t>nstrument does not engage any of the applicable rights or freedoms.</w:t>
                      </w:r>
                    </w:p>
                    <w:p w:rsidR="000076D6" w:rsidRPr="00247F54" w:rsidRDefault="000076D6" w:rsidP="000076D6">
                      <w:pPr>
                        <w:spacing w:before="120" w:after="120"/>
                      </w:pPr>
                    </w:p>
                    <w:p w:rsidR="000076D6" w:rsidRPr="00247F54" w:rsidRDefault="000076D6" w:rsidP="000076D6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Conclusion</w:t>
                      </w:r>
                    </w:p>
                    <w:p w:rsidR="000076D6" w:rsidRPr="00247F54" w:rsidRDefault="000076D6" w:rsidP="000076D6">
                      <w:pPr>
                        <w:spacing w:before="120" w:after="120"/>
                      </w:pPr>
                      <w:r w:rsidRPr="00247F54">
                        <w:t xml:space="preserve">This </w:t>
                      </w:r>
                      <w:r>
                        <w:t>l</w:t>
                      </w:r>
                      <w:r w:rsidRPr="00247F54">
                        <w:t xml:space="preserve">egislative </w:t>
                      </w:r>
                      <w:r>
                        <w:t>i</w:t>
                      </w:r>
                      <w:r w:rsidRPr="00247F54">
                        <w:t>nstrument is compatible with human rights as it does not raise any human rights issues.</w:t>
                      </w:r>
                    </w:p>
                    <w:p w:rsidR="000076D6" w:rsidRPr="00E4135E" w:rsidRDefault="000076D6" w:rsidP="000076D6">
                      <w:pPr>
                        <w:spacing w:before="120" w:after="120"/>
                        <w:jc w:val="center"/>
                      </w:pPr>
                    </w:p>
                    <w:p w:rsidR="000076D6" w:rsidRPr="00E4135E" w:rsidRDefault="0043055B" w:rsidP="000076D6">
                      <w:pPr>
                        <w:spacing w:before="120" w:after="120"/>
                        <w:jc w:val="center"/>
                      </w:pPr>
                      <w:r>
                        <w:rPr>
                          <w:b/>
                        </w:rPr>
                        <w:t>Australian Securities and Investments Commission</w:t>
                      </w:r>
                    </w:p>
                  </w:txbxContent>
                </v:textbox>
              </v:rect>
            </w:pict>
          </mc:Fallback>
        </mc:AlternateContent>
      </w:r>
    </w:p>
    <w:sectPr w:rsidR="000076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61" w:rsidRDefault="00B92D61">
      <w:pPr>
        <w:spacing w:after="0"/>
      </w:pPr>
      <w:r>
        <w:separator/>
      </w:r>
    </w:p>
  </w:endnote>
  <w:endnote w:type="continuationSeparator" w:id="0">
    <w:p w:rsidR="00B92D61" w:rsidRDefault="00B92D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A4B" w:rsidRDefault="005B0E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:rsidR="00C27A4B" w:rsidRDefault="00C356D4">
    <w:pPr>
      <w:pStyle w:val="Footer"/>
      <w:ind w:right="360"/>
    </w:pPr>
  </w:p>
  <w:p w:rsidR="00C27A4B" w:rsidRDefault="00C356D4"/>
  <w:p w:rsidR="00C27A4B" w:rsidRDefault="00C356D4"/>
  <w:p w:rsidR="00C27A4B" w:rsidRDefault="00C356D4"/>
  <w:p w:rsidR="00C27A4B" w:rsidRDefault="00C356D4"/>
  <w:p w:rsidR="00C27A4B" w:rsidRDefault="00C356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A4B" w:rsidRDefault="005B0E3A">
    <w:pPr>
      <w:pStyle w:val="Footer"/>
      <w:pBdr>
        <w:top w:val="single" w:sz="4" w:space="1" w:color="117DC7"/>
      </w:pBdr>
      <w:rPr>
        <w:b/>
        <w:color w:val="117DC7"/>
      </w:rPr>
    </w:pPr>
    <w:r>
      <w:rPr>
        <w:noProof/>
        <w:color w:val="117DC7"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8D6D152" wp14:editId="4429198B">
              <wp:simplePos x="0" y="0"/>
              <wp:positionH relativeFrom="rightMargin">
                <wp:posOffset>-648335</wp:posOffset>
              </wp:positionH>
              <wp:positionV relativeFrom="paragraph">
                <wp:posOffset>36195</wp:posOffset>
              </wp:positionV>
              <wp:extent cx="657860" cy="158750"/>
              <wp:effectExtent l="1270" t="2540" r="0" b="63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A4B" w:rsidRPr="008F541E" w:rsidRDefault="005B0E3A" w:rsidP="009E142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F541E">
                            <w:rPr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356D4">
                            <w:rPr>
                              <w:rStyle w:val="PageNumber"/>
                              <w:rFonts w:ascii="Arial" w:hAnsi="Arial" w:cs="Arial"/>
                              <w:noProof/>
                              <w:color w:val="117DC7"/>
                              <w:sz w:val="16"/>
                              <w:szCs w:val="16"/>
                            </w:rPr>
                            <w:t>2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51.05pt;margin-top:2.85pt;width:51.8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t/egIAAP8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" stroked="f">
              <v:textbox inset="0,0,0,0">
                <w:txbxContent>
                  <w:p w:rsidR="00C27A4B" w:rsidRPr="008F541E" w:rsidRDefault="005B0E3A" w:rsidP="009E142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F541E">
                      <w:rPr>
                        <w:rFonts w:ascii="Arial" w:hAnsi="Arial" w:cs="Arial"/>
                        <w:color w:val="117DC7"/>
                        <w:sz w:val="16"/>
                        <w:szCs w:val="16"/>
                      </w:rPr>
                      <w:t xml:space="preserve">Page 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begin"/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instrText xml:space="preserve"> PAGE </w:instrTex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separate"/>
                    </w:r>
                    <w:r w:rsidR="00C356D4">
                      <w:rPr>
                        <w:rStyle w:val="PageNumber"/>
                        <w:rFonts w:ascii="Arial" w:hAnsi="Arial" w:cs="Arial"/>
                        <w:noProof/>
                        <w:color w:val="117DC7"/>
                        <w:sz w:val="16"/>
                        <w:szCs w:val="16"/>
                      </w:rPr>
                      <w:t>2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color w:val="117DC7"/>
      </w:rPr>
      <w:t>© Australian Securities and Investments Commission</w:t>
    </w:r>
    <w:r>
      <w:rPr>
        <w:color w:val="117DC7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61" w:rsidRDefault="00B92D61">
      <w:pPr>
        <w:spacing w:after="0"/>
      </w:pPr>
      <w:r>
        <w:separator/>
      </w:r>
    </w:p>
  </w:footnote>
  <w:footnote w:type="continuationSeparator" w:id="0">
    <w:p w:rsidR="00B92D61" w:rsidRDefault="00B92D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A4B" w:rsidRDefault="00C356D4"/>
  <w:p w:rsidR="00C27A4B" w:rsidRDefault="00C356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A4B" w:rsidRDefault="0043055B">
    <w:pPr>
      <w:pStyle w:val="Footer"/>
      <w:pBdr>
        <w:bottom w:val="single" w:sz="4" w:space="1" w:color="117DC7"/>
      </w:pBdr>
      <w:jc w:val="right"/>
      <w:rPr>
        <w:color w:val="117DC7"/>
      </w:rPr>
    </w:pPr>
    <w:r>
      <w:t>Explanatory Statement: ASIC Corporations (Qualified Accountant) Instrument 2016/</w:t>
    </w:r>
    <w:r w:rsidR="00A71320">
      <w:t>786</w:t>
    </w:r>
  </w:p>
  <w:p w:rsidR="00C27A4B" w:rsidRDefault="00C356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A4B" w:rsidRDefault="005B0E3A">
    <w:pPr>
      <w:pStyle w:val="Header"/>
      <w:pBdr>
        <w:bottom w:val="none" w:sz="0" w:space="0" w:color="auto"/>
      </w:pBdr>
      <w:jc w:val="center"/>
      <w:rPr>
        <w:b/>
        <w:bCs/>
        <w:color w:val="C0C0C0"/>
        <w:sz w:val="48"/>
        <w:lang w:val="en-US"/>
      </w:rPr>
    </w:pPr>
    <w:r>
      <w:rPr>
        <w:b/>
        <w:bCs/>
        <w:color w:val="C0C0C0"/>
        <w:sz w:val="48"/>
        <w:lang w:val="en-US"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6FB"/>
    <w:multiLevelType w:val="hybridMultilevel"/>
    <w:tmpl w:val="0914A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57CCC"/>
    <w:multiLevelType w:val="hybridMultilevel"/>
    <w:tmpl w:val="DC38FDD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53580"/>
    <w:multiLevelType w:val="hybridMultilevel"/>
    <w:tmpl w:val="6F36FAF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D5EBF"/>
    <w:multiLevelType w:val="hybridMultilevel"/>
    <w:tmpl w:val="02AE4EDA"/>
    <w:lvl w:ilvl="0" w:tplc="4DAE7A4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0C6808"/>
    <w:multiLevelType w:val="multilevel"/>
    <w:tmpl w:val="A044F19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lvlText w:val="(%5)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>
    <w:nsid w:val="243B1A7D"/>
    <w:multiLevelType w:val="multilevel"/>
    <w:tmpl w:val="2BF2360A"/>
    <w:name w:val="ASIC proposal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117DC7"/>
        <w:sz w:val="36"/>
        <w:szCs w:val="72"/>
      </w:rPr>
    </w:lvl>
    <w:lvl w:ilvl="1">
      <w:start w:val="1"/>
      <w:numFmt w:val="decimal"/>
      <w:lvlText w:val="%1%2"/>
      <w:lvlJc w:val="left"/>
      <w:pPr>
        <w:tabs>
          <w:tab w:val="num" w:pos="2693"/>
        </w:tabs>
        <w:ind w:left="2693" w:hanging="425"/>
      </w:pPr>
      <w:rPr>
        <w:rFonts w:hint="default"/>
        <w:b/>
        <w:i w:val="0"/>
        <w:color w:val="auto"/>
        <w:sz w:val="16"/>
        <w:szCs w:val="16"/>
      </w:rPr>
    </w:lvl>
    <w:lvl w:ilvl="2">
      <w:start w:val="1"/>
      <w:numFmt w:val="lowerLetter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6"/>
        <w:szCs w:val="1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8"/>
        <w:szCs w:val="18"/>
      </w:rPr>
    </w:lvl>
    <w:lvl w:ilvl="4">
      <w:start w:val="1"/>
      <w:numFmt w:val="decimal"/>
      <w:lvlText w:val="%1%2Q%5"/>
      <w:lvlJc w:val="left"/>
      <w:pPr>
        <w:tabs>
          <w:tab w:val="num" w:pos="3799"/>
        </w:tabs>
        <w:ind w:left="3799" w:hanging="567"/>
      </w:pPr>
      <w:rPr>
        <w:rFonts w:hint="default"/>
        <w:sz w:val="16"/>
        <w:szCs w:val="16"/>
      </w:rPr>
    </w:lvl>
    <w:lvl w:ilvl="5">
      <w:start w:val="1"/>
      <w:numFmt w:val="lowerLetter"/>
      <w:lvlText w:val="             (%6)"/>
      <w:lvlJc w:val="left"/>
      <w:pPr>
        <w:tabs>
          <w:tab w:val="num" w:pos="4139"/>
        </w:tabs>
        <w:ind w:left="4139" w:hanging="907"/>
      </w:pPr>
      <w:rPr>
        <w:rFonts w:hint="default"/>
        <w:sz w:val="16"/>
        <w:szCs w:val="16"/>
      </w:rPr>
    </w:lvl>
    <w:lvl w:ilvl="6">
      <w:start w:val="1"/>
      <w:numFmt w:val="lowerRoman"/>
      <w:lvlText w:val="                    (%7)"/>
      <w:lvlJc w:val="left"/>
      <w:pPr>
        <w:tabs>
          <w:tab w:val="num" w:pos="4423"/>
        </w:tabs>
        <w:ind w:left="4423" w:hanging="1191"/>
      </w:pPr>
      <w:rPr>
        <w:rFonts w:hint="default"/>
        <w:sz w:val="16"/>
        <w:szCs w:val="16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>
    <w:nsid w:val="26D1652F"/>
    <w:multiLevelType w:val="hybridMultilevel"/>
    <w:tmpl w:val="2A2AD262"/>
    <w:lvl w:ilvl="0" w:tplc="0C09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34B84359"/>
    <w:multiLevelType w:val="hybridMultilevel"/>
    <w:tmpl w:val="FA8EC35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33E7B"/>
    <w:multiLevelType w:val="hybridMultilevel"/>
    <w:tmpl w:val="480E8D74"/>
    <w:lvl w:ilvl="0" w:tplc="230AAAF4">
      <w:start w:val="1"/>
      <w:numFmt w:val="decimal"/>
      <w:lvlText w:val="%1."/>
      <w:lvlJc w:val="left"/>
      <w:pPr>
        <w:ind w:left="1591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BDE478C">
      <w:start w:val="1"/>
      <w:numFmt w:val="bullet"/>
      <w:lvlText w:val="•"/>
      <w:lvlJc w:val="left"/>
      <w:pPr>
        <w:ind w:left="2324" w:hanging="720"/>
      </w:pPr>
      <w:rPr>
        <w:rFonts w:hint="default"/>
      </w:rPr>
    </w:lvl>
    <w:lvl w:ilvl="2" w:tplc="32C2B520">
      <w:start w:val="1"/>
      <w:numFmt w:val="bullet"/>
      <w:lvlText w:val="•"/>
      <w:lvlJc w:val="left"/>
      <w:pPr>
        <w:ind w:left="3057" w:hanging="720"/>
      </w:pPr>
      <w:rPr>
        <w:rFonts w:hint="default"/>
      </w:rPr>
    </w:lvl>
    <w:lvl w:ilvl="3" w:tplc="349E1F8C">
      <w:start w:val="1"/>
      <w:numFmt w:val="bullet"/>
      <w:lvlText w:val="•"/>
      <w:lvlJc w:val="left"/>
      <w:pPr>
        <w:ind w:left="3790" w:hanging="720"/>
      </w:pPr>
      <w:rPr>
        <w:rFonts w:hint="default"/>
      </w:rPr>
    </w:lvl>
    <w:lvl w:ilvl="4" w:tplc="8CB208BC">
      <w:start w:val="1"/>
      <w:numFmt w:val="bullet"/>
      <w:lvlText w:val="•"/>
      <w:lvlJc w:val="left"/>
      <w:pPr>
        <w:ind w:left="4523" w:hanging="720"/>
      </w:pPr>
      <w:rPr>
        <w:rFonts w:hint="default"/>
      </w:rPr>
    </w:lvl>
    <w:lvl w:ilvl="5" w:tplc="6CBE2404">
      <w:start w:val="1"/>
      <w:numFmt w:val="bullet"/>
      <w:lvlText w:val="•"/>
      <w:lvlJc w:val="left"/>
      <w:pPr>
        <w:ind w:left="5255" w:hanging="720"/>
      </w:pPr>
      <w:rPr>
        <w:rFonts w:hint="default"/>
      </w:rPr>
    </w:lvl>
    <w:lvl w:ilvl="6" w:tplc="122C6A98">
      <w:start w:val="1"/>
      <w:numFmt w:val="bullet"/>
      <w:lvlText w:val="•"/>
      <w:lvlJc w:val="left"/>
      <w:pPr>
        <w:ind w:left="5988" w:hanging="720"/>
      </w:pPr>
      <w:rPr>
        <w:rFonts w:hint="default"/>
      </w:rPr>
    </w:lvl>
    <w:lvl w:ilvl="7" w:tplc="B3AA378A">
      <w:start w:val="1"/>
      <w:numFmt w:val="bullet"/>
      <w:lvlText w:val="•"/>
      <w:lvlJc w:val="left"/>
      <w:pPr>
        <w:ind w:left="6721" w:hanging="720"/>
      </w:pPr>
      <w:rPr>
        <w:rFonts w:hint="default"/>
      </w:rPr>
    </w:lvl>
    <w:lvl w:ilvl="8" w:tplc="1C92557E">
      <w:start w:val="1"/>
      <w:numFmt w:val="bullet"/>
      <w:lvlText w:val="•"/>
      <w:lvlJc w:val="left"/>
      <w:pPr>
        <w:ind w:left="7454" w:hanging="720"/>
      </w:pPr>
      <w:rPr>
        <w:rFonts w:hint="default"/>
      </w:rPr>
    </w:lvl>
  </w:abstractNum>
  <w:abstractNum w:abstractNumId="9">
    <w:nsid w:val="44E12992"/>
    <w:multiLevelType w:val="hybridMultilevel"/>
    <w:tmpl w:val="40046D04"/>
    <w:lvl w:ilvl="0" w:tplc="9D02CC36">
      <w:start w:val="1"/>
      <w:numFmt w:val="lowerRoman"/>
      <w:pStyle w:val="Subsubpara"/>
      <w:lvlText w:val="(%1)"/>
      <w:lvlJc w:val="left"/>
      <w:pPr>
        <w:tabs>
          <w:tab w:val="num" w:pos="1799"/>
        </w:tabs>
        <w:ind w:left="1259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E72A03"/>
    <w:multiLevelType w:val="hybridMultilevel"/>
    <w:tmpl w:val="C070255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B5C87"/>
    <w:multiLevelType w:val="hybridMultilevel"/>
    <w:tmpl w:val="E11C976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4407C"/>
    <w:multiLevelType w:val="multilevel"/>
    <w:tmpl w:val="F14EEEC6"/>
    <w:name w:val="CEI legal numbering"/>
    <w:lvl w:ilvl="0">
      <w:start w:val="1"/>
      <w:numFmt w:val="decimal"/>
      <w:isLgl/>
      <w:lvlText w:val="CEI %1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  <w:lang w:val="en-ZW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5"/>
        </w:tabs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15"/>
        </w:tabs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35"/>
        </w:tabs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95"/>
        </w:tabs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5"/>
        </w:tabs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5"/>
        </w:tabs>
        <w:ind w:left="3895" w:hanging="1440"/>
      </w:pPr>
      <w:rPr>
        <w:rFonts w:hint="default"/>
      </w:rPr>
    </w:lvl>
  </w:abstractNum>
  <w:abstractNum w:abstractNumId="13">
    <w:nsid w:val="77857696"/>
    <w:multiLevelType w:val="hybridMultilevel"/>
    <w:tmpl w:val="4E6618A8"/>
    <w:lvl w:ilvl="0" w:tplc="5726AC30">
      <w:start w:val="1"/>
      <w:numFmt w:val="lowerLetter"/>
      <w:pStyle w:val="Subpara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2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61"/>
    <w:rsid w:val="000076D6"/>
    <w:rsid w:val="003C3A37"/>
    <w:rsid w:val="0043055B"/>
    <w:rsid w:val="005B0E3A"/>
    <w:rsid w:val="009A1704"/>
    <w:rsid w:val="00A71320"/>
    <w:rsid w:val="00AB094F"/>
    <w:rsid w:val="00AC02C2"/>
    <w:rsid w:val="00B92D61"/>
    <w:rsid w:val="00C3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3A"/>
    <w:pPr>
      <w:spacing w:after="240"/>
    </w:pPr>
    <w:rPr>
      <w:sz w:val="22"/>
    </w:rPr>
  </w:style>
  <w:style w:type="paragraph" w:styleId="Heading1">
    <w:name w:val="heading 1"/>
    <w:aliases w:val="h1,header 1"/>
    <w:next w:val="CommentText"/>
    <w:qFormat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</w:rPr>
  </w:style>
  <w:style w:type="paragraph" w:customStyle="1" w:styleId="BodyTextcentreditals">
    <w:name w:val="Body Text centred itals"/>
    <w:basedOn w:val="BodyText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pPr>
      <w:jc w:val="center"/>
    </w:pPr>
  </w:style>
  <w:style w:type="paragraph" w:customStyle="1" w:styleId="Subsubpara">
    <w:name w:val="Sub sub para"/>
    <w:basedOn w:val="Normal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Footer">
    <w:name w:val="footer"/>
    <w:basedOn w:val="Normal"/>
    <w:link w:val="FooterChar"/>
    <w:rsid w:val="005B0E3A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B0E3A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5B0E3A"/>
    <w:rPr>
      <w:b/>
      <w:sz w:val="20"/>
    </w:rPr>
  </w:style>
  <w:style w:type="paragraph" w:styleId="Header">
    <w:name w:val="header"/>
    <w:basedOn w:val="Normal"/>
    <w:link w:val="HeaderChar"/>
    <w:uiPriority w:val="99"/>
    <w:rsid w:val="005B0E3A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0E3A"/>
    <w:rPr>
      <w:rFonts w:ascii="Arial" w:hAnsi="Arial" w:cs="Arial"/>
      <w:caps/>
      <w:color w:val="008291"/>
      <w:sz w:val="16"/>
      <w:szCs w:val="16"/>
    </w:rPr>
  </w:style>
  <w:style w:type="paragraph" w:customStyle="1" w:styleId="Bodytextplain">
    <w:name w:val="Body text plain"/>
    <w:basedOn w:val="BodyText"/>
    <w:rsid w:val="005B0E3A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subparaa">
    <w:name w:val="sub para (a)"/>
    <w:basedOn w:val="BodyText"/>
    <w:rsid w:val="005B0E3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Feedbackquestion">
    <w:name w:val="Feedback question"/>
    <w:basedOn w:val="Normal"/>
    <w:rsid w:val="005B0E3A"/>
    <w:pPr>
      <w:keepLines/>
      <w:pBdr>
        <w:left w:val="single" w:sz="6" w:space="2" w:color="117DC7"/>
      </w:pBdr>
      <w:tabs>
        <w:tab w:val="num" w:pos="3799"/>
      </w:tabs>
      <w:spacing w:before="100" w:after="0" w:line="260" w:lineRule="atLeast"/>
      <w:ind w:left="3799" w:hanging="567"/>
    </w:pPr>
    <w:rPr>
      <w:rFonts w:ascii="Arial" w:hAnsi="Arial" w:cs="Arial"/>
      <w:sz w:val="20"/>
    </w:rPr>
  </w:style>
  <w:style w:type="paragraph" w:customStyle="1" w:styleId="Feedbacksubquestion">
    <w:name w:val="Feedback subquestion"/>
    <w:basedOn w:val="Feedbackquestion"/>
    <w:rsid w:val="005B0E3A"/>
    <w:pPr>
      <w:tabs>
        <w:tab w:val="clear" w:pos="3799"/>
        <w:tab w:val="num" w:pos="4139"/>
      </w:tabs>
      <w:ind w:left="4139" w:hanging="907"/>
    </w:pPr>
  </w:style>
  <w:style w:type="paragraph" w:customStyle="1" w:styleId="subsubparai">
    <w:name w:val="sub sub para (i)"/>
    <w:basedOn w:val="subparaa"/>
    <w:rsid w:val="005B0E3A"/>
    <w:pPr>
      <w:tabs>
        <w:tab w:val="clear" w:pos="2693"/>
        <w:tab w:val="num" w:pos="3119"/>
      </w:tabs>
      <w:ind w:left="3119" w:hanging="426"/>
    </w:pPr>
  </w:style>
  <w:style w:type="paragraph" w:customStyle="1" w:styleId="Proposaltext">
    <w:name w:val="Proposal text"/>
    <w:basedOn w:val="Bodytextplain"/>
    <w:rsid w:val="005B0E3A"/>
    <w:pPr>
      <w:tabs>
        <w:tab w:val="num" w:pos="425"/>
      </w:tabs>
      <w:spacing w:line="260" w:lineRule="atLeast"/>
      <w:ind w:left="2693" w:hanging="425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5B0E3A"/>
    <w:pPr>
      <w:tabs>
        <w:tab w:val="clear" w:pos="425"/>
        <w:tab w:val="num" w:pos="3119"/>
      </w:tabs>
      <w:spacing w:before="100"/>
      <w:ind w:left="3119" w:hanging="426"/>
    </w:pPr>
  </w:style>
  <w:style w:type="paragraph" w:customStyle="1" w:styleId="Proposalsubsubpara">
    <w:name w:val="Proposal sub sub para"/>
    <w:basedOn w:val="Proposaltext"/>
    <w:rsid w:val="005B0E3A"/>
    <w:pPr>
      <w:tabs>
        <w:tab w:val="clear" w:pos="425"/>
        <w:tab w:val="num" w:pos="3544"/>
      </w:tabs>
      <w:spacing w:before="100"/>
      <w:ind w:left="3544"/>
    </w:pPr>
  </w:style>
  <w:style w:type="paragraph" w:customStyle="1" w:styleId="sub3paraA">
    <w:name w:val="sub3para (A)"/>
    <w:basedOn w:val="subsubparai"/>
    <w:qFormat/>
    <w:rsid w:val="005B0E3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5B0E3A"/>
    <w:pPr>
      <w:tabs>
        <w:tab w:val="clear" w:pos="3119"/>
        <w:tab w:val="num" w:pos="3969"/>
      </w:tabs>
      <w:ind w:left="3969" w:hanging="425"/>
    </w:pPr>
  </w:style>
  <w:style w:type="paragraph" w:customStyle="1" w:styleId="Feedbacksubsubquestion">
    <w:name w:val="Feedback subsubquestion"/>
    <w:basedOn w:val="Feedbacksubquestion"/>
    <w:qFormat/>
    <w:rsid w:val="005B0E3A"/>
    <w:pPr>
      <w:tabs>
        <w:tab w:val="clear" w:pos="4139"/>
        <w:tab w:val="num" w:pos="4423"/>
      </w:tabs>
      <w:ind w:left="4423" w:hanging="1191"/>
    </w:pPr>
  </w:style>
  <w:style w:type="paragraph" w:styleId="ListParagraph">
    <w:name w:val="List Paragraph"/>
    <w:basedOn w:val="Normal"/>
    <w:uiPriority w:val="34"/>
    <w:qFormat/>
    <w:rsid w:val="005B0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3A"/>
    <w:pPr>
      <w:spacing w:after="240"/>
    </w:pPr>
    <w:rPr>
      <w:sz w:val="22"/>
    </w:rPr>
  </w:style>
  <w:style w:type="paragraph" w:styleId="Heading1">
    <w:name w:val="heading 1"/>
    <w:aliases w:val="h1,header 1"/>
    <w:next w:val="CommentText"/>
    <w:qFormat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</w:rPr>
  </w:style>
  <w:style w:type="paragraph" w:customStyle="1" w:styleId="BodyTextcentreditals">
    <w:name w:val="Body Text centred itals"/>
    <w:basedOn w:val="BodyText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pPr>
      <w:jc w:val="center"/>
    </w:pPr>
  </w:style>
  <w:style w:type="paragraph" w:customStyle="1" w:styleId="Subsubpara">
    <w:name w:val="Sub sub para"/>
    <w:basedOn w:val="Normal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Footer">
    <w:name w:val="footer"/>
    <w:basedOn w:val="Normal"/>
    <w:link w:val="FooterChar"/>
    <w:rsid w:val="005B0E3A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B0E3A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5B0E3A"/>
    <w:rPr>
      <w:b/>
      <w:sz w:val="20"/>
    </w:rPr>
  </w:style>
  <w:style w:type="paragraph" w:styleId="Header">
    <w:name w:val="header"/>
    <w:basedOn w:val="Normal"/>
    <w:link w:val="HeaderChar"/>
    <w:uiPriority w:val="99"/>
    <w:rsid w:val="005B0E3A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0E3A"/>
    <w:rPr>
      <w:rFonts w:ascii="Arial" w:hAnsi="Arial" w:cs="Arial"/>
      <w:caps/>
      <w:color w:val="008291"/>
      <w:sz w:val="16"/>
      <w:szCs w:val="16"/>
    </w:rPr>
  </w:style>
  <w:style w:type="paragraph" w:customStyle="1" w:styleId="Bodytextplain">
    <w:name w:val="Body text plain"/>
    <w:basedOn w:val="BodyText"/>
    <w:rsid w:val="005B0E3A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subparaa">
    <w:name w:val="sub para (a)"/>
    <w:basedOn w:val="BodyText"/>
    <w:rsid w:val="005B0E3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Feedbackquestion">
    <w:name w:val="Feedback question"/>
    <w:basedOn w:val="Normal"/>
    <w:rsid w:val="005B0E3A"/>
    <w:pPr>
      <w:keepLines/>
      <w:pBdr>
        <w:left w:val="single" w:sz="6" w:space="2" w:color="117DC7"/>
      </w:pBdr>
      <w:tabs>
        <w:tab w:val="num" w:pos="3799"/>
      </w:tabs>
      <w:spacing w:before="100" w:after="0" w:line="260" w:lineRule="atLeast"/>
      <w:ind w:left="3799" w:hanging="567"/>
    </w:pPr>
    <w:rPr>
      <w:rFonts w:ascii="Arial" w:hAnsi="Arial" w:cs="Arial"/>
      <w:sz w:val="20"/>
    </w:rPr>
  </w:style>
  <w:style w:type="paragraph" w:customStyle="1" w:styleId="Feedbacksubquestion">
    <w:name w:val="Feedback subquestion"/>
    <w:basedOn w:val="Feedbackquestion"/>
    <w:rsid w:val="005B0E3A"/>
    <w:pPr>
      <w:tabs>
        <w:tab w:val="clear" w:pos="3799"/>
        <w:tab w:val="num" w:pos="4139"/>
      </w:tabs>
      <w:ind w:left="4139" w:hanging="907"/>
    </w:pPr>
  </w:style>
  <w:style w:type="paragraph" w:customStyle="1" w:styleId="subsubparai">
    <w:name w:val="sub sub para (i)"/>
    <w:basedOn w:val="subparaa"/>
    <w:rsid w:val="005B0E3A"/>
    <w:pPr>
      <w:tabs>
        <w:tab w:val="clear" w:pos="2693"/>
        <w:tab w:val="num" w:pos="3119"/>
      </w:tabs>
      <w:ind w:left="3119" w:hanging="426"/>
    </w:pPr>
  </w:style>
  <w:style w:type="paragraph" w:customStyle="1" w:styleId="Proposaltext">
    <w:name w:val="Proposal text"/>
    <w:basedOn w:val="Bodytextplain"/>
    <w:rsid w:val="005B0E3A"/>
    <w:pPr>
      <w:tabs>
        <w:tab w:val="num" w:pos="425"/>
      </w:tabs>
      <w:spacing w:line="260" w:lineRule="atLeast"/>
      <w:ind w:left="2693" w:hanging="425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5B0E3A"/>
    <w:pPr>
      <w:tabs>
        <w:tab w:val="clear" w:pos="425"/>
        <w:tab w:val="num" w:pos="3119"/>
      </w:tabs>
      <w:spacing w:before="100"/>
      <w:ind w:left="3119" w:hanging="426"/>
    </w:pPr>
  </w:style>
  <w:style w:type="paragraph" w:customStyle="1" w:styleId="Proposalsubsubpara">
    <w:name w:val="Proposal sub sub para"/>
    <w:basedOn w:val="Proposaltext"/>
    <w:rsid w:val="005B0E3A"/>
    <w:pPr>
      <w:tabs>
        <w:tab w:val="clear" w:pos="425"/>
        <w:tab w:val="num" w:pos="3544"/>
      </w:tabs>
      <w:spacing w:before="100"/>
      <w:ind w:left="3544"/>
    </w:pPr>
  </w:style>
  <w:style w:type="paragraph" w:customStyle="1" w:styleId="sub3paraA">
    <w:name w:val="sub3para (A)"/>
    <w:basedOn w:val="subsubparai"/>
    <w:qFormat/>
    <w:rsid w:val="005B0E3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5B0E3A"/>
    <w:pPr>
      <w:tabs>
        <w:tab w:val="clear" w:pos="3119"/>
        <w:tab w:val="num" w:pos="3969"/>
      </w:tabs>
      <w:ind w:left="3969" w:hanging="425"/>
    </w:pPr>
  </w:style>
  <w:style w:type="paragraph" w:customStyle="1" w:styleId="Feedbacksubsubquestion">
    <w:name w:val="Feedback subsubquestion"/>
    <w:basedOn w:val="Feedbacksubquestion"/>
    <w:qFormat/>
    <w:rsid w:val="005B0E3A"/>
    <w:pPr>
      <w:tabs>
        <w:tab w:val="clear" w:pos="4139"/>
        <w:tab w:val="num" w:pos="4423"/>
      </w:tabs>
      <w:ind w:left="4423" w:hanging="1191"/>
    </w:pPr>
  </w:style>
  <w:style w:type="paragraph" w:styleId="ListParagraph">
    <w:name w:val="List Paragraph"/>
    <w:basedOn w:val="Normal"/>
    <w:uiPriority w:val="34"/>
    <w:qFormat/>
    <w:rsid w:val="005B0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1\ds\appHome\Office%202010\template\RPB%20Forms\ASIC%20CLASS%20ORDER%20EXPLANATORY%20STATE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C983-6672-45B7-BA8E-376BB66E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ASIC CLASS ORDER EXPLANATORY STATEMENT TEMPLATE.dotx</Template>
  <TotalTime>53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CLASS ORDER [CO xx/xxx]</vt:lpstr>
    </vt:vector>
  </TitlesOfParts>
  <Company>ASIC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CLASS ORDER [CO xx/xxx]</dc:title>
  <dc:creator>frank.traczewski</dc:creator>
  <cp:lastModifiedBy>frank.traczewski</cp:lastModifiedBy>
  <cp:revision>5</cp:revision>
  <dcterms:created xsi:type="dcterms:W3CDTF">2016-07-15T03:11:00Z</dcterms:created>
  <dcterms:modified xsi:type="dcterms:W3CDTF">2016-09-27T01:41:00Z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A4331450</vt:lpwstr>
  </property>
  <property fmtid="{D5CDD505-2E9C-101B-9397-08002B2CF9AE}" pid="4" name="Objective-Title">
    <vt:lpwstr>ASIC CLASS ORDER EXPLANATORY STATEMENT TEMPLATE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2014-11-20T00:23:54Z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2014-11-20T00:54:40Z</vt:filetime>
  </property>
  <property fmtid="{D5CDD505-2E9C-101B-9397-08002B2CF9AE}" pid="11" name="Objective-Owner">
    <vt:lpwstr>Gillian Kreuiter</vt:lpwstr>
  </property>
  <property fmtid="{D5CDD505-2E9C-101B-9397-08002B2CF9AE}" pid="12" name="Objective-Path">
    <vt:lpwstr>ASIC BCS:POLICY &amp; REGULATORY FRAMEWORK:Policy Development:Technical Updates &amp; Other:Sunsetting Class Orders Project:Sunsetting of legislative instruments:Project Management:Training:</vt:lpwstr>
  </property>
  <property fmtid="{D5CDD505-2E9C-101B-9397-08002B2CF9AE}" pid="13" name="Objective-Parent">
    <vt:lpwstr>Training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0.4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</Properties>
</file>