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16" w:rsidRPr="001F2A16"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FDocName"/>
      <w:r w:rsidRPr="001F2A16">
        <w:rPr>
          <w:rFonts w:ascii="Arial" w:hAnsi="Arial" w:cs="Arial"/>
          <w:sz w:val="34"/>
          <w:szCs w:val="34"/>
        </w:rPr>
        <w:t>Explanatory Statement</w:t>
      </w:r>
    </w:p>
    <w:p w:rsidR="0099555F" w:rsidRPr="001F2A16" w:rsidRDefault="002D79A0"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2D79A0">
        <w:rPr>
          <w:rFonts w:ascii="Arial" w:hAnsi="Arial" w:cs="Arial"/>
          <w:sz w:val="34"/>
          <w:szCs w:val="34"/>
        </w:rPr>
        <w:t>Excise (Denatured spirits) Determination 2016 (No. 3)</w:t>
      </w:r>
      <w:r w:rsidR="00380CC4" w:rsidRPr="001F2A16">
        <w:rPr>
          <w:rFonts w:ascii="Arial" w:hAnsi="Arial" w:cs="Arial"/>
          <w:sz w:val="34"/>
          <w:szCs w:val="34"/>
        </w:rPr>
        <w:t xml:space="preserve"> </w:t>
      </w:r>
    </w:p>
    <w:p w:rsidR="0099555F" w:rsidRDefault="0099555F" w:rsidP="0099555F">
      <w:pPr>
        <w:pStyle w:val="Header"/>
        <w:tabs>
          <w:tab w:val="clear" w:pos="4153"/>
          <w:tab w:val="clear" w:pos="8306"/>
        </w:tabs>
        <w:jc w:val="center"/>
        <w:rPr>
          <w:rFonts w:ascii="Arial" w:hAnsi="Arial" w:cs="Arial"/>
          <w:szCs w:val="24"/>
        </w:rPr>
      </w:pPr>
    </w:p>
    <w:p w:rsidR="001F2A16" w:rsidRPr="001F2A16" w:rsidRDefault="001F2A16" w:rsidP="0099555F">
      <w:pPr>
        <w:pStyle w:val="Header"/>
        <w:tabs>
          <w:tab w:val="clear" w:pos="4153"/>
          <w:tab w:val="clear" w:pos="8306"/>
        </w:tabs>
        <w:jc w:val="center"/>
        <w:rPr>
          <w:rFonts w:ascii="Arial" w:hAnsi="Arial" w:cs="Arial"/>
          <w:szCs w:val="24"/>
        </w:rPr>
      </w:pPr>
    </w:p>
    <w:p w:rsidR="00830CBE" w:rsidRDefault="00830CBE" w:rsidP="00486653">
      <w:pPr>
        <w:pStyle w:val="Heading2"/>
        <w:rPr>
          <w:sz w:val="24"/>
          <w:szCs w:val="24"/>
        </w:rPr>
      </w:pPr>
      <w:bookmarkStart w:id="1" w:name="EDisclaimer"/>
      <w:bookmarkStart w:id="2" w:name="HBody"/>
      <w:bookmarkStart w:id="3" w:name="LReferences"/>
      <w:bookmarkStart w:id="4" w:name="NRulingRef"/>
      <w:bookmarkStart w:id="5" w:name="OSubjectRef"/>
      <w:bookmarkStart w:id="6" w:name="PLegrefText"/>
      <w:bookmarkStart w:id="7" w:name="QLegref"/>
      <w:bookmarkStart w:id="8" w:name="RCaseRefText"/>
      <w:bookmarkStart w:id="9" w:name="SCaseRef"/>
      <w:bookmarkStart w:id="10" w:name="VISSN"/>
      <w:bookmarkEnd w:id="0"/>
      <w:bookmarkEnd w:id="1"/>
      <w:bookmarkEnd w:id="2"/>
      <w:bookmarkEnd w:id="3"/>
      <w:bookmarkEnd w:id="4"/>
      <w:bookmarkEnd w:id="5"/>
      <w:bookmarkEnd w:id="6"/>
      <w:bookmarkEnd w:id="7"/>
      <w:bookmarkEnd w:id="8"/>
      <w:bookmarkEnd w:id="9"/>
      <w:bookmarkEnd w:id="10"/>
      <w:r>
        <w:rPr>
          <w:sz w:val="24"/>
          <w:szCs w:val="24"/>
        </w:rPr>
        <w:t>Revoking of previous instrument</w:t>
      </w:r>
    </w:p>
    <w:p w:rsidR="00830CBE" w:rsidRPr="006F210F" w:rsidRDefault="00830CBE" w:rsidP="006F210F">
      <w:pPr>
        <w:numPr>
          <w:ilvl w:val="0"/>
          <w:numId w:val="16"/>
        </w:numPr>
        <w:spacing w:before="240" w:after="120"/>
        <w:rPr>
          <w:rFonts w:ascii="Arial" w:hAnsi="Arial" w:cs="Arial"/>
          <w:sz w:val="22"/>
          <w:szCs w:val="22"/>
        </w:rPr>
      </w:pPr>
      <w:r w:rsidRPr="006F210F">
        <w:rPr>
          <w:rFonts w:ascii="Arial" w:hAnsi="Arial" w:cs="Arial"/>
          <w:sz w:val="22"/>
          <w:szCs w:val="22"/>
        </w:rPr>
        <w:t xml:space="preserve">This Explanatory Statement is provided in accordance with subsection </w:t>
      </w:r>
      <w:r w:rsidR="009C3D96" w:rsidRPr="006F210F">
        <w:rPr>
          <w:rFonts w:ascii="Arial" w:hAnsi="Arial" w:cs="Arial"/>
          <w:sz w:val="22"/>
          <w:szCs w:val="22"/>
        </w:rPr>
        <w:t xml:space="preserve">15G(4) and section 15J of the </w:t>
      </w:r>
      <w:r w:rsidR="009C3D96" w:rsidRPr="009E40BF">
        <w:rPr>
          <w:rFonts w:ascii="Arial" w:hAnsi="Arial" w:cs="Arial"/>
          <w:i/>
          <w:sz w:val="22"/>
          <w:szCs w:val="22"/>
        </w:rPr>
        <w:t>Legislation Act 2003</w:t>
      </w:r>
      <w:r w:rsidR="009C3D96" w:rsidRPr="006F210F">
        <w:rPr>
          <w:rFonts w:ascii="Arial" w:hAnsi="Arial" w:cs="Arial"/>
          <w:sz w:val="22"/>
          <w:szCs w:val="22"/>
        </w:rPr>
        <w:t xml:space="preserve"> (Legislation Act)</w:t>
      </w:r>
    </w:p>
    <w:p w:rsidR="009C3D96" w:rsidRPr="006F210F" w:rsidRDefault="009C3D96" w:rsidP="006F210F">
      <w:pPr>
        <w:numPr>
          <w:ilvl w:val="0"/>
          <w:numId w:val="16"/>
        </w:numPr>
        <w:spacing w:before="240" w:after="120"/>
        <w:rPr>
          <w:rFonts w:ascii="Arial" w:hAnsi="Arial" w:cs="Arial"/>
          <w:sz w:val="22"/>
          <w:szCs w:val="22"/>
        </w:rPr>
      </w:pPr>
      <w:r w:rsidRPr="006F210F">
        <w:rPr>
          <w:rFonts w:ascii="Arial" w:hAnsi="Arial" w:cs="Arial"/>
          <w:sz w:val="22"/>
          <w:szCs w:val="22"/>
        </w:rPr>
        <w:t>Excise (Denatured spirits) Determination 2006 (</w:t>
      </w:r>
      <w:r w:rsidR="00135BA4">
        <w:rPr>
          <w:rFonts w:ascii="Arial" w:hAnsi="Arial" w:cs="Arial"/>
          <w:sz w:val="22"/>
          <w:szCs w:val="22"/>
        </w:rPr>
        <w:t>N</w:t>
      </w:r>
      <w:r w:rsidRPr="006F210F">
        <w:rPr>
          <w:rFonts w:ascii="Arial" w:hAnsi="Arial" w:cs="Arial"/>
          <w:sz w:val="22"/>
          <w:szCs w:val="22"/>
        </w:rPr>
        <w:t>o</w:t>
      </w:r>
      <w:r w:rsidR="00135BA4">
        <w:rPr>
          <w:rFonts w:ascii="Arial" w:hAnsi="Arial" w:cs="Arial"/>
          <w:sz w:val="22"/>
          <w:szCs w:val="22"/>
        </w:rPr>
        <w:t>.</w:t>
      </w:r>
      <w:r w:rsidRPr="006F210F">
        <w:rPr>
          <w:rFonts w:ascii="Arial" w:hAnsi="Arial" w:cs="Arial"/>
          <w:sz w:val="22"/>
          <w:szCs w:val="22"/>
        </w:rPr>
        <w:t xml:space="preserve"> 2) (‘previous instrument’) was registered on 30 June 2006 and is scheduled to be repealed on 1 October 2016 under the </w:t>
      </w:r>
      <w:proofErr w:type="spellStart"/>
      <w:r w:rsidRPr="006F210F">
        <w:rPr>
          <w:rFonts w:ascii="Arial" w:hAnsi="Arial" w:cs="Arial"/>
          <w:sz w:val="22"/>
          <w:szCs w:val="22"/>
        </w:rPr>
        <w:t>sunsetting</w:t>
      </w:r>
      <w:proofErr w:type="spellEnd"/>
      <w:r w:rsidRPr="006F210F">
        <w:rPr>
          <w:rFonts w:ascii="Arial" w:hAnsi="Arial" w:cs="Arial"/>
          <w:sz w:val="22"/>
          <w:szCs w:val="22"/>
        </w:rPr>
        <w:t xml:space="preserve"> provisions prescribed in Part 4 of Chapter 3 of the Legislation Act.</w:t>
      </w:r>
    </w:p>
    <w:p w:rsidR="009C3D96" w:rsidRPr="006F210F" w:rsidRDefault="009C3D96" w:rsidP="006F210F">
      <w:pPr>
        <w:numPr>
          <w:ilvl w:val="0"/>
          <w:numId w:val="16"/>
        </w:numPr>
        <w:spacing w:before="240" w:after="120"/>
        <w:rPr>
          <w:rFonts w:ascii="Arial" w:hAnsi="Arial" w:cs="Arial"/>
          <w:sz w:val="22"/>
          <w:szCs w:val="22"/>
        </w:rPr>
      </w:pPr>
      <w:r w:rsidRPr="006F210F">
        <w:rPr>
          <w:rFonts w:ascii="Arial" w:hAnsi="Arial" w:cs="Arial"/>
          <w:sz w:val="22"/>
          <w:szCs w:val="22"/>
        </w:rPr>
        <w:t>Excise (Denatured spirits) Determination 2016 (</w:t>
      </w:r>
      <w:r w:rsidR="00135BA4">
        <w:rPr>
          <w:rFonts w:ascii="Arial" w:hAnsi="Arial" w:cs="Arial"/>
          <w:sz w:val="22"/>
          <w:szCs w:val="22"/>
        </w:rPr>
        <w:t>N</w:t>
      </w:r>
      <w:r w:rsidRPr="006F210F">
        <w:rPr>
          <w:rFonts w:ascii="Arial" w:hAnsi="Arial" w:cs="Arial"/>
          <w:sz w:val="22"/>
          <w:szCs w:val="22"/>
        </w:rPr>
        <w:t>o. 3) (‘determination’) revokes and replaces the previous instrument.</w:t>
      </w:r>
    </w:p>
    <w:p w:rsidR="009C3D96" w:rsidRPr="006F210F" w:rsidRDefault="009C3D96" w:rsidP="006F210F">
      <w:pPr>
        <w:numPr>
          <w:ilvl w:val="0"/>
          <w:numId w:val="16"/>
        </w:numPr>
        <w:spacing w:before="240" w:after="120"/>
        <w:rPr>
          <w:rFonts w:ascii="Arial" w:hAnsi="Arial" w:cs="Arial"/>
          <w:sz w:val="22"/>
          <w:szCs w:val="22"/>
        </w:rPr>
      </w:pPr>
      <w:r w:rsidRPr="006F210F">
        <w:rPr>
          <w:rFonts w:ascii="Arial" w:hAnsi="Arial" w:cs="Arial"/>
          <w:sz w:val="22"/>
          <w:szCs w:val="22"/>
        </w:rPr>
        <w:t xml:space="preserve">The determination is made under </w:t>
      </w:r>
      <w:r w:rsidR="006F210F" w:rsidRPr="006F210F">
        <w:rPr>
          <w:rFonts w:ascii="Arial" w:hAnsi="Arial" w:cs="Arial"/>
          <w:sz w:val="22"/>
          <w:szCs w:val="22"/>
        </w:rPr>
        <w:t>sub</w:t>
      </w:r>
      <w:r w:rsidRPr="006F210F">
        <w:rPr>
          <w:rFonts w:ascii="Arial" w:hAnsi="Arial" w:cs="Arial"/>
          <w:sz w:val="22"/>
          <w:szCs w:val="22"/>
        </w:rPr>
        <w:t xml:space="preserve">section </w:t>
      </w:r>
      <w:proofErr w:type="gramStart"/>
      <w:r w:rsidRPr="006F210F">
        <w:rPr>
          <w:rFonts w:ascii="Arial" w:hAnsi="Arial" w:cs="Arial"/>
          <w:sz w:val="22"/>
          <w:szCs w:val="22"/>
        </w:rPr>
        <w:t>77FG</w:t>
      </w:r>
      <w:r w:rsidR="006F210F" w:rsidRPr="006F210F">
        <w:rPr>
          <w:rFonts w:ascii="Arial" w:hAnsi="Arial" w:cs="Arial"/>
          <w:sz w:val="22"/>
          <w:szCs w:val="22"/>
        </w:rPr>
        <w:t>(</w:t>
      </w:r>
      <w:proofErr w:type="gramEnd"/>
      <w:r w:rsidR="006F210F" w:rsidRPr="006F210F">
        <w:rPr>
          <w:rFonts w:ascii="Arial" w:hAnsi="Arial" w:cs="Arial"/>
          <w:sz w:val="22"/>
          <w:szCs w:val="22"/>
        </w:rPr>
        <w:t>1)</w:t>
      </w:r>
      <w:r w:rsidRPr="006F210F">
        <w:rPr>
          <w:rFonts w:ascii="Arial" w:hAnsi="Arial" w:cs="Arial"/>
          <w:sz w:val="22"/>
          <w:szCs w:val="22"/>
        </w:rPr>
        <w:t xml:space="preserve"> of the Excise Act and is intended to be a restatement of the previous instrument.</w:t>
      </w:r>
    </w:p>
    <w:p w:rsidR="0087185A" w:rsidRPr="006F210F" w:rsidRDefault="006F210F" w:rsidP="006F210F">
      <w:pPr>
        <w:numPr>
          <w:ilvl w:val="0"/>
          <w:numId w:val="16"/>
        </w:numPr>
        <w:spacing w:before="240" w:after="120"/>
        <w:rPr>
          <w:rFonts w:ascii="Arial" w:hAnsi="Arial" w:cs="Arial"/>
          <w:sz w:val="22"/>
          <w:szCs w:val="22"/>
        </w:rPr>
      </w:pPr>
      <w:r>
        <w:rPr>
          <w:rFonts w:ascii="Arial" w:hAnsi="Arial" w:cs="Arial"/>
          <w:sz w:val="22"/>
          <w:szCs w:val="22"/>
        </w:rPr>
        <w:t>The d</w:t>
      </w:r>
      <w:r w:rsidR="0087185A" w:rsidRPr="006F210F">
        <w:rPr>
          <w:rFonts w:ascii="Arial" w:hAnsi="Arial" w:cs="Arial"/>
          <w:sz w:val="22"/>
          <w:szCs w:val="22"/>
        </w:rPr>
        <w:t xml:space="preserve">etermination sets out the formula for denaturing spirits so that the spirit can be delivered for home consumption at a rate of duty of free under </w:t>
      </w:r>
      <w:proofErr w:type="spellStart"/>
      <w:r w:rsidR="0087185A" w:rsidRPr="006F210F">
        <w:rPr>
          <w:rFonts w:ascii="Arial" w:hAnsi="Arial" w:cs="Arial"/>
          <w:sz w:val="22"/>
          <w:szCs w:val="22"/>
        </w:rPr>
        <w:t>subitem</w:t>
      </w:r>
      <w:proofErr w:type="spellEnd"/>
      <w:r w:rsidR="0087185A" w:rsidRPr="006F210F">
        <w:rPr>
          <w:rFonts w:ascii="Arial" w:hAnsi="Arial" w:cs="Arial"/>
          <w:sz w:val="22"/>
          <w:szCs w:val="22"/>
        </w:rPr>
        <w:t xml:space="preserve"> 3.8 of the </w:t>
      </w:r>
      <w:r w:rsidR="00791A5E" w:rsidRPr="006F210F">
        <w:rPr>
          <w:rFonts w:ascii="Arial" w:hAnsi="Arial" w:cs="Arial"/>
          <w:sz w:val="22"/>
          <w:szCs w:val="22"/>
        </w:rPr>
        <w:t xml:space="preserve">Schedule to the </w:t>
      </w:r>
      <w:r w:rsidR="00791A5E" w:rsidRPr="0042542D">
        <w:rPr>
          <w:rFonts w:ascii="Arial" w:hAnsi="Arial" w:cs="Arial"/>
          <w:i/>
          <w:sz w:val="22"/>
          <w:szCs w:val="22"/>
        </w:rPr>
        <w:t>Excise Tariff Act</w:t>
      </w:r>
      <w:r w:rsidR="0042542D" w:rsidRPr="0042542D">
        <w:rPr>
          <w:rFonts w:ascii="Arial" w:hAnsi="Arial" w:cs="Arial"/>
          <w:i/>
          <w:sz w:val="22"/>
          <w:szCs w:val="22"/>
        </w:rPr>
        <w:t xml:space="preserve"> 1921</w:t>
      </w:r>
      <w:r w:rsidR="0042542D">
        <w:rPr>
          <w:rFonts w:ascii="Arial" w:hAnsi="Arial" w:cs="Arial"/>
          <w:sz w:val="22"/>
          <w:szCs w:val="22"/>
        </w:rPr>
        <w:t xml:space="preserve"> (Excise Tariff Act)</w:t>
      </w:r>
      <w:r w:rsidR="0087185A" w:rsidRPr="006F210F">
        <w:rPr>
          <w:rFonts w:ascii="Arial" w:hAnsi="Arial" w:cs="Arial"/>
          <w:sz w:val="22"/>
          <w:szCs w:val="22"/>
        </w:rPr>
        <w:t>.</w:t>
      </w:r>
    </w:p>
    <w:p w:rsidR="00486653" w:rsidRPr="00DC656D" w:rsidRDefault="00486653" w:rsidP="00CF2DDC">
      <w:pPr>
        <w:pStyle w:val="Heading2"/>
        <w:spacing w:before="240"/>
        <w:rPr>
          <w:sz w:val="24"/>
          <w:szCs w:val="24"/>
        </w:rPr>
      </w:pPr>
      <w:r w:rsidRPr="005E6CCE">
        <w:rPr>
          <w:sz w:val="24"/>
          <w:szCs w:val="24"/>
        </w:rPr>
        <w:t xml:space="preserve">Date </w:t>
      </w:r>
      <w:r w:rsidRPr="00DC656D">
        <w:rPr>
          <w:sz w:val="24"/>
          <w:szCs w:val="24"/>
        </w:rPr>
        <w:t>of effect</w:t>
      </w:r>
    </w:p>
    <w:p w:rsidR="00343D79" w:rsidRPr="00343D79" w:rsidRDefault="00380CC4" w:rsidP="005C7431">
      <w:pPr>
        <w:numPr>
          <w:ilvl w:val="0"/>
          <w:numId w:val="16"/>
        </w:numPr>
        <w:spacing w:before="240" w:after="120"/>
        <w:rPr>
          <w:rFonts w:ascii="Arial" w:hAnsi="Arial" w:cs="Arial"/>
          <w:color w:val="000000"/>
          <w:sz w:val="22"/>
          <w:szCs w:val="22"/>
        </w:rPr>
      </w:pPr>
      <w:r w:rsidRPr="00380CC4">
        <w:rPr>
          <w:rFonts w:ascii="Arial" w:hAnsi="Arial" w:cs="Arial"/>
          <w:sz w:val="22"/>
          <w:szCs w:val="22"/>
        </w:rPr>
        <w:t xml:space="preserve">The </w:t>
      </w:r>
      <w:r w:rsidR="0087185A">
        <w:rPr>
          <w:rFonts w:ascii="Arial" w:hAnsi="Arial" w:cs="Arial"/>
          <w:sz w:val="22"/>
          <w:szCs w:val="22"/>
        </w:rPr>
        <w:t xml:space="preserve">determination commences on </w:t>
      </w:r>
      <w:r w:rsidR="002B3C92">
        <w:rPr>
          <w:rFonts w:ascii="Arial" w:hAnsi="Arial" w:cs="Arial"/>
          <w:sz w:val="22"/>
          <w:szCs w:val="22"/>
        </w:rPr>
        <w:t>the day after registration</w:t>
      </w:r>
      <w:bookmarkStart w:id="11" w:name="_GoBack"/>
      <w:bookmarkEnd w:id="11"/>
      <w:r w:rsidR="0087185A">
        <w:rPr>
          <w:rFonts w:ascii="Arial" w:hAnsi="Arial" w:cs="Arial"/>
          <w:sz w:val="22"/>
          <w:szCs w:val="22"/>
        </w:rPr>
        <w:t>.</w:t>
      </w:r>
    </w:p>
    <w:p w:rsidR="008744E3" w:rsidRDefault="008744E3" w:rsidP="0087185A">
      <w:pPr>
        <w:pStyle w:val="Heading2"/>
        <w:rPr>
          <w:sz w:val="24"/>
          <w:szCs w:val="24"/>
        </w:rPr>
      </w:pPr>
    </w:p>
    <w:p w:rsidR="0087185A" w:rsidRDefault="0087185A" w:rsidP="0087185A">
      <w:pPr>
        <w:pStyle w:val="Heading2"/>
        <w:rPr>
          <w:sz w:val="24"/>
          <w:szCs w:val="24"/>
        </w:rPr>
      </w:pPr>
      <w:r>
        <w:rPr>
          <w:sz w:val="24"/>
          <w:szCs w:val="24"/>
        </w:rPr>
        <w:t>Effect of the determination</w:t>
      </w:r>
    </w:p>
    <w:p w:rsidR="006F210F" w:rsidRPr="006F210F" w:rsidRDefault="006F210F" w:rsidP="006F210F">
      <w:pPr>
        <w:numPr>
          <w:ilvl w:val="0"/>
          <w:numId w:val="16"/>
        </w:numPr>
        <w:spacing w:before="240" w:after="120"/>
        <w:rPr>
          <w:rFonts w:ascii="Arial" w:hAnsi="Arial" w:cs="Arial"/>
          <w:sz w:val="22"/>
          <w:szCs w:val="22"/>
        </w:rPr>
      </w:pPr>
      <w:r w:rsidRPr="006F210F">
        <w:rPr>
          <w:rFonts w:ascii="Arial" w:hAnsi="Arial" w:cs="Arial"/>
          <w:sz w:val="22"/>
          <w:szCs w:val="22"/>
        </w:rPr>
        <w:t xml:space="preserve">Under section 77FG(1) of the </w:t>
      </w:r>
      <w:r w:rsidRPr="0042542D">
        <w:rPr>
          <w:rFonts w:ascii="Arial" w:hAnsi="Arial" w:cs="Arial"/>
          <w:i/>
          <w:sz w:val="22"/>
          <w:szCs w:val="22"/>
        </w:rPr>
        <w:t>Excise Act 1901</w:t>
      </w:r>
      <w:r w:rsidRPr="006F210F">
        <w:rPr>
          <w:rFonts w:ascii="Arial" w:hAnsi="Arial" w:cs="Arial"/>
          <w:sz w:val="22"/>
          <w:szCs w:val="22"/>
        </w:rPr>
        <w:t xml:space="preserve"> (‘Excise Act’) the CEO may </w:t>
      </w:r>
      <w:proofErr w:type="gramStart"/>
      <w:r w:rsidRPr="006F210F">
        <w:rPr>
          <w:rFonts w:ascii="Arial" w:hAnsi="Arial" w:cs="Arial"/>
          <w:sz w:val="22"/>
          <w:szCs w:val="22"/>
        </w:rPr>
        <w:t>determine</w:t>
      </w:r>
      <w:proofErr w:type="gramEnd"/>
      <w:r w:rsidRPr="006F210F">
        <w:rPr>
          <w:rFonts w:ascii="Arial" w:hAnsi="Arial" w:cs="Arial"/>
          <w:sz w:val="22"/>
          <w:szCs w:val="22"/>
        </w:rPr>
        <w:t xml:space="preserve"> a formula for denaturing spirits, so that the spirit can be delivered for home consumption at a rate of duty of free under </w:t>
      </w:r>
      <w:proofErr w:type="spellStart"/>
      <w:r w:rsidRPr="006F210F">
        <w:rPr>
          <w:rFonts w:ascii="Arial" w:hAnsi="Arial" w:cs="Arial"/>
          <w:sz w:val="22"/>
          <w:szCs w:val="22"/>
        </w:rPr>
        <w:t>subitem</w:t>
      </w:r>
      <w:proofErr w:type="spellEnd"/>
      <w:r w:rsidRPr="006F210F">
        <w:rPr>
          <w:rFonts w:ascii="Arial" w:hAnsi="Arial" w:cs="Arial"/>
          <w:sz w:val="22"/>
          <w:szCs w:val="22"/>
        </w:rPr>
        <w:t xml:space="preserve"> 3.8 of the Schedule to the Excise Tariff Act. </w:t>
      </w:r>
    </w:p>
    <w:p w:rsidR="00CF14FD" w:rsidRDefault="00961166" w:rsidP="006F210F">
      <w:pPr>
        <w:keepNext/>
        <w:keepLines/>
        <w:numPr>
          <w:ilvl w:val="0"/>
          <w:numId w:val="16"/>
        </w:numPr>
        <w:spacing w:before="240"/>
        <w:rPr>
          <w:rFonts w:ascii="Arial" w:hAnsi="Arial" w:cs="Arial"/>
          <w:color w:val="000000"/>
          <w:sz w:val="22"/>
          <w:szCs w:val="22"/>
        </w:rPr>
      </w:pPr>
      <w:r>
        <w:rPr>
          <w:rFonts w:ascii="Arial" w:hAnsi="Arial" w:cs="Arial"/>
          <w:color w:val="000000"/>
          <w:sz w:val="22"/>
          <w:szCs w:val="22"/>
        </w:rPr>
        <w:t xml:space="preserve">Where spirit has been denatured in accordance with the determination, </w:t>
      </w:r>
      <w:r w:rsidR="003616FF">
        <w:rPr>
          <w:rFonts w:ascii="Arial" w:hAnsi="Arial" w:cs="Arial"/>
          <w:color w:val="000000"/>
          <w:sz w:val="22"/>
          <w:szCs w:val="22"/>
        </w:rPr>
        <w:t xml:space="preserve">(and the spirit is not for use as a fuel in an internal combustion engine) </w:t>
      </w:r>
      <w:r>
        <w:rPr>
          <w:rFonts w:ascii="Arial" w:hAnsi="Arial" w:cs="Arial"/>
          <w:color w:val="000000"/>
          <w:sz w:val="22"/>
          <w:szCs w:val="22"/>
        </w:rPr>
        <w:t xml:space="preserve">the spirit may be </w:t>
      </w:r>
      <w:r w:rsidR="003616FF">
        <w:rPr>
          <w:rFonts w:ascii="Arial" w:hAnsi="Arial" w:cs="Arial"/>
          <w:color w:val="000000"/>
          <w:sz w:val="22"/>
          <w:szCs w:val="22"/>
        </w:rPr>
        <w:t>entered</w:t>
      </w:r>
      <w:r>
        <w:rPr>
          <w:rFonts w:ascii="Arial" w:hAnsi="Arial" w:cs="Arial"/>
          <w:color w:val="000000"/>
          <w:sz w:val="22"/>
          <w:szCs w:val="22"/>
        </w:rPr>
        <w:t xml:space="preserve"> at a duty rate of free under </w:t>
      </w:r>
      <w:proofErr w:type="spellStart"/>
      <w:r>
        <w:rPr>
          <w:rFonts w:ascii="Arial" w:hAnsi="Arial" w:cs="Arial"/>
          <w:color w:val="000000"/>
          <w:sz w:val="22"/>
          <w:szCs w:val="22"/>
        </w:rPr>
        <w:t>subitem</w:t>
      </w:r>
      <w:proofErr w:type="spellEnd"/>
      <w:r>
        <w:rPr>
          <w:rFonts w:ascii="Arial" w:hAnsi="Arial" w:cs="Arial"/>
          <w:color w:val="000000"/>
          <w:sz w:val="22"/>
          <w:szCs w:val="22"/>
        </w:rPr>
        <w:t xml:space="preserve"> 3.8 of the Schedule</w:t>
      </w:r>
      <w:r w:rsidR="00791A5E">
        <w:rPr>
          <w:rFonts w:ascii="Arial" w:hAnsi="Arial" w:cs="Arial"/>
          <w:color w:val="000000"/>
          <w:sz w:val="22"/>
          <w:szCs w:val="22"/>
        </w:rPr>
        <w:t xml:space="preserve"> to the Excise Tariff Act. </w:t>
      </w:r>
    </w:p>
    <w:p w:rsidR="00CF14FD" w:rsidRDefault="00CF14FD" w:rsidP="006F210F">
      <w:pPr>
        <w:keepNext/>
        <w:keepLines/>
        <w:numPr>
          <w:ilvl w:val="0"/>
          <w:numId w:val="16"/>
        </w:numPr>
        <w:spacing w:before="240"/>
        <w:rPr>
          <w:rFonts w:ascii="Arial" w:hAnsi="Arial" w:cs="Arial"/>
          <w:color w:val="000000"/>
          <w:sz w:val="22"/>
          <w:szCs w:val="22"/>
        </w:rPr>
      </w:pPr>
      <w:r>
        <w:rPr>
          <w:rFonts w:ascii="Arial" w:hAnsi="Arial" w:cs="Arial"/>
          <w:color w:val="000000"/>
          <w:sz w:val="22"/>
          <w:szCs w:val="22"/>
        </w:rPr>
        <w:t xml:space="preserve">This </w:t>
      </w:r>
      <w:r w:rsidR="00FB40BF">
        <w:rPr>
          <w:rFonts w:ascii="Arial" w:hAnsi="Arial" w:cs="Arial"/>
          <w:color w:val="000000"/>
          <w:sz w:val="22"/>
          <w:szCs w:val="22"/>
        </w:rPr>
        <w:t>determination</w:t>
      </w:r>
      <w:r>
        <w:rPr>
          <w:rFonts w:ascii="Arial" w:hAnsi="Arial" w:cs="Arial"/>
          <w:color w:val="000000"/>
          <w:sz w:val="22"/>
          <w:szCs w:val="22"/>
        </w:rPr>
        <w:t xml:space="preserve"> preserves </w:t>
      </w:r>
      <w:r w:rsidR="00303737">
        <w:rPr>
          <w:rFonts w:ascii="Arial" w:hAnsi="Arial" w:cs="Arial"/>
          <w:color w:val="000000"/>
          <w:sz w:val="22"/>
          <w:szCs w:val="22"/>
        </w:rPr>
        <w:t xml:space="preserve">and continues </w:t>
      </w:r>
      <w:r>
        <w:rPr>
          <w:rFonts w:ascii="Arial" w:hAnsi="Arial" w:cs="Arial"/>
          <w:color w:val="000000"/>
          <w:sz w:val="22"/>
          <w:szCs w:val="22"/>
        </w:rPr>
        <w:t xml:space="preserve">the formula </w:t>
      </w:r>
      <w:r w:rsidR="00183289">
        <w:rPr>
          <w:rFonts w:ascii="Arial" w:hAnsi="Arial" w:cs="Arial"/>
          <w:color w:val="000000"/>
          <w:sz w:val="22"/>
          <w:szCs w:val="22"/>
        </w:rPr>
        <w:t xml:space="preserve">(and Schedule) </w:t>
      </w:r>
      <w:r>
        <w:rPr>
          <w:rFonts w:ascii="Arial" w:hAnsi="Arial" w:cs="Arial"/>
          <w:color w:val="000000"/>
          <w:sz w:val="22"/>
          <w:szCs w:val="22"/>
        </w:rPr>
        <w:t>previously prescribed</w:t>
      </w:r>
      <w:r w:rsidR="00303737">
        <w:rPr>
          <w:rFonts w:ascii="Arial" w:hAnsi="Arial" w:cs="Arial"/>
          <w:color w:val="000000"/>
          <w:sz w:val="22"/>
          <w:szCs w:val="22"/>
        </w:rPr>
        <w:t xml:space="preserve"> for that purpose</w:t>
      </w:r>
      <w:r w:rsidR="006F210F">
        <w:rPr>
          <w:rFonts w:ascii="Arial" w:hAnsi="Arial" w:cs="Arial"/>
          <w:color w:val="000000"/>
          <w:sz w:val="22"/>
          <w:szCs w:val="22"/>
        </w:rPr>
        <w:t>.</w:t>
      </w:r>
    </w:p>
    <w:p w:rsidR="00D67FED" w:rsidRPr="00D67FED" w:rsidRDefault="00F428F4" w:rsidP="006F210F">
      <w:pPr>
        <w:numPr>
          <w:ilvl w:val="0"/>
          <w:numId w:val="16"/>
        </w:numPr>
        <w:spacing w:before="240"/>
        <w:rPr>
          <w:rFonts w:ascii="Arial" w:hAnsi="Arial" w:cs="Arial"/>
          <w:sz w:val="22"/>
          <w:szCs w:val="22"/>
        </w:rPr>
      </w:pPr>
      <w:r>
        <w:rPr>
          <w:rFonts w:ascii="Arial" w:hAnsi="Arial" w:cs="Arial"/>
          <w:sz w:val="22"/>
          <w:szCs w:val="22"/>
        </w:rPr>
        <w:t xml:space="preserve">The formula is expressed so that if spirit contains </w:t>
      </w:r>
      <w:r w:rsidR="00791A5E">
        <w:rPr>
          <w:rFonts w:ascii="Arial" w:hAnsi="Arial" w:cs="Arial"/>
          <w:sz w:val="22"/>
          <w:szCs w:val="22"/>
        </w:rPr>
        <w:t xml:space="preserve">at least </w:t>
      </w:r>
      <w:r>
        <w:rPr>
          <w:rFonts w:ascii="Arial" w:hAnsi="Arial" w:cs="Arial"/>
          <w:sz w:val="22"/>
          <w:szCs w:val="22"/>
        </w:rPr>
        <w:t xml:space="preserve">one of the substances listed in the Schedule at or above the minimum concentration specified </w:t>
      </w:r>
      <w:r w:rsidR="00791A5E">
        <w:rPr>
          <w:rFonts w:ascii="Arial" w:hAnsi="Arial" w:cs="Arial"/>
          <w:sz w:val="22"/>
          <w:szCs w:val="22"/>
        </w:rPr>
        <w:t xml:space="preserve">for that substance </w:t>
      </w:r>
      <w:r>
        <w:rPr>
          <w:rFonts w:ascii="Arial" w:hAnsi="Arial" w:cs="Arial"/>
          <w:sz w:val="22"/>
          <w:szCs w:val="22"/>
        </w:rPr>
        <w:t>then it is denatured according to the formula.</w:t>
      </w:r>
      <w:r w:rsidR="00D67FED">
        <w:rPr>
          <w:rFonts w:ascii="Arial" w:hAnsi="Arial" w:cs="Arial"/>
          <w:sz w:val="22"/>
          <w:szCs w:val="22"/>
        </w:rPr>
        <w:t xml:space="preserve"> </w:t>
      </w:r>
      <w:r w:rsidR="001D059D" w:rsidRPr="00D67FED">
        <w:rPr>
          <w:rFonts w:ascii="Arial" w:hAnsi="Arial" w:cs="Arial"/>
          <w:sz w:val="22"/>
          <w:szCs w:val="22"/>
        </w:rPr>
        <w:t xml:space="preserve">The addition of other substances beyond that requirement is not relevant. </w:t>
      </w:r>
    </w:p>
    <w:p w:rsidR="00AB2432" w:rsidRPr="00D67FED" w:rsidRDefault="001D059D" w:rsidP="006F210F">
      <w:pPr>
        <w:numPr>
          <w:ilvl w:val="0"/>
          <w:numId w:val="16"/>
        </w:numPr>
        <w:spacing w:before="240"/>
        <w:rPr>
          <w:rFonts w:ascii="Arial" w:hAnsi="Arial" w:cs="Arial"/>
          <w:sz w:val="22"/>
          <w:szCs w:val="22"/>
        </w:rPr>
      </w:pPr>
      <w:r w:rsidRPr="00F428F4">
        <w:rPr>
          <w:rFonts w:ascii="Arial" w:hAnsi="Arial" w:cs="Arial"/>
          <w:sz w:val="22"/>
          <w:szCs w:val="22"/>
        </w:rPr>
        <w:t>For ease of administration the formula does</w:t>
      </w:r>
      <w:r w:rsidR="005F565C">
        <w:rPr>
          <w:rFonts w:ascii="Arial" w:hAnsi="Arial" w:cs="Arial"/>
          <w:sz w:val="22"/>
          <w:szCs w:val="22"/>
        </w:rPr>
        <w:t xml:space="preserve"> not</w:t>
      </w:r>
      <w:r w:rsidRPr="00F428F4">
        <w:rPr>
          <w:rFonts w:ascii="Arial" w:hAnsi="Arial" w:cs="Arial"/>
          <w:sz w:val="22"/>
          <w:szCs w:val="22"/>
        </w:rPr>
        <w:t xml:space="preserve"> consider </w:t>
      </w:r>
      <w:r w:rsidR="00EA0216" w:rsidRPr="00F428F4">
        <w:rPr>
          <w:rFonts w:ascii="Arial" w:hAnsi="Arial" w:cs="Arial"/>
          <w:sz w:val="22"/>
          <w:szCs w:val="22"/>
        </w:rPr>
        <w:t xml:space="preserve">the </w:t>
      </w:r>
      <w:r w:rsidRPr="00F428F4">
        <w:rPr>
          <w:rFonts w:ascii="Arial" w:hAnsi="Arial" w:cs="Arial"/>
          <w:sz w:val="22"/>
          <w:szCs w:val="22"/>
        </w:rPr>
        <w:t xml:space="preserve">cumulative effects of denaturants. </w:t>
      </w:r>
      <w:r w:rsidR="00F428F4" w:rsidRPr="00D67FED">
        <w:rPr>
          <w:rFonts w:ascii="Arial" w:hAnsi="Arial" w:cs="Arial"/>
          <w:sz w:val="22"/>
          <w:szCs w:val="22"/>
        </w:rPr>
        <w:t xml:space="preserve">If </w:t>
      </w:r>
      <w:r w:rsidR="00791A5E">
        <w:rPr>
          <w:rFonts w:ascii="Arial" w:hAnsi="Arial" w:cs="Arial"/>
          <w:sz w:val="22"/>
          <w:szCs w:val="22"/>
        </w:rPr>
        <w:t xml:space="preserve">the spirit does not contain at least one substance </w:t>
      </w:r>
      <w:r w:rsidR="00791A5E">
        <w:rPr>
          <w:rFonts w:ascii="Arial" w:hAnsi="Arial" w:cs="Arial"/>
          <w:sz w:val="22"/>
          <w:szCs w:val="22"/>
        </w:rPr>
        <w:lastRenderedPageBreak/>
        <w:t xml:space="preserve">listed in the Schedule </w:t>
      </w:r>
      <w:r w:rsidR="00F428F4" w:rsidRPr="00D67FED">
        <w:rPr>
          <w:rFonts w:ascii="Arial" w:hAnsi="Arial" w:cs="Arial"/>
          <w:sz w:val="22"/>
          <w:szCs w:val="22"/>
        </w:rPr>
        <w:t xml:space="preserve">at or above the specified minimum concentration </w:t>
      </w:r>
      <w:r w:rsidR="00791A5E">
        <w:rPr>
          <w:rFonts w:ascii="Arial" w:hAnsi="Arial" w:cs="Arial"/>
          <w:sz w:val="22"/>
          <w:szCs w:val="22"/>
        </w:rPr>
        <w:t xml:space="preserve">for that substance </w:t>
      </w:r>
      <w:r w:rsidR="00F428F4" w:rsidRPr="00D67FED">
        <w:rPr>
          <w:rFonts w:ascii="Arial" w:hAnsi="Arial" w:cs="Arial"/>
          <w:sz w:val="22"/>
          <w:szCs w:val="22"/>
        </w:rPr>
        <w:t>the</w:t>
      </w:r>
      <w:r w:rsidR="00AB2432" w:rsidRPr="00D67FED">
        <w:rPr>
          <w:rFonts w:ascii="Arial" w:hAnsi="Arial" w:cs="Arial"/>
          <w:sz w:val="22"/>
          <w:szCs w:val="22"/>
        </w:rPr>
        <w:t>n</w:t>
      </w:r>
      <w:r w:rsidR="00F428F4" w:rsidRPr="00D67FED">
        <w:rPr>
          <w:rFonts w:ascii="Arial" w:hAnsi="Arial" w:cs="Arial"/>
          <w:sz w:val="22"/>
          <w:szCs w:val="22"/>
        </w:rPr>
        <w:t xml:space="preserve"> </w:t>
      </w:r>
      <w:r w:rsidR="00AB2432" w:rsidRPr="00D67FED">
        <w:rPr>
          <w:rFonts w:ascii="Arial" w:hAnsi="Arial" w:cs="Arial"/>
          <w:sz w:val="22"/>
          <w:szCs w:val="22"/>
        </w:rPr>
        <w:t xml:space="preserve">the </w:t>
      </w:r>
      <w:r w:rsidR="00F428F4" w:rsidRPr="00D67FED">
        <w:rPr>
          <w:rFonts w:ascii="Arial" w:hAnsi="Arial" w:cs="Arial"/>
          <w:sz w:val="22"/>
          <w:szCs w:val="22"/>
        </w:rPr>
        <w:t xml:space="preserve">spirit cannot be delivered under </w:t>
      </w:r>
      <w:proofErr w:type="spellStart"/>
      <w:r w:rsidR="00F428F4" w:rsidRPr="00D67FED">
        <w:rPr>
          <w:rFonts w:ascii="Arial" w:hAnsi="Arial" w:cs="Arial"/>
          <w:sz w:val="22"/>
          <w:szCs w:val="22"/>
        </w:rPr>
        <w:t>subitem</w:t>
      </w:r>
      <w:proofErr w:type="spellEnd"/>
      <w:r w:rsidR="00F428F4" w:rsidRPr="00D67FED">
        <w:rPr>
          <w:rFonts w:ascii="Arial" w:hAnsi="Arial" w:cs="Arial"/>
          <w:sz w:val="22"/>
          <w:szCs w:val="22"/>
        </w:rPr>
        <w:t xml:space="preserve"> 3.8. </w:t>
      </w:r>
    </w:p>
    <w:p w:rsidR="00A854C6" w:rsidRDefault="00A854C6" w:rsidP="006F210F">
      <w:pPr>
        <w:numPr>
          <w:ilvl w:val="0"/>
          <w:numId w:val="16"/>
        </w:numPr>
        <w:spacing w:before="240"/>
        <w:rPr>
          <w:rFonts w:ascii="Arial" w:hAnsi="Arial" w:cs="Arial"/>
          <w:sz w:val="22"/>
          <w:szCs w:val="22"/>
        </w:rPr>
      </w:pPr>
      <w:r w:rsidRPr="00AB2432">
        <w:rPr>
          <w:rFonts w:ascii="Arial" w:hAnsi="Arial" w:cs="Arial"/>
          <w:sz w:val="22"/>
          <w:szCs w:val="22"/>
        </w:rPr>
        <w:t xml:space="preserve">However, the spirit may </w:t>
      </w:r>
      <w:r w:rsidR="00D67FED">
        <w:rPr>
          <w:rFonts w:ascii="Arial" w:hAnsi="Arial" w:cs="Arial"/>
          <w:sz w:val="22"/>
          <w:szCs w:val="22"/>
        </w:rPr>
        <w:t xml:space="preserve">instead </w:t>
      </w:r>
      <w:r w:rsidRPr="00AB2432">
        <w:rPr>
          <w:rFonts w:ascii="Arial" w:hAnsi="Arial" w:cs="Arial"/>
          <w:sz w:val="22"/>
          <w:szCs w:val="22"/>
        </w:rPr>
        <w:t xml:space="preserve">be delivered duty-free under </w:t>
      </w:r>
      <w:proofErr w:type="spellStart"/>
      <w:r w:rsidRPr="00AB2432">
        <w:rPr>
          <w:rFonts w:ascii="Arial" w:hAnsi="Arial" w:cs="Arial"/>
          <w:sz w:val="22"/>
          <w:szCs w:val="22"/>
        </w:rPr>
        <w:t>subitem</w:t>
      </w:r>
      <w:proofErr w:type="spellEnd"/>
      <w:r w:rsidRPr="00AB2432">
        <w:rPr>
          <w:rFonts w:ascii="Arial" w:hAnsi="Arial" w:cs="Arial"/>
          <w:sz w:val="22"/>
          <w:szCs w:val="22"/>
        </w:rPr>
        <w:t xml:space="preserve"> 3.6</w:t>
      </w:r>
      <w:r w:rsidR="00AB2432">
        <w:rPr>
          <w:rStyle w:val="FootnoteReference"/>
          <w:rFonts w:ascii="Arial" w:hAnsi="Arial" w:cs="Arial"/>
          <w:sz w:val="22"/>
          <w:szCs w:val="22"/>
        </w:rPr>
        <w:footnoteReference w:id="2"/>
      </w:r>
      <w:r w:rsidRPr="00AB2432">
        <w:rPr>
          <w:rFonts w:ascii="Arial" w:hAnsi="Arial" w:cs="Arial"/>
          <w:sz w:val="22"/>
          <w:szCs w:val="22"/>
        </w:rPr>
        <w:t xml:space="preserve"> or 3.7</w:t>
      </w:r>
      <w:r w:rsidR="00AB2432">
        <w:rPr>
          <w:rStyle w:val="FootnoteReference"/>
          <w:rFonts w:ascii="Arial" w:hAnsi="Arial" w:cs="Arial"/>
          <w:sz w:val="22"/>
          <w:szCs w:val="22"/>
        </w:rPr>
        <w:footnoteReference w:id="3"/>
      </w:r>
      <w:r w:rsidRPr="00AB2432">
        <w:rPr>
          <w:rFonts w:ascii="Arial" w:hAnsi="Arial" w:cs="Arial"/>
          <w:sz w:val="22"/>
          <w:szCs w:val="22"/>
        </w:rPr>
        <w:t xml:space="preserve"> to an eligible user for an industrial, manufacturing, scientific, medical, veterinary or educational purpose. </w:t>
      </w:r>
    </w:p>
    <w:p w:rsidR="000C7572" w:rsidRDefault="000C7572" w:rsidP="006F210F">
      <w:pPr>
        <w:numPr>
          <w:ilvl w:val="0"/>
          <w:numId w:val="16"/>
        </w:numPr>
        <w:spacing w:before="240"/>
        <w:rPr>
          <w:rFonts w:ascii="Arial" w:hAnsi="Arial" w:cs="Arial"/>
          <w:sz w:val="22"/>
          <w:szCs w:val="22"/>
        </w:rPr>
      </w:pPr>
      <w:r>
        <w:rPr>
          <w:rFonts w:ascii="Arial" w:hAnsi="Arial" w:cs="Arial"/>
          <w:sz w:val="22"/>
          <w:szCs w:val="22"/>
        </w:rPr>
        <w:t xml:space="preserve">Under section 77FJ of the Excise Act it is an offence to remove all or part of a denaturing substance from spirit delivered for home consumption classified to </w:t>
      </w:r>
      <w:proofErr w:type="spellStart"/>
      <w:r>
        <w:rPr>
          <w:rFonts w:ascii="Arial" w:hAnsi="Arial" w:cs="Arial"/>
          <w:sz w:val="22"/>
          <w:szCs w:val="22"/>
        </w:rPr>
        <w:t>subitem</w:t>
      </w:r>
      <w:proofErr w:type="spellEnd"/>
      <w:r>
        <w:rPr>
          <w:rFonts w:ascii="Arial" w:hAnsi="Arial" w:cs="Arial"/>
          <w:sz w:val="22"/>
          <w:szCs w:val="22"/>
        </w:rPr>
        <w:t xml:space="preserve"> 3.8 unless the person has written permission from the </w:t>
      </w:r>
      <w:r w:rsidR="00FB40BF">
        <w:rPr>
          <w:rFonts w:ascii="Arial" w:hAnsi="Arial" w:cs="Arial"/>
          <w:sz w:val="22"/>
          <w:szCs w:val="22"/>
        </w:rPr>
        <w:t>CEO</w:t>
      </w:r>
      <w:r>
        <w:rPr>
          <w:rFonts w:ascii="Arial" w:hAnsi="Arial" w:cs="Arial"/>
          <w:sz w:val="22"/>
          <w:szCs w:val="22"/>
        </w:rPr>
        <w:t xml:space="preserve">.  </w:t>
      </w:r>
    </w:p>
    <w:p w:rsidR="00A87860" w:rsidRDefault="00A87860" w:rsidP="00A87860">
      <w:pPr>
        <w:spacing w:before="240"/>
        <w:ind w:left="720"/>
        <w:rPr>
          <w:rFonts w:ascii="Arial" w:hAnsi="Arial" w:cs="Arial"/>
          <w:sz w:val="22"/>
          <w:szCs w:val="22"/>
        </w:rPr>
      </w:pPr>
    </w:p>
    <w:tbl>
      <w:tblPr>
        <w:tblW w:w="412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3"/>
        <w:gridCol w:w="2572"/>
        <w:gridCol w:w="905"/>
        <w:gridCol w:w="1570"/>
        <w:gridCol w:w="1347"/>
        <w:gridCol w:w="45"/>
      </w:tblGrid>
      <w:tr w:rsidR="00A87860" w:rsidRPr="00134665" w:rsidTr="00FB4D6C">
        <w:trPr>
          <w:trHeight w:val="776"/>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tcPr>
          <w:p w:rsidR="00A87860" w:rsidRPr="00134665" w:rsidRDefault="00A87860" w:rsidP="00FB4D6C">
            <w:pPr>
              <w:rPr>
                <w:rFonts w:ascii="Arial" w:hAnsi="Arial" w:cs="Arial"/>
                <w:b/>
                <w:bCs/>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tcPr>
          <w:p w:rsidR="00A87860" w:rsidRPr="00134665" w:rsidRDefault="00A87860" w:rsidP="00FB4D6C">
            <w:pPr>
              <w:rPr>
                <w:rFonts w:ascii="Arial" w:hAnsi="Arial" w:cs="Arial"/>
                <w:b/>
                <w:bCs/>
                <w:color w:val="000000"/>
                <w:sz w:val="22"/>
                <w:szCs w:val="22"/>
              </w:rPr>
            </w:pPr>
            <w:r>
              <w:rPr>
                <w:rFonts w:ascii="Arial" w:hAnsi="Arial" w:cs="Arial"/>
                <w:b/>
                <w:bCs/>
                <w:color w:val="000000"/>
                <w:sz w:val="22"/>
                <w:szCs w:val="22"/>
              </w:rPr>
              <w:t>Denaturant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tcPr>
          <w:p w:rsidR="00A87860" w:rsidRPr="00134665" w:rsidRDefault="00A87860" w:rsidP="00FB4D6C">
            <w:pPr>
              <w:rPr>
                <w:rFonts w:ascii="Arial" w:hAnsi="Arial" w:cs="Arial"/>
                <w:b/>
                <w:bCs/>
                <w:color w:val="000000"/>
                <w:sz w:val="22"/>
                <w:szCs w:val="22"/>
              </w:rPr>
            </w:pPr>
            <w:r>
              <w:rPr>
                <w:rFonts w:ascii="Arial" w:hAnsi="Arial" w:cs="Arial"/>
                <w:b/>
                <w:bCs/>
                <w:color w:val="000000"/>
                <w:sz w:val="22"/>
                <w:szCs w:val="22"/>
              </w:rPr>
              <w:t>CAS registry number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tcPr>
          <w:p w:rsidR="00A87860" w:rsidRPr="00134665" w:rsidRDefault="00A87860" w:rsidP="00FB4D6C">
            <w:pPr>
              <w:rPr>
                <w:rFonts w:ascii="Arial" w:hAnsi="Arial" w:cs="Arial"/>
                <w:b/>
                <w:bCs/>
                <w:color w:val="000000"/>
                <w:sz w:val="22"/>
                <w:szCs w:val="22"/>
              </w:rPr>
            </w:pPr>
            <w:r>
              <w:rPr>
                <w:rFonts w:ascii="Arial" w:hAnsi="Arial" w:cs="Arial"/>
                <w:b/>
                <w:bCs/>
                <w:color w:val="000000"/>
                <w:sz w:val="22"/>
                <w:szCs w:val="22"/>
              </w:rPr>
              <w:t>Minimum concentration 100% ethanol</w:t>
            </w:r>
          </w:p>
        </w:tc>
        <w:tc>
          <w:tcPr>
            <w:tcW w:w="0" w:type="auto"/>
            <w:gridSpan w:val="2"/>
            <w:tcBorders>
              <w:top w:val="outset" w:sz="6" w:space="0" w:color="auto"/>
              <w:left w:val="outset" w:sz="6" w:space="0" w:color="auto"/>
              <w:bottom w:val="outset" w:sz="6" w:space="0" w:color="auto"/>
              <w:right w:val="outset" w:sz="6" w:space="0" w:color="auto"/>
            </w:tcBorders>
          </w:tcPr>
          <w:p w:rsidR="00A87860" w:rsidRDefault="00A87860" w:rsidP="00FB4D6C">
            <w:pPr>
              <w:rPr>
                <w:rFonts w:ascii="Arial" w:hAnsi="Arial" w:cs="Arial"/>
                <w:b/>
                <w:bCs/>
                <w:color w:val="000000"/>
                <w:sz w:val="22"/>
                <w:szCs w:val="22"/>
              </w:rPr>
            </w:pPr>
            <w:r>
              <w:rPr>
                <w:rFonts w:ascii="Arial" w:hAnsi="Arial" w:cs="Arial"/>
                <w:b/>
                <w:bCs/>
                <w:color w:val="000000"/>
                <w:sz w:val="22"/>
                <w:szCs w:val="22"/>
              </w:rPr>
              <w:t>Risk mitigation</w:t>
            </w:r>
          </w:p>
        </w:tc>
      </w:tr>
      <w:tr w:rsidR="00A87860" w:rsidRPr="00134665" w:rsidTr="00FB4D6C">
        <w:trPr>
          <w:gridAfter w:val="1"/>
          <w:trHeight w:val="62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acetaldehyde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75-07-0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less than 1ppm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2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n-propanol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71-23-8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20ppm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3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n-propyl acetate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109-60-4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20ppm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4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acetone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67-64-1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2.0%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1000ppm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5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proofErr w:type="spellStart"/>
            <w:r w:rsidRPr="00134665">
              <w:rPr>
                <w:rFonts w:ascii="Arial" w:hAnsi="Arial" w:cs="Arial"/>
                <w:color w:val="000000"/>
                <w:sz w:val="20"/>
              </w:rPr>
              <w:t>denatonium</w:t>
            </w:r>
            <w:proofErr w:type="spellEnd"/>
            <w:r w:rsidRPr="00134665">
              <w:rPr>
                <w:rFonts w:ascii="Arial" w:hAnsi="Arial" w:cs="Arial"/>
                <w:color w:val="000000"/>
                <w:sz w:val="20"/>
              </w:rPr>
              <w:t xml:space="preserve"> benzoate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3734-33-6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5 ppm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Taste threshold 1:20,000,000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6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ethyl acetate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141-78-6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1ppm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7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propylene glycol mono-methyl ether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107-98-2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100ppm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8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sodium nitrite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7632-00-0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0.25%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Toxic at 85ppm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9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methyl ethyl ketone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78-93-3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0.5%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10ppm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10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proofErr w:type="spellStart"/>
            <w:r w:rsidRPr="00134665">
              <w:rPr>
                <w:rFonts w:ascii="Arial" w:hAnsi="Arial" w:cs="Arial"/>
                <w:color w:val="000000"/>
                <w:sz w:val="20"/>
              </w:rPr>
              <w:t>methoxy</w:t>
            </w:r>
            <w:proofErr w:type="spellEnd"/>
            <w:r w:rsidRPr="00134665">
              <w:rPr>
                <w:rFonts w:ascii="Arial" w:hAnsi="Arial" w:cs="Arial"/>
                <w:color w:val="000000"/>
                <w:sz w:val="20"/>
              </w:rPr>
              <w:t xml:space="preserve"> propyl acetate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108-65-6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0.5%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150ppm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11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methanol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67-56-1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5.0%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lastRenderedPageBreak/>
              <w:t>approx</w:t>
            </w:r>
            <w:proofErr w:type="spellEnd"/>
            <w:r w:rsidRPr="00134665">
              <w:rPr>
                <w:rFonts w:ascii="Arial" w:hAnsi="Arial" w:cs="Arial"/>
                <w:color w:val="000000"/>
                <w:sz w:val="20"/>
              </w:rPr>
              <w:t xml:space="preserve"> 2000ppm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lastRenderedPageBreak/>
              <w:t xml:space="preserve">12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isopropanol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67-63-0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5.0%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2500ppm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13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tertiary butyl alcohol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75-65-0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0.25%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73ppm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14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methyl isobutyl ketone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108-10-1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0.25%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10ppm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15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n-hexane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110-54-3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minute levels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16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ethyl ether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60-29-7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Detectable at </w:t>
            </w:r>
            <w:proofErr w:type="spellStart"/>
            <w:r w:rsidRPr="00134665">
              <w:rPr>
                <w:rFonts w:ascii="Arial" w:hAnsi="Arial" w:cs="Arial"/>
                <w:color w:val="000000"/>
                <w:sz w:val="20"/>
              </w:rPr>
              <w:t>approx</w:t>
            </w:r>
            <w:proofErr w:type="spellEnd"/>
            <w:r w:rsidRPr="00134665">
              <w:rPr>
                <w:rFonts w:ascii="Arial" w:hAnsi="Arial" w:cs="Arial"/>
                <w:color w:val="000000"/>
                <w:sz w:val="20"/>
              </w:rPr>
              <w:t xml:space="preserve"> 0.33ppm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17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propylene glycol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57-55-6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20.0% v/v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Colourless, odourless but oily liquid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18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sodium hydroxide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1310-73-2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0.25% w/w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Odourless but very corrosive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19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sodium </w:t>
            </w:r>
            <w:proofErr w:type="spellStart"/>
            <w:r w:rsidRPr="00134665">
              <w:rPr>
                <w:rFonts w:ascii="Arial" w:hAnsi="Arial" w:cs="Arial"/>
                <w:color w:val="000000"/>
                <w:sz w:val="20"/>
              </w:rPr>
              <w:t>molybdate</w:t>
            </w:r>
            <w:proofErr w:type="spellEnd"/>
            <w:r w:rsidRPr="00134665">
              <w:rPr>
                <w:rFonts w:ascii="Arial" w:hAnsi="Arial" w:cs="Arial"/>
                <w:color w:val="000000"/>
                <w:sz w:val="20"/>
              </w:rPr>
              <w:t xml:space="preserv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7631-95-0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0.25% w/w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Odourless but harmful if inhaled / swallowed </w:t>
            </w:r>
          </w:p>
        </w:tc>
      </w:tr>
      <w:tr w:rsidR="00A87860" w:rsidRPr="00134665" w:rsidTr="00FB4D6C">
        <w:trPr>
          <w:gridAfter w:val="1"/>
          <w:tblCellSpacing w:w="15" w:type="dxa"/>
          <w:jc w:val="center"/>
        </w:trPr>
        <w:tc>
          <w:tcPr>
            <w:tcW w:w="355"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20 </w:t>
            </w:r>
          </w:p>
        </w:tc>
        <w:tc>
          <w:tcPr>
            <w:tcW w:w="1772"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sodium </w:t>
            </w:r>
            <w:proofErr w:type="spellStart"/>
            <w:r w:rsidRPr="00134665">
              <w:rPr>
                <w:rFonts w:ascii="Arial" w:hAnsi="Arial" w:cs="Arial"/>
                <w:color w:val="000000"/>
                <w:sz w:val="20"/>
              </w:rPr>
              <w:t>tolytriazole</w:t>
            </w:r>
            <w:proofErr w:type="spellEnd"/>
            <w:r w:rsidRPr="00134665">
              <w:rPr>
                <w:rFonts w:ascii="Arial" w:hAnsi="Arial" w:cs="Arial"/>
                <w:color w:val="000000"/>
                <w:sz w:val="20"/>
              </w:rPr>
              <w:t xml:space="preserve"> </w:t>
            </w:r>
          </w:p>
        </w:tc>
        <w:tc>
          <w:tcPr>
            <w:tcW w:w="610"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64665-57-2 </w:t>
            </w:r>
          </w:p>
        </w:tc>
        <w:tc>
          <w:tcPr>
            <w:tcW w:w="1073"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jc w:val="center"/>
              <w:rPr>
                <w:rFonts w:ascii="Arial" w:hAnsi="Arial" w:cs="Arial"/>
                <w:color w:val="000000"/>
                <w:sz w:val="20"/>
              </w:rPr>
            </w:pPr>
            <w:r w:rsidRPr="00134665">
              <w:rPr>
                <w:rFonts w:ascii="Arial" w:hAnsi="Arial" w:cs="Arial"/>
                <w:color w:val="000000"/>
                <w:sz w:val="20"/>
              </w:rPr>
              <w:t xml:space="preserve">0.25% w/w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0" w:type="dxa"/>
            </w:tcMar>
            <w:hideMark/>
          </w:tcPr>
          <w:p w:rsidR="00A87860" w:rsidRPr="00134665" w:rsidRDefault="00A87860" w:rsidP="00FB4D6C">
            <w:pPr>
              <w:rPr>
                <w:rFonts w:ascii="Arial" w:hAnsi="Arial" w:cs="Arial"/>
                <w:color w:val="000000"/>
                <w:sz w:val="20"/>
              </w:rPr>
            </w:pPr>
            <w:r w:rsidRPr="00134665">
              <w:rPr>
                <w:rFonts w:ascii="Arial" w:hAnsi="Arial" w:cs="Arial"/>
                <w:color w:val="000000"/>
                <w:sz w:val="20"/>
              </w:rPr>
              <w:t xml:space="preserve">Characteristic odour </w:t>
            </w:r>
          </w:p>
        </w:tc>
      </w:tr>
    </w:tbl>
    <w:p w:rsidR="00A87860" w:rsidRDefault="00A87860" w:rsidP="00486653">
      <w:pPr>
        <w:pStyle w:val="Heading2"/>
        <w:rPr>
          <w:sz w:val="24"/>
          <w:szCs w:val="24"/>
        </w:rPr>
      </w:pPr>
    </w:p>
    <w:p w:rsidR="00791A5E" w:rsidRPr="005E6CCE" w:rsidRDefault="00791A5E" w:rsidP="00791A5E">
      <w:pPr>
        <w:pStyle w:val="Heading2"/>
        <w:rPr>
          <w:sz w:val="24"/>
          <w:szCs w:val="24"/>
        </w:rPr>
      </w:pPr>
      <w:r w:rsidRPr="005E6CCE">
        <w:rPr>
          <w:sz w:val="24"/>
          <w:szCs w:val="24"/>
        </w:rPr>
        <w:t>Background</w:t>
      </w:r>
    </w:p>
    <w:p w:rsidR="00791A5E" w:rsidRDefault="00F44B9E" w:rsidP="006F210F">
      <w:pPr>
        <w:numPr>
          <w:ilvl w:val="0"/>
          <w:numId w:val="16"/>
        </w:numPr>
        <w:spacing w:before="240"/>
        <w:rPr>
          <w:rFonts w:ascii="Arial" w:hAnsi="Arial" w:cs="Arial"/>
          <w:sz w:val="22"/>
          <w:szCs w:val="22"/>
        </w:rPr>
      </w:pPr>
      <w:r>
        <w:rPr>
          <w:rFonts w:ascii="Arial" w:hAnsi="Arial" w:cs="Arial"/>
          <w:sz w:val="22"/>
          <w:szCs w:val="22"/>
        </w:rPr>
        <w:t>In determining the formula under section 77FG of the Excise Act, s</w:t>
      </w:r>
      <w:r w:rsidR="00791A5E">
        <w:rPr>
          <w:rFonts w:ascii="Arial" w:hAnsi="Arial" w:cs="Arial"/>
          <w:sz w:val="22"/>
          <w:szCs w:val="22"/>
        </w:rPr>
        <w:t xml:space="preserve">ubsection </w:t>
      </w:r>
      <w:proofErr w:type="gramStart"/>
      <w:r w:rsidR="00791A5E">
        <w:rPr>
          <w:rFonts w:ascii="Arial" w:hAnsi="Arial" w:cs="Arial"/>
          <w:sz w:val="22"/>
          <w:szCs w:val="22"/>
        </w:rPr>
        <w:t>77FG(</w:t>
      </w:r>
      <w:proofErr w:type="gramEnd"/>
      <w:r w:rsidR="00791A5E">
        <w:rPr>
          <w:rFonts w:ascii="Arial" w:hAnsi="Arial" w:cs="Arial"/>
          <w:sz w:val="22"/>
          <w:szCs w:val="22"/>
        </w:rPr>
        <w:t>2)</w:t>
      </w:r>
      <w:r>
        <w:rPr>
          <w:rFonts w:ascii="Arial" w:hAnsi="Arial" w:cs="Arial"/>
          <w:sz w:val="22"/>
          <w:szCs w:val="22"/>
        </w:rPr>
        <w:t xml:space="preserve"> requires</w:t>
      </w:r>
      <w:r w:rsidR="00791A5E">
        <w:rPr>
          <w:rFonts w:ascii="Arial" w:hAnsi="Arial" w:cs="Arial"/>
          <w:sz w:val="22"/>
          <w:szCs w:val="22"/>
        </w:rPr>
        <w:t xml:space="preserve"> the CEO </w:t>
      </w:r>
      <w:r>
        <w:rPr>
          <w:rFonts w:ascii="Arial" w:hAnsi="Arial" w:cs="Arial"/>
          <w:sz w:val="22"/>
          <w:szCs w:val="22"/>
        </w:rPr>
        <w:t>to</w:t>
      </w:r>
      <w:r w:rsidR="00791A5E">
        <w:rPr>
          <w:rFonts w:ascii="Arial" w:hAnsi="Arial" w:cs="Arial"/>
          <w:sz w:val="22"/>
          <w:szCs w:val="22"/>
        </w:rPr>
        <w:t xml:space="preserve"> give the greatest weight to the protection of the revenue. </w:t>
      </w:r>
    </w:p>
    <w:p w:rsidR="00791A5E" w:rsidRDefault="00791A5E" w:rsidP="006F210F">
      <w:pPr>
        <w:numPr>
          <w:ilvl w:val="0"/>
          <w:numId w:val="16"/>
        </w:numPr>
        <w:spacing w:before="240"/>
        <w:rPr>
          <w:rFonts w:ascii="Arial" w:hAnsi="Arial" w:cs="Arial"/>
          <w:sz w:val="22"/>
          <w:szCs w:val="22"/>
        </w:rPr>
      </w:pPr>
      <w:r>
        <w:rPr>
          <w:rFonts w:ascii="Arial" w:hAnsi="Arial" w:cs="Arial"/>
          <w:sz w:val="22"/>
          <w:szCs w:val="22"/>
        </w:rPr>
        <w:t xml:space="preserve">The formula therefore </w:t>
      </w:r>
      <w:r w:rsidR="00F44B9E">
        <w:rPr>
          <w:rFonts w:ascii="Arial" w:hAnsi="Arial" w:cs="Arial"/>
          <w:sz w:val="22"/>
          <w:szCs w:val="22"/>
        </w:rPr>
        <w:t xml:space="preserve">seeks to reduce </w:t>
      </w:r>
      <w:r>
        <w:rPr>
          <w:rFonts w:ascii="Arial" w:hAnsi="Arial" w:cs="Arial"/>
          <w:sz w:val="22"/>
          <w:szCs w:val="22"/>
        </w:rPr>
        <w:t>the risk of the product being diverted for use as a beverage or fuel.</w:t>
      </w:r>
      <w:r w:rsidRPr="00134665">
        <w:rPr>
          <w:rFonts w:ascii="Arial" w:hAnsi="Arial" w:cs="Arial"/>
          <w:sz w:val="22"/>
          <w:szCs w:val="22"/>
        </w:rPr>
        <w:t xml:space="preserve"> </w:t>
      </w:r>
    </w:p>
    <w:p w:rsidR="00791A5E" w:rsidRPr="00AB2432" w:rsidRDefault="00791A5E" w:rsidP="006F210F">
      <w:pPr>
        <w:numPr>
          <w:ilvl w:val="0"/>
          <w:numId w:val="16"/>
        </w:numPr>
        <w:spacing w:before="240"/>
        <w:rPr>
          <w:rFonts w:ascii="Arial" w:hAnsi="Arial" w:cs="Arial"/>
          <w:sz w:val="22"/>
          <w:szCs w:val="22"/>
        </w:rPr>
      </w:pPr>
      <w:r>
        <w:rPr>
          <w:rFonts w:ascii="Arial" w:hAnsi="Arial" w:cs="Arial"/>
          <w:sz w:val="22"/>
          <w:szCs w:val="22"/>
        </w:rPr>
        <w:t xml:space="preserve">A </w:t>
      </w:r>
      <w:r w:rsidRPr="0042542D">
        <w:rPr>
          <w:rFonts w:ascii="Arial" w:hAnsi="Arial" w:cs="Arial"/>
          <w:sz w:val="22"/>
          <w:szCs w:val="22"/>
        </w:rPr>
        <w:t>table</w:t>
      </w:r>
      <w:r>
        <w:rPr>
          <w:rFonts w:ascii="Arial" w:hAnsi="Arial" w:cs="Arial"/>
          <w:sz w:val="22"/>
          <w:szCs w:val="22"/>
        </w:rPr>
        <w:t xml:space="preserve"> is attached at </w:t>
      </w:r>
      <w:r w:rsidR="008744E3">
        <w:rPr>
          <w:rFonts w:ascii="Arial" w:hAnsi="Arial" w:cs="Arial"/>
          <w:sz w:val="22"/>
          <w:szCs w:val="22"/>
        </w:rPr>
        <w:t xml:space="preserve">paragraph </w:t>
      </w:r>
      <w:r w:rsidR="00FB40BF">
        <w:rPr>
          <w:rFonts w:ascii="Arial" w:hAnsi="Arial" w:cs="Arial"/>
          <w:sz w:val="22"/>
          <w:szCs w:val="22"/>
        </w:rPr>
        <w:t>13</w:t>
      </w:r>
      <w:r>
        <w:rPr>
          <w:rFonts w:ascii="Arial" w:hAnsi="Arial" w:cs="Arial"/>
          <w:sz w:val="22"/>
          <w:szCs w:val="22"/>
        </w:rPr>
        <w:t xml:space="preserve"> listing the substances and how they mitigate the risk of diversion.</w:t>
      </w:r>
      <w:r w:rsidRPr="00134665">
        <w:rPr>
          <w:rFonts w:ascii="Arial" w:hAnsi="Arial" w:cs="Arial"/>
          <w:sz w:val="22"/>
          <w:szCs w:val="22"/>
        </w:rPr>
        <w:t xml:space="preserve"> </w:t>
      </w:r>
      <w:r>
        <w:rPr>
          <w:rFonts w:ascii="Arial" w:hAnsi="Arial" w:cs="Arial"/>
          <w:sz w:val="22"/>
          <w:szCs w:val="22"/>
        </w:rPr>
        <w:t xml:space="preserve">In the </w:t>
      </w:r>
      <w:r w:rsidR="00FB40BF">
        <w:rPr>
          <w:rFonts w:ascii="Arial" w:hAnsi="Arial" w:cs="Arial"/>
          <w:sz w:val="22"/>
          <w:szCs w:val="22"/>
        </w:rPr>
        <w:t>determination</w:t>
      </w:r>
      <w:r>
        <w:rPr>
          <w:rFonts w:ascii="Arial" w:hAnsi="Arial" w:cs="Arial"/>
          <w:sz w:val="22"/>
          <w:szCs w:val="22"/>
        </w:rPr>
        <w:t xml:space="preserve"> and this explanatory statement the common names of chemicals are used rather than proprietary names, but to avoid ambiguity CAS registry numbers are also used to identify each denaturant</w:t>
      </w:r>
      <w:r>
        <w:rPr>
          <w:rStyle w:val="FootnoteReference"/>
          <w:rFonts w:ascii="Arial" w:hAnsi="Arial" w:cs="Arial"/>
          <w:sz w:val="22"/>
          <w:szCs w:val="22"/>
        </w:rPr>
        <w:footnoteReference w:id="4"/>
      </w:r>
      <w:r>
        <w:rPr>
          <w:rFonts w:ascii="Arial" w:hAnsi="Arial" w:cs="Arial"/>
          <w:sz w:val="22"/>
          <w:szCs w:val="22"/>
        </w:rPr>
        <w:t>.</w:t>
      </w:r>
    </w:p>
    <w:p w:rsidR="00791A5E" w:rsidRDefault="00791A5E" w:rsidP="006F210F">
      <w:pPr>
        <w:numPr>
          <w:ilvl w:val="0"/>
          <w:numId w:val="16"/>
        </w:numPr>
        <w:spacing w:before="240"/>
        <w:rPr>
          <w:rFonts w:ascii="Arial" w:hAnsi="Arial" w:cs="Arial"/>
          <w:sz w:val="22"/>
          <w:szCs w:val="22"/>
        </w:rPr>
      </w:pPr>
      <w:r>
        <w:rPr>
          <w:rFonts w:ascii="Arial" w:hAnsi="Arial" w:cs="Arial"/>
          <w:sz w:val="22"/>
          <w:szCs w:val="22"/>
        </w:rPr>
        <w:t>Factors that have been taken into account in prescribing denaturants and concentrations in the Schedule include:</w:t>
      </w:r>
    </w:p>
    <w:p w:rsidR="00791A5E" w:rsidRDefault="00791A5E" w:rsidP="00791A5E">
      <w:pPr>
        <w:numPr>
          <w:ilvl w:val="1"/>
          <w:numId w:val="41"/>
        </w:numPr>
        <w:spacing w:before="240"/>
        <w:rPr>
          <w:rFonts w:ascii="Arial" w:hAnsi="Arial" w:cs="Arial"/>
          <w:sz w:val="22"/>
          <w:szCs w:val="22"/>
        </w:rPr>
      </w:pPr>
      <w:r>
        <w:rPr>
          <w:rFonts w:ascii="Arial" w:hAnsi="Arial" w:cs="Arial"/>
          <w:sz w:val="22"/>
          <w:szCs w:val="22"/>
        </w:rPr>
        <w:t xml:space="preserve">The degree of difficulty in removing the denaturant from the spirit </w:t>
      </w:r>
    </w:p>
    <w:p w:rsidR="00791A5E" w:rsidRDefault="00791A5E" w:rsidP="00791A5E">
      <w:pPr>
        <w:numPr>
          <w:ilvl w:val="1"/>
          <w:numId w:val="41"/>
        </w:numPr>
        <w:spacing w:before="240"/>
        <w:rPr>
          <w:rFonts w:ascii="Arial" w:hAnsi="Arial" w:cs="Arial"/>
          <w:sz w:val="22"/>
          <w:szCs w:val="22"/>
        </w:rPr>
      </w:pPr>
      <w:r>
        <w:rPr>
          <w:rFonts w:ascii="Arial" w:hAnsi="Arial" w:cs="Arial"/>
          <w:sz w:val="22"/>
          <w:szCs w:val="22"/>
        </w:rPr>
        <w:lastRenderedPageBreak/>
        <w:t>The effectiveness of the denaturant as a deterrent to using the spirit in a beverage</w:t>
      </w:r>
      <w:r w:rsidR="00F44B9E">
        <w:rPr>
          <w:rFonts w:ascii="Arial" w:hAnsi="Arial" w:cs="Arial"/>
          <w:sz w:val="22"/>
          <w:szCs w:val="22"/>
        </w:rPr>
        <w:t xml:space="preserve"> at 5% strength on dilution by the addition of water, cola, lemonade or other beverages. </w:t>
      </w:r>
      <w:r w:rsidR="00A2182E">
        <w:rPr>
          <w:rFonts w:ascii="Arial" w:hAnsi="Arial" w:cs="Arial"/>
          <w:sz w:val="22"/>
          <w:szCs w:val="22"/>
        </w:rPr>
        <w:t>Ways in which t</w:t>
      </w:r>
      <w:r w:rsidR="00F44B9E">
        <w:rPr>
          <w:rFonts w:ascii="Arial" w:hAnsi="Arial" w:cs="Arial"/>
          <w:sz w:val="22"/>
          <w:szCs w:val="22"/>
        </w:rPr>
        <w:t>h</w:t>
      </w:r>
      <w:r w:rsidR="00A2182E">
        <w:rPr>
          <w:rFonts w:ascii="Arial" w:hAnsi="Arial" w:cs="Arial"/>
          <w:sz w:val="22"/>
          <w:szCs w:val="22"/>
        </w:rPr>
        <w:t xml:space="preserve">e denaturant can achieve this </w:t>
      </w:r>
      <w:r w:rsidR="00F44B9E">
        <w:rPr>
          <w:rFonts w:ascii="Arial" w:hAnsi="Arial" w:cs="Arial"/>
          <w:sz w:val="22"/>
          <w:szCs w:val="22"/>
        </w:rPr>
        <w:t xml:space="preserve">deterrent </w:t>
      </w:r>
      <w:r w:rsidR="00A2182E">
        <w:rPr>
          <w:rFonts w:ascii="Arial" w:hAnsi="Arial" w:cs="Arial"/>
          <w:sz w:val="22"/>
          <w:szCs w:val="22"/>
        </w:rPr>
        <w:t>effect include</w:t>
      </w:r>
      <w:r w:rsidR="00F44B9E">
        <w:rPr>
          <w:rFonts w:ascii="Arial" w:hAnsi="Arial" w:cs="Arial"/>
          <w:sz w:val="22"/>
          <w:szCs w:val="22"/>
        </w:rPr>
        <w:t xml:space="preserve"> imparting an</w:t>
      </w:r>
      <w:r>
        <w:rPr>
          <w:rFonts w:ascii="Arial" w:hAnsi="Arial" w:cs="Arial"/>
          <w:sz w:val="22"/>
          <w:szCs w:val="22"/>
        </w:rPr>
        <w:t xml:space="preserve"> unpleasant odour or taste, oily or viscous qualities</w:t>
      </w:r>
      <w:r w:rsidR="00F44B9E">
        <w:rPr>
          <w:rFonts w:ascii="Arial" w:hAnsi="Arial" w:cs="Arial"/>
          <w:sz w:val="22"/>
          <w:szCs w:val="22"/>
        </w:rPr>
        <w:t xml:space="preserve"> indicating the presence of a denaturant or toxicity.</w:t>
      </w:r>
    </w:p>
    <w:p w:rsidR="00A2182E" w:rsidRDefault="00A2182E" w:rsidP="00791A5E">
      <w:pPr>
        <w:numPr>
          <w:ilvl w:val="1"/>
          <w:numId w:val="41"/>
        </w:numPr>
        <w:spacing w:before="240"/>
        <w:rPr>
          <w:rFonts w:ascii="Arial" w:hAnsi="Arial" w:cs="Arial"/>
          <w:sz w:val="22"/>
          <w:szCs w:val="22"/>
        </w:rPr>
      </w:pPr>
      <w:r>
        <w:rPr>
          <w:rFonts w:ascii="Arial" w:hAnsi="Arial" w:cs="Arial"/>
          <w:sz w:val="22"/>
          <w:szCs w:val="22"/>
        </w:rPr>
        <w:t>The relative prices of spirit and fuel.</w:t>
      </w:r>
    </w:p>
    <w:p w:rsidR="00791A5E" w:rsidRDefault="00A2182E" w:rsidP="00791A5E">
      <w:pPr>
        <w:numPr>
          <w:ilvl w:val="1"/>
          <w:numId w:val="41"/>
        </w:numPr>
        <w:spacing w:before="240"/>
        <w:rPr>
          <w:rFonts w:ascii="Arial" w:hAnsi="Arial" w:cs="Arial"/>
          <w:sz w:val="22"/>
          <w:szCs w:val="22"/>
        </w:rPr>
      </w:pPr>
      <w:r>
        <w:rPr>
          <w:rFonts w:ascii="Arial" w:hAnsi="Arial" w:cs="Arial"/>
          <w:sz w:val="22"/>
          <w:szCs w:val="22"/>
        </w:rPr>
        <w:t xml:space="preserve">Whether a denaturant is itself a fuel, such as petrol, or an additive typically used in producing fuel ethanol, such as an emulsifier. </w:t>
      </w:r>
      <w:r w:rsidR="00791A5E">
        <w:rPr>
          <w:rFonts w:ascii="Arial" w:hAnsi="Arial" w:cs="Arial"/>
          <w:sz w:val="22"/>
          <w:szCs w:val="22"/>
        </w:rPr>
        <w:t xml:space="preserve"> </w:t>
      </w:r>
    </w:p>
    <w:p w:rsidR="00A2182E" w:rsidRDefault="00A2182E" w:rsidP="00486653">
      <w:pPr>
        <w:pStyle w:val="Heading2"/>
        <w:rPr>
          <w:sz w:val="24"/>
          <w:szCs w:val="24"/>
        </w:rPr>
      </w:pPr>
    </w:p>
    <w:p w:rsidR="00486653" w:rsidRPr="005E6CCE" w:rsidRDefault="00486653" w:rsidP="00486653">
      <w:pPr>
        <w:pStyle w:val="Heading2"/>
        <w:rPr>
          <w:sz w:val="24"/>
          <w:szCs w:val="24"/>
        </w:rPr>
      </w:pPr>
      <w:r w:rsidRPr="005E6CCE">
        <w:rPr>
          <w:sz w:val="24"/>
          <w:szCs w:val="24"/>
        </w:rPr>
        <w:t>Consultation:</w:t>
      </w:r>
    </w:p>
    <w:p w:rsidR="00A2182E" w:rsidRPr="00027A5E" w:rsidRDefault="00A2182E" w:rsidP="006F210F">
      <w:pPr>
        <w:numPr>
          <w:ilvl w:val="0"/>
          <w:numId w:val="16"/>
        </w:numPr>
        <w:spacing w:before="240"/>
        <w:rPr>
          <w:rFonts w:ascii="Arial" w:hAnsi="Arial" w:cs="Arial"/>
          <w:i/>
          <w:color w:val="000000"/>
          <w:sz w:val="22"/>
          <w:szCs w:val="22"/>
        </w:rPr>
      </w:pPr>
      <w:r>
        <w:rPr>
          <w:rFonts w:ascii="Arial" w:hAnsi="Arial" w:cs="Arial"/>
          <w:color w:val="000000"/>
          <w:sz w:val="22"/>
          <w:szCs w:val="22"/>
        </w:rPr>
        <w:t xml:space="preserve">Subsection 17(1) of the </w:t>
      </w:r>
      <w:r w:rsidRPr="0042542D">
        <w:rPr>
          <w:rFonts w:ascii="Arial" w:hAnsi="Arial" w:cs="Arial"/>
          <w:color w:val="000000"/>
          <w:sz w:val="22"/>
          <w:szCs w:val="22"/>
        </w:rPr>
        <w:t>Legislation Act</w:t>
      </w:r>
      <w:r>
        <w:rPr>
          <w:rFonts w:ascii="Arial" w:hAnsi="Arial" w:cs="Arial"/>
          <w:color w:val="000000"/>
          <w:sz w:val="22"/>
          <w:szCs w:val="22"/>
        </w:rPr>
        <w:t xml:space="preserve"> requires that the CEO undertake an appropriate level of consultation that is reasonably practicable to undertake before making a legislative instrument.</w:t>
      </w:r>
    </w:p>
    <w:p w:rsidR="00E4752F" w:rsidRPr="00E4752F" w:rsidRDefault="00A2182E" w:rsidP="006F210F">
      <w:pPr>
        <w:numPr>
          <w:ilvl w:val="0"/>
          <w:numId w:val="16"/>
        </w:numPr>
        <w:spacing w:before="240"/>
        <w:rPr>
          <w:rFonts w:ascii="Arial" w:hAnsi="Arial" w:cs="Arial"/>
          <w:i/>
          <w:color w:val="000000"/>
          <w:sz w:val="22"/>
          <w:szCs w:val="22"/>
        </w:rPr>
      </w:pPr>
      <w:r>
        <w:rPr>
          <w:rFonts w:ascii="Arial" w:hAnsi="Arial" w:cs="Arial"/>
          <w:color w:val="000000"/>
          <w:sz w:val="22"/>
          <w:szCs w:val="22"/>
        </w:rPr>
        <w:t xml:space="preserve"> </w:t>
      </w:r>
      <w:r w:rsidR="00183289">
        <w:rPr>
          <w:rFonts w:ascii="Arial" w:hAnsi="Arial" w:cs="Arial"/>
          <w:color w:val="000000"/>
          <w:sz w:val="22"/>
          <w:szCs w:val="22"/>
        </w:rPr>
        <w:t xml:space="preserve">Industry input into the formula </w:t>
      </w:r>
      <w:r w:rsidR="00F428F4">
        <w:rPr>
          <w:rFonts w:ascii="Arial" w:hAnsi="Arial" w:cs="Arial"/>
          <w:color w:val="000000"/>
          <w:sz w:val="22"/>
          <w:szCs w:val="22"/>
        </w:rPr>
        <w:t>(</w:t>
      </w:r>
      <w:r w:rsidR="00183289">
        <w:rPr>
          <w:rFonts w:ascii="Arial" w:hAnsi="Arial" w:cs="Arial"/>
          <w:color w:val="000000"/>
          <w:sz w:val="22"/>
          <w:szCs w:val="22"/>
        </w:rPr>
        <w:t xml:space="preserve">and </w:t>
      </w:r>
      <w:r w:rsidR="00F428F4">
        <w:rPr>
          <w:rFonts w:ascii="Arial" w:hAnsi="Arial" w:cs="Arial"/>
          <w:color w:val="000000"/>
          <w:sz w:val="22"/>
          <w:szCs w:val="22"/>
        </w:rPr>
        <w:t xml:space="preserve">denaturants in the </w:t>
      </w:r>
      <w:r w:rsidR="00183289">
        <w:rPr>
          <w:rFonts w:ascii="Arial" w:hAnsi="Arial" w:cs="Arial"/>
          <w:color w:val="000000"/>
          <w:sz w:val="22"/>
          <w:szCs w:val="22"/>
        </w:rPr>
        <w:t>Schedule</w:t>
      </w:r>
      <w:r w:rsidR="00F428F4">
        <w:rPr>
          <w:rFonts w:ascii="Arial" w:hAnsi="Arial" w:cs="Arial"/>
          <w:color w:val="000000"/>
          <w:sz w:val="22"/>
          <w:szCs w:val="22"/>
        </w:rPr>
        <w:t>)</w:t>
      </w:r>
      <w:r w:rsidR="00183289">
        <w:rPr>
          <w:rFonts w:ascii="Arial" w:hAnsi="Arial" w:cs="Arial"/>
          <w:color w:val="000000"/>
          <w:sz w:val="22"/>
          <w:szCs w:val="22"/>
        </w:rPr>
        <w:t xml:space="preserve"> was gathered prior to </w:t>
      </w:r>
      <w:r w:rsidR="00F428F4">
        <w:rPr>
          <w:rFonts w:ascii="Arial" w:hAnsi="Arial" w:cs="Arial"/>
          <w:color w:val="000000"/>
          <w:sz w:val="22"/>
          <w:szCs w:val="22"/>
        </w:rPr>
        <w:t xml:space="preserve">publishing the instrument </w:t>
      </w:r>
      <w:r w:rsidR="00183289">
        <w:rPr>
          <w:rFonts w:ascii="Arial" w:hAnsi="Arial" w:cs="Arial"/>
          <w:color w:val="000000"/>
          <w:sz w:val="22"/>
          <w:szCs w:val="22"/>
        </w:rPr>
        <w:t xml:space="preserve">in 2006. </w:t>
      </w:r>
      <w:r w:rsidR="0023733A" w:rsidRPr="000C390A">
        <w:rPr>
          <w:rFonts w:ascii="Arial" w:hAnsi="Arial" w:cs="Arial"/>
          <w:color w:val="000000"/>
          <w:sz w:val="22"/>
          <w:szCs w:val="22"/>
        </w:rPr>
        <w:t xml:space="preserve"> </w:t>
      </w:r>
    </w:p>
    <w:p w:rsidR="00465C21" w:rsidRDefault="00BC152F" w:rsidP="006F210F">
      <w:pPr>
        <w:numPr>
          <w:ilvl w:val="0"/>
          <w:numId w:val="16"/>
        </w:numPr>
        <w:spacing w:before="240"/>
        <w:rPr>
          <w:rFonts w:ascii="Arial" w:hAnsi="Arial" w:cs="Arial"/>
          <w:i/>
          <w:color w:val="000000"/>
          <w:sz w:val="22"/>
          <w:szCs w:val="22"/>
        </w:rPr>
      </w:pPr>
      <w:r>
        <w:rPr>
          <w:rFonts w:ascii="Arial" w:hAnsi="Arial" w:cs="Arial"/>
          <w:color w:val="000000"/>
          <w:sz w:val="22"/>
          <w:szCs w:val="22"/>
        </w:rPr>
        <w:t>In 2016, p</w:t>
      </w:r>
      <w:r w:rsidR="00F428F4">
        <w:rPr>
          <w:rFonts w:ascii="Arial" w:hAnsi="Arial" w:cs="Arial"/>
          <w:color w:val="000000"/>
          <w:sz w:val="22"/>
          <w:szCs w:val="22"/>
        </w:rPr>
        <w:t xml:space="preserve">rior </w:t>
      </w:r>
      <w:r w:rsidR="00E4752F">
        <w:rPr>
          <w:rFonts w:ascii="Arial" w:hAnsi="Arial" w:cs="Arial"/>
          <w:color w:val="000000"/>
          <w:sz w:val="22"/>
          <w:szCs w:val="22"/>
        </w:rPr>
        <w:t xml:space="preserve">to publishing </w:t>
      </w:r>
      <w:r w:rsidR="00F428F4">
        <w:rPr>
          <w:rFonts w:ascii="Arial" w:hAnsi="Arial" w:cs="Arial"/>
          <w:color w:val="000000"/>
          <w:sz w:val="22"/>
          <w:szCs w:val="22"/>
        </w:rPr>
        <w:t>the updated instrument</w:t>
      </w:r>
      <w:r>
        <w:rPr>
          <w:rFonts w:ascii="Arial" w:hAnsi="Arial" w:cs="Arial"/>
          <w:color w:val="000000"/>
          <w:sz w:val="22"/>
          <w:szCs w:val="22"/>
        </w:rPr>
        <w:t xml:space="preserve">, </w:t>
      </w:r>
      <w:r w:rsidR="00E4752F">
        <w:rPr>
          <w:rFonts w:ascii="Arial" w:hAnsi="Arial" w:cs="Arial"/>
          <w:color w:val="000000"/>
          <w:sz w:val="22"/>
          <w:szCs w:val="22"/>
        </w:rPr>
        <w:t xml:space="preserve">feedback </w:t>
      </w:r>
      <w:r w:rsidR="00A2182E">
        <w:rPr>
          <w:rFonts w:ascii="Arial" w:hAnsi="Arial" w:cs="Arial"/>
          <w:color w:val="000000"/>
          <w:sz w:val="22"/>
          <w:szCs w:val="22"/>
        </w:rPr>
        <w:t xml:space="preserve">was sought </w:t>
      </w:r>
      <w:r w:rsidR="00F428F4">
        <w:rPr>
          <w:rFonts w:ascii="Arial" w:hAnsi="Arial" w:cs="Arial"/>
          <w:color w:val="000000"/>
          <w:sz w:val="22"/>
          <w:szCs w:val="22"/>
        </w:rPr>
        <w:t xml:space="preserve">from </w:t>
      </w:r>
      <w:r>
        <w:rPr>
          <w:rFonts w:ascii="Arial" w:hAnsi="Arial" w:cs="Arial"/>
          <w:color w:val="000000"/>
          <w:sz w:val="22"/>
          <w:szCs w:val="22"/>
        </w:rPr>
        <w:t xml:space="preserve">manufacturers </w:t>
      </w:r>
      <w:r w:rsidR="00E911B1">
        <w:rPr>
          <w:rFonts w:ascii="Arial" w:hAnsi="Arial" w:cs="Arial"/>
          <w:color w:val="000000"/>
          <w:sz w:val="22"/>
          <w:szCs w:val="22"/>
        </w:rPr>
        <w:t xml:space="preserve">entering significant amounts of goods under </w:t>
      </w:r>
      <w:proofErr w:type="spellStart"/>
      <w:r w:rsidR="00F428F4">
        <w:rPr>
          <w:rFonts w:ascii="Arial" w:hAnsi="Arial" w:cs="Arial"/>
          <w:color w:val="000000"/>
          <w:sz w:val="22"/>
          <w:szCs w:val="22"/>
        </w:rPr>
        <w:t>subitem</w:t>
      </w:r>
      <w:proofErr w:type="spellEnd"/>
      <w:r w:rsidR="00F428F4">
        <w:rPr>
          <w:rFonts w:ascii="Arial" w:hAnsi="Arial" w:cs="Arial"/>
          <w:color w:val="000000"/>
          <w:sz w:val="22"/>
          <w:szCs w:val="22"/>
        </w:rPr>
        <w:t xml:space="preserve"> 3.8 </w:t>
      </w:r>
      <w:r w:rsidR="00E4752F" w:rsidRPr="00EF333B">
        <w:rPr>
          <w:rFonts w:ascii="Arial" w:hAnsi="Arial" w:cs="Arial"/>
          <w:color w:val="000000"/>
          <w:sz w:val="22"/>
          <w:szCs w:val="22"/>
        </w:rPr>
        <w:t xml:space="preserve">to ensure that </w:t>
      </w:r>
      <w:r w:rsidR="00F428F4">
        <w:rPr>
          <w:rFonts w:ascii="Arial" w:hAnsi="Arial" w:cs="Arial"/>
          <w:color w:val="000000"/>
          <w:sz w:val="22"/>
          <w:szCs w:val="22"/>
        </w:rPr>
        <w:t xml:space="preserve">the </w:t>
      </w:r>
      <w:r>
        <w:rPr>
          <w:rFonts w:ascii="Arial" w:hAnsi="Arial" w:cs="Arial"/>
          <w:color w:val="000000"/>
          <w:sz w:val="22"/>
          <w:szCs w:val="22"/>
        </w:rPr>
        <w:t>denaturants</w:t>
      </w:r>
      <w:r w:rsidR="00F428F4">
        <w:rPr>
          <w:rFonts w:ascii="Arial" w:hAnsi="Arial" w:cs="Arial"/>
          <w:color w:val="000000"/>
          <w:sz w:val="22"/>
          <w:szCs w:val="22"/>
        </w:rPr>
        <w:t xml:space="preserve"> specified were up to date. </w:t>
      </w:r>
      <w:r w:rsidR="00E4752F">
        <w:rPr>
          <w:rFonts w:ascii="Arial" w:hAnsi="Arial" w:cs="Arial"/>
          <w:color w:val="000000"/>
          <w:sz w:val="22"/>
          <w:szCs w:val="22"/>
        </w:rPr>
        <w:t xml:space="preserve"> </w:t>
      </w:r>
    </w:p>
    <w:p w:rsidR="00465C21" w:rsidRDefault="00465C21" w:rsidP="00465C21">
      <w:pPr>
        <w:ind w:left="720"/>
        <w:rPr>
          <w:rFonts w:ascii="Arial" w:hAnsi="Arial" w:cs="Arial"/>
          <w:i/>
          <w:color w:val="000000"/>
          <w:sz w:val="22"/>
          <w:szCs w:val="22"/>
        </w:rPr>
      </w:pPr>
    </w:p>
    <w:p w:rsidR="00C81DE7" w:rsidRDefault="00C81DE7" w:rsidP="00C81DE7">
      <w:pPr>
        <w:spacing w:after="60"/>
        <w:rPr>
          <w:rFonts w:ascii="Arial" w:hAnsi="Arial" w:cs="Arial"/>
          <w:i/>
          <w:sz w:val="20"/>
        </w:rPr>
      </w:pPr>
    </w:p>
    <w:p w:rsidR="00C81DE7" w:rsidRDefault="00C81DE7" w:rsidP="00C81DE7">
      <w:pPr>
        <w:spacing w:after="60"/>
        <w:rPr>
          <w:rFonts w:ascii="Arial" w:hAnsi="Arial" w:cs="Arial"/>
          <w:i/>
          <w:sz w:val="20"/>
        </w:rPr>
      </w:pPr>
    </w:p>
    <w:p w:rsidR="00C81DE7" w:rsidRPr="005F124F" w:rsidRDefault="00C81DE7" w:rsidP="00C81DE7">
      <w:pPr>
        <w:spacing w:after="60"/>
        <w:rPr>
          <w:rFonts w:ascii="Arial" w:hAnsi="Arial" w:cs="Arial"/>
          <w:i/>
          <w:sz w:val="20"/>
        </w:rPr>
      </w:pPr>
      <w:r w:rsidRPr="005F124F">
        <w:rPr>
          <w:rFonts w:ascii="Arial" w:hAnsi="Arial" w:cs="Arial"/>
          <w:i/>
          <w:sz w:val="20"/>
        </w:rPr>
        <w:t>Legislative references:</w:t>
      </w:r>
    </w:p>
    <w:p w:rsidR="00C81DE7" w:rsidRDefault="00C81DE7" w:rsidP="00C81DE7">
      <w:pPr>
        <w:spacing w:after="60"/>
        <w:rPr>
          <w:rFonts w:ascii="Arial" w:hAnsi="Arial" w:cs="Arial"/>
          <w:i/>
          <w:color w:val="0000FF"/>
          <w:sz w:val="20"/>
        </w:rPr>
      </w:pPr>
    </w:p>
    <w:p w:rsidR="00C81DE7" w:rsidRPr="00B53ECD" w:rsidRDefault="00C81DE7" w:rsidP="00C81DE7">
      <w:pPr>
        <w:spacing w:after="60"/>
        <w:rPr>
          <w:rFonts w:ascii="Arial" w:hAnsi="Arial" w:cs="Arial"/>
          <w:i/>
          <w:sz w:val="20"/>
        </w:rPr>
      </w:pPr>
      <w:r w:rsidRPr="00B53ECD">
        <w:rPr>
          <w:rFonts w:ascii="Arial" w:hAnsi="Arial" w:cs="Arial"/>
          <w:i/>
          <w:sz w:val="20"/>
        </w:rPr>
        <w:t>Excise Act 1901 section 77FG</w:t>
      </w:r>
    </w:p>
    <w:p w:rsidR="00C81DE7" w:rsidRPr="00B53ECD" w:rsidRDefault="00C81DE7" w:rsidP="00C81DE7">
      <w:pPr>
        <w:spacing w:after="60"/>
        <w:rPr>
          <w:rFonts w:ascii="Arial" w:hAnsi="Arial" w:cs="Arial"/>
          <w:i/>
          <w:sz w:val="20"/>
        </w:rPr>
      </w:pPr>
      <w:r w:rsidRPr="00B53ECD">
        <w:rPr>
          <w:rFonts w:ascii="Arial" w:hAnsi="Arial" w:cs="Arial"/>
          <w:i/>
          <w:sz w:val="20"/>
        </w:rPr>
        <w:t xml:space="preserve">Excise Tariff Act 1921, the Schedule, </w:t>
      </w:r>
      <w:proofErr w:type="spellStart"/>
      <w:proofErr w:type="gramStart"/>
      <w:r w:rsidRPr="00B53ECD">
        <w:rPr>
          <w:rFonts w:ascii="Arial" w:hAnsi="Arial" w:cs="Arial"/>
          <w:i/>
          <w:sz w:val="20"/>
        </w:rPr>
        <w:t>subitem</w:t>
      </w:r>
      <w:proofErr w:type="spellEnd"/>
      <w:proofErr w:type="gramEnd"/>
      <w:r w:rsidRPr="00B53ECD">
        <w:rPr>
          <w:rFonts w:ascii="Arial" w:hAnsi="Arial" w:cs="Arial"/>
          <w:i/>
          <w:sz w:val="20"/>
        </w:rPr>
        <w:t xml:space="preserve"> 3.8  </w:t>
      </w:r>
    </w:p>
    <w:p w:rsidR="00C81DE7" w:rsidRPr="00795D0C" w:rsidRDefault="00C81DE7" w:rsidP="00C81DE7">
      <w:pPr>
        <w:spacing w:after="60"/>
        <w:rPr>
          <w:rFonts w:ascii="Arial" w:hAnsi="Arial" w:cs="Arial"/>
          <w:i/>
          <w:color w:val="000000"/>
          <w:sz w:val="20"/>
        </w:rPr>
      </w:pPr>
      <w:r>
        <w:rPr>
          <w:rFonts w:ascii="Arial" w:hAnsi="Arial" w:cs="Arial"/>
          <w:i/>
          <w:color w:val="000000"/>
          <w:sz w:val="20"/>
        </w:rPr>
        <w:t>Legislation</w:t>
      </w:r>
      <w:r w:rsidRPr="00795D0C">
        <w:rPr>
          <w:rFonts w:ascii="Arial" w:hAnsi="Arial" w:cs="Arial"/>
          <w:i/>
          <w:color w:val="000000"/>
          <w:sz w:val="20"/>
        </w:rPr>
        <w:t xml:space="preserve"> Act 2003</w:t>
      </w:r>
    </w:p>
    <w:p w:rsidR="008744E3" w:rsidRDefault="008744E3">
      <w:pPr>
        <w:rPr>
          <w:rFonts w:ascii="Arial" w:hAnsi="Arial" w:cs="Arial"/>
          <w:b/>
          <w:bCs/>
          <w:sz w:val="26"/>
          <w:szCs w:val="26"/>
        </w:rPr>
      </w:pPr>
      <w:r>
        <w:br w:type="page"/>
      </w:r>
    </w:p>
    <w:p w:rsidR="002E11FC" w:rsidRDefault="00E53399" w:rsidP="009B4EB0">
      <w:pPr>
        <w:pStyle w:val="Heading3"/>
        <w:spacing w:before="0" w:after="0"/>
        <w:jc w:val="center"/>
      </w:pPr>
      <w:r>
        <w:lastRenderedPageBreak/>
        <w:t xml:space="preserve">Statement of </w:t>
      </w:r>
      <w:r w:rsidR="00BB7BC0">
        <w:t>C</w:t>
      </w:r>
      <w:r>
        <w:t xml:space="preserve">ompatibility </w:t>
      </w:r>
      <w:r w:rsidR="00C11D03">
        <w:t>with Human Rights</w:t>
      </w:r>
    </w:p>
    <w:p w:rsidR="00FC0446" w:rsidRDefault="00FC0446" w:rsidP="009B4EB0">
      <w:pPr>
        <w:pStyle w:val="Heading3"/>
        <w:spacing w:before="0" w:after="0"/>
        <w:jc w:val="center"/>
      </w:pPr>
    </w:p>
    <w:p w:rsidR="00E53399" w:rsidRDefault="00FC0446" w:rsidP="009B4EB0">
      <w:pPr>
        <w:pStyle w:val="Heading3"/>
        <w:spacing w:before="0" w:after="0"/>
        <w:jc w:val="center"/>
        <w:rPr>
          <w:b w:val="0"/>
        </w:rPr>
      </w:pPr>
      <w:r w:rsidRPr="009B4EB0">
        <w:rPr>
          <w:sz w:val="22"/>
          <w:szCs w:val="22"/>
        </w:rPr>
        <w:t xml:space="preserve">This </w:t>
      </w:r>
      <w:r>
        <w:rPr>
          <w:sz w:val="22"/>
          <w:szCs w:val="22"/>
        </w:rPr>
        <w:t xml:space="preserve">Statement is </w:t>
      </w:r>
      <w:r w:rsidRPr="00135BA4">
        <w:rPr>
          <w:sz w:val="22"/>
          <w:szCs w:val="22"/>
        </w:rPr>
        <w:t>p</w:t>
      </w:r>
      <w:r w:rsidR="00E53399" w:rsidRPr="00135BA4">
        <w:rPr>
          <w:sz w:val="22"/>
          <w:szCs w:val="22"/>
        </w:rPr>
        <w:t xml:space="preserve">repared in accordance with Part 3 of the </w:t>
      </w:r>
      <w:r w:rsidR="00E53399" w:rsidRPr="00135BA4">
        <w:rPr>
          <w:i/>
          <w:sz w:val="22"/>
          <w:szCs w:val="22"/>
        </w:rPr>
        <w:t>Human Rights (Parliamentary Scrutiny) Act</w:t>
      </w:r>
      <w:r w:rsidR="00E53399" w:rsidRPr="00135BA4">
        <w:rPr>
          <w:i/>
          <w:sz w:val="20"/>
          <w:szCs w:val="20"/>
        </w:rPr>
        <w:t xml:space="preserve"> 2011</w:t>
      </w:r>
    </w:p>
    <w:p w:rsidR="00075B58" w:rsidRPr="00795D0C" w:rsidRDefault="00075B58" w:rsidP="00FC0446">
      <w:pPr>
        <w:rPr>
          <w:rFonts w:ascii="Arial" w:hAnsi="Arial" w:cs="Arial"/>
          <w:i/>
          <w:color w:val="000000"/>
          <w:sz w:val="22"/>
          <w:szCs w:val="22"/>
        </w:rPr>
      </w:pPr>
    </w:p>
    <w:p w:rsidR="00BB7BC0" w:rsidRPr="009B4EB0" w:rsidRDefault="00BB7BC0" w:rsidP="009B4EB0">
      <w:pPr>
        <w:autoSpaceDE w:val="0"/>
        <w:autoSpaceDN w:val="0"/>
        <w:adjustRightInd w:val="0"/>
        <w:ind w:left="720"/>
        <w:jc w:val="center"/>
        <w:rPr>
          <w:rFonts w:ascii="Arial" w:hAnsi="Arial" w:cs="Arial"/>
          <w:b/>
          <w:i/>
          <w:color w:val="000000"/>
          <w:sz w:val="22"/>
          <w:szCs w:val="22"/>
        </w:rPr>
      </w:pPr>
      <w:r w:rsidRPr="009B4EB0">
        <w:rPr>
          <w:rFonts w:ascii="Arial" w:hAnsi="Arial" w:cs="Arial"/>
          <w:b/>
          <w:i/>
          <w:color w:val="000000"/>
          <w:sz w:val="22"/>
          <w:szCs w:val="22"/>
        </w:rPr>
        <w:t>Excise (Denatured spirits) Determination 2016 (No. 3)</w:t>
      </w:r>
    </w:p>
    <w:p w:rsidR="00BB7BC0" w:rsidRDefault="00BB7BC0" w:rsidP="00FC0446">
      <w:pPr>
        <w:autoSpaceDE w:val="0"/>
        <w:autoSpaceDN w:val="0"/>
        <w:adjustRightInd w:val="0"/>
        <w:ind w:left="720"/>
        <w:rPr>
          <w:rFonts w:ascii="Arial" w:hAnsi="Arial" w:cs="Arial"/>
          <w:color w:val="000000"/>
          <w:sz w:val="22"/>
          <w:szCs w:val="22"/>
        </w:rPr>
      </w:pPr>
    </w:p>
    <w:p w:rsidR="00075B58" w:rsidRDefault="00075B58" w:rsidP="009B4EB0">
      <w:pPr>
        <w:autoSpaceDE w:val="0"/>
        <w:autoSpaceDN w:val="0"/>
        <w:adjustRightInd w:val="0"/>
        <w:rPr>
          <w:rFonts w:ascii="Arial" w:hAnsi="Arial" w:cs="Arial"/>
          <w:color w:val="000000"/>
          <w:sz w:val="22"/>
          <w:szCs w:val="22"/>
        </w:rPr>
      </w:pPr>
      <w:r w:rsidRPr="00CF5C98">
        <w:rPr>
          <w:rFonts w:ascii="Arial" w:hAnsi="Arial" w:cs="Arial"/>
          <w:color w:val="000000"/>
          <w:sz w:val="22"/>
          <w:szCs w:val="22"/>
        </w:rPr>
        <w:t xml:space="preserve">This Legislative Instrument is compatible with the human rights and freedoms recognised or declared in the international instruments listed in section 3 of the </w:t>
      </w:r>
      <w:r w:rsidRPr="00EF333B">
        <w:rPr>
          <w:rFonts w:ascii="Arial" w:hAnsi="Arial" w:cs="Arial"/>
          <w:i/>
          <w:color w:val="000000"/>
          <w:sz w:val="22"/>
          <w:szCs w:val="22"/>
        </w:rPr>
        <w:t>Human Rights (Parliamentary Scrutiny) Act 2011</w:t>
      </w:r>
      <w:r w:rsidRPr="00CF5C98">
        <w:rPr>
          <w:rFonts w:ascii="Arial" w:hAnsi="Arial" w:cs="Arial"/>
          <w:color w:val="000000"/>
          <w:sz w:val="22"/>
          <w:szCs w:val="22"/>
        </w:rPr>
        <w:t xml:space="preserve">. </w:t>
      </w:r>
    </w:p>
    <w:p w:rsidR="00FC0446" w:rsidRPr="00CF5C98" w:rsidRDefault="00FC0446" w:rsidP="009B4EB0">
      <w:pPr>
        <w:autoSpaceDE w:val="0"/>
        <w:autoSpaceDN w:val="0"/>
        <w:adjustRightInd w:val="0"/>
        <w:rPr>
          <w:rFonts w:ascii="Arial" w:hAnsi="Arial" w:cs="Arial"/>
          <w:iCs/>
          <w:color w:val="000000"/>
          <w:sz w:val="22"/>
          <w:szCs w:val="22"/>
        </w:rPr>
      </w:pPr>
    </w:p>
    <w:p w:rsidR="00075B58" w:rsidRDefault="00075B58" w:rsidP="009B4EB0">
      <w:pPr>
        <w:jc w:val="both"/>
        <w:rPr>
          <w:rFonts w:ascii="Arial" w:hAnsi="Arial" w:cs="Arial"/>
          <w:b/>
          <w:sz w:val="22"/>
          <w:szCs w:val="22"/>
        </w:rPr>
      </w:pPr>
      <w:r w:rsidRPr="00CF5C98">
        <w:rPr>
          <w:rFonts w:ascii="Arial" w:hAnsi="Arial" w:cs="Arial"/>
          <w:b/>
          <w:sz w:val="22"/>
          <w:szCs w:val="22"/>
        </w:rPr>
        <w:t>Overview of the Legislative Instrument</w:t>
      </w:r>
    </w:p>
    <w:p w:rsidR="00FC0446" w:rsidRPr="00CF5C98" w:rsidRDefault="00FC0446" w:rsidP="009B4EB0">
      <w:pPr>
        <w:jc w:val="both"/>
        <w:rPr>
          <w:rFonts w:ascii="Arial" w:hAnsi="Arial" w:cs="Arial"/>
          <w:b/>
          <w:sz w:val="22"/>
          <w:szCs w:val="22"/>
        </w:rPr>
      </w:pPr>
    </w:p>
    <w:p w:rsidR="00075B58" w:rsidRDefault="0021440A" w:rsidP="009B4EB0">
      <w:pPr>
        <w:rPr>
          <w:rFonts w:ascii="Arial" w:hAnsi="Arial" w:cs="Arial"/>
          <w:sz w:val="22"/>
          <w:szCs w:val="22"/>
        </w:rPr>
      </w:pPr>
      <w:r w:rsidRPr="0021440A">
        <w:rPr>
          <w:rFonts w:ascii="Arial" w:hAnsi="Arial" w:cs="Arial"/>
          <w:sz w:val="22"/>
          <w:szCs w:val="22"/>
        </w:rPr>
        <w:t>This instrument</w:t>
      </w:r>
      <w:r>
        <w:rPr>
          <w:rFonts w:ascii="Arial" w:hAnsi="Arial" w:cs="Arial"/>
          <w:sz w:val="22"/>
          <w:szCs w:val="22"/>
        </w:rPr>
        <w:t xml:space="preserve"> </w:t>
      </w:r>
      <w:r w:rsidRPr="0021440A">
        <w:rPr>
          <w:rFonts w:ascii="Arial" w:hAnsi="Arial" w:cs="Arial"/>
          <w:sz w:val="22"/>
          <w:szCs w:val="22"/>
        </w:rPr>
        <w:t xml:space="preserve">sets out a formula for denatured spirits that can be delivered into home consumption duty-free under </w:t>
      </w:r>
      <w:proofErr w:type="spellStart"/>
      <w:r w:rsidRPr="0021440A">
        <w:rPr>
          <w:rFonts w:ascii="Arial" w:hAnsi="Arial" w:cs="Arial"/>
          <w:sz w:val="22"/>
          <w:szCs w:val="22"/>
        </w:rPr>
        <w:t>subitem</w:t>
      </w:r>
      <w:proofErr w:type="spellEnd"/>
      <w:r w:rsidRPr="0021440A">
        <w:rPr>
          <w:rFonts w:ascii="Arial" w:hAnsi="Arial" w:cs="Arial"/>
          <w:sz w:val="22"/>
          <w:szCs w:val="22"/>
        </w:rPr>
        <w:t xml:space="preserve"> 3.8 of the Excise tariff.</w:t>
      </w:r>
    </w:p>
    <w:p w:rsidR="00FC0446" w:rsidRPr="00CF5C98" w:rsidRDefault="00FC0446" w:rsidP="009B4EB0">
      <w:pPr>
        <w:rPr>
          <w:rFonts w:ascii="Arial" w:hAnsi="Arial" w:cs="Arial"/>
          <w:sz w:val="22"/>
          <w:szCs w:val="22"/>
        </w:rPr>
      </w:pPr>
    </w:p>
    <w:p w:rsidR="00075B58" w:rsidRDefault="00075B58" w:rsidP="009B4EB0">
      <w:pPr>
        <w:rPr>
          <w:rFonts w:ascii="Arial" w:hAnsi="Arial" w:cs="Arial"/>
          <w:b/>
          <w:sz w:val="22"/>
          <w:szCs w:val="22"/>
        </w:rPr>
      </w:pPr>
      <w:r w:rsidRPr="00CF5C98">
        <w:rPr>
          <w:rFonts w:ascii="Arial" w:hAnsi="Arial" w:cs="Arial"/>
          <w:b/>
          <w:sz w:val="22"/>
          <w:szCs w:val="22"/>
        </w:rPr>
        <w:t>Human rights implications</w:t>
      </w:r>
    </w:p>
    <w:p w:rsidR="00FC0446" w:rsidRPr="00CF5C98" w:rsidRDefault="00FC0446" w:rsidP="009B4EB0">
      <w:pPr>
        <w:rPr>
          <w:rFonts w:ascii="Arial" w:hAnsi="Arial" w:cs="Arial"/>
          <w:b/>
          <w:sz w:val="22"/>
          <w:szCs w:val="22"/>
        </w:rPr>
      </w:pPr>
    </w:p>
    <w:p w:rsidR="00075B58" w:rsidRDefault="00075B58" w:rsidP="009B4EB0">
      <w:pPr>
        <w:rPr>
          <w:rFonts w:ascii="Arial" w:hAnsi="Arial" w:cs="Arial"/>
          <w:sz w:val="22"/>
          <w:szCs w:val="22"/>
        </w:rPr>
      </w:pPr>
      <w:r w:rsidRPr="00CF5C98">
        <w:rPr>
          <w:rFonts w:ascii="Arial" w:hAnsi="Arial" w:cs="Arial"/>
          <w:sz w:val="22"/>
          <w:szCs w:val="22"/>
        </w:rPr>
        <w:t>This Legislative Instrument does not engage any of the applicable rights or freedoms.</w:t>
      </w:r>
      <w:r w:rsidR="0021440A">
        <w:rPr>
          <w:rFonts w:ascii="Arial" w:hAnsi="Arial" w:cs="Arial"/>
          <w:sz w:val="22"/>
          <w:szCs w:val="22"/>
        </w:rPr>
        <w:t xml:space="preserve"> </w:t>
      </w:r>
      <w:r w:rsidR="0021440A" w:rsidRPr="0021440A">
        <w:rPr>
          <w:rFonts w:ascii="Arial" w:hAnsi="Arial" w:cs="Arial"/>
          <w:sz w:val="22"/>
          <w:szCs w:val="22"/>
        </w:rPr>
        <w:t>It is considered to be minor or machinery in nature</w:t>
      </w:r>
      <w:r w:rsidR="00712433">
        <w:rPr>
          <w:rFonts w:ascii="Arial" w:hAnsi="Arial" w:cs="Arial"/>
          <w:sz w:val="22"/>
          <w:szCs w:val="22"/>
        </w:rPr>
        <w:t xml:space="preserve"> and continues the current approach. </w:t>
      </w:r>
    </w:p>
    <w:p w:rsidR="00FC0446" w:rsidRPr="00CF5C98" w:rsidRDefault="00FC0446" w:rsidP="009B4EB0">
      <w:pPr>
        <w:rPr>
          <w:rFonts w:ascii="Arial" w:hAnsi="Arial" w:cs="Arial"/>
          <w:sz w:val="22"/>
          <w:szCs w:val="22"/>
        </w:rPr>
      </w:pPr>
    </w:p>
    <w:p w:rsidR="00075B58" w:rsidRDefault="00075B58" w:rsidP="009B4EB0">
      <w:pPr>
        <w:rPr>
          <w:rFonts w:ascii="Arial" w:hAnsi="Arial" w:cs="Arial"/>
          <w:b/>
          <w:sz w:val="22"/>
          <w:szCs w:val="22"/>
        </w:rPr>
      </w:pPr>
      <w:r w:rsidRPr="00CF5C98">
        <w:rPr>
          <w:rFonts w:ascii="Arial" w:hAnsi="Arial" w:cs="Arial"/>
          <w:b/>
          <w:sz w:val="22"/>
          <w:szCs w:val="22"/>
        </w:rPr>
        <w:t>Conclusion</w:t>
      </w:r>
    </w:p>
    <w:p w:rsidR="00FC0446" w:rsidRPr="00CF5C98" w:rsidRDefault="00FC0446" w:rsidP="009B4EB0">
      <w:pPr>
        <w:rPr>
          <w:rFonts w:ascii="Arial" w:hAnsi="Arial" w:cs="Arial"/>
          <w:b/>
          <w:sz w:val="22"/>
          <w:szCs w:val="22"/>
        </w:rPr>
      </w:pPr>
    </w:p>
    <w:p w:rsidR="00075B58" w:rsidRPr="00CF5C98" w:rsidRDefault="00075B58" w:rsidP="009B4EB0">
      <w:pPr>
        <w:rPr>
          <w:rFonts w:ascii="Arial" w:hAnsi="Arial" w:cs="Arial"/>
          <w:sz w:val="22"/>
          <w:szCs w:val="22"/>
        </w:rPr>
      </w:pPr>
      <w:r w:rsidRPr="00CF5C98">
        <w:rPr>
          <w:rFonts w:ascii="Arial" w:hAnsi="Arial" w:cs="Arial"/>
          <w:sz w:val="22"/>
          <w:szCs w:val="22"/>
        </w:rPr>
        <w:t>This Legislative Instrument is compatible with human rights as it does not raise any human rights issues.</w:t>
      </w:r>
    </w:p>
    <w:p w:rsidR="008540EA" w:rsidRPr="001F28A6" w:rsidRDefault="008540EA" w:rsidP="00027A5E">
      <w:pPr>
        <w:rPr>
          <w:rFonts w:cs="Arial"/>
        </w:rPr>
      </w:pPr>
    </w:p>
    <w:sectPr w:rsidR="008540EA" w:rsidRPr="001F28A6" w:rsidSect="00146ED8">
      <w:headerReference w:type="even" r:id="rId15"/>
      <w:headerReference w:type="default" r:id="rId16"/>
      <w:footerReference w:type="even" r:id="rId17"/>
      <w:footerReference w:type="default" r:id="rId18"/>
      <w:headerReference w:type="first" r:id="rId19"/>
      <w:footerReference w:type="first" r:id="rId20"/>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F87" w:rsidRDefault="00FA5F87">
      <w:r>
        <w:separator/>
      </w:r>
    </w:p>
  </w:endnote>
  <w:endnote w:type="continuationSeparator" w:id="0">
    <w:p w:rsidR="00FA5F87" w:rsidRDefault="00FA5F87">
      <w:r>
        <w:continuationSeparator/>
      </w:r>
    </w:p>
  </w:endnote>
  <w:endnote w:type="continuationNotice" w:id="1">
    <w:p w:rsidR="00FA5F87" w:rsidRDefault="00FA5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96" w:rsidRDefault="00D35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96" w:rsidRDefault="00D35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96" w:rsidRDefault="00D35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F87" w:rsidRDefault="00FA5F87">
      <w:r>
        <w:separator/>
      </w:r>
    </w:p>
  </w:footnote>
  <w:footnote w:type="continuationSeparator" w:id="0">
    <w:p w:rsidR="00FA5F87" w:rsidRDefault="00FA5F87">
      <w:r>
        <w:continuationSeparator/>
      </w:r>
    </w:p>
  </w:footnote>
  <w:footnote w:type="continuationNotice" w:id="1">
    <w:p w:rsidR="00FA5F87" w:rsidRDefault="00FA5F87"/>
  </w:footnote>
  <w:footnote w:id="2">
    <w:p w:rsidR="00AB2432" w:rsidRPr="00D67FED" w:rsidRDefault="00AB2432">
      <w:pPr>
        <w:pStyle w:val="FootnoteText"/>
        <w:rPr>
          <w:rFonts w:ascii="Arial" w:hAnsi="Arial" w:cs="Arial"/>
          <w:sz w:val="18"/>
          <w:szCs w:val="18"/>
        </w:rPr>
      </w:pPr>
      <w:r>
        <w:rPr>
          <w:rStyle w:val="FootnoteReference"/>
        </w:rPr>
        <w:footnoteRef/>
      </w:r>
      <w:r>
        <w:t xml:space="preserve"> </w:t>
      </w:r>
      <w:proofErr w:type="spellStart"/>
      <w:r w:rsidRPr="00D67FED">
        <w:rPr>
          <w:rFonts w:ascii="Arial" w:hAnsi="Arial" w:cs="Arial"/>
          <w:sz w:val="18"/>
          <w:szCs w:val="18"/>
        </w:rPr>
        <w:t>Subitem</w:t>
      </w:r>
      <w:proofErr w:type="spellEnd"/>
      <w:r w:rsidRPr="00D67FED">
        <w:rPr>
          <w:rFonts w:ascii="Arial" w:hAnsi="Arial" w:cs="Arial"/>
          <w:sz w:val="18"/>
          <w:szCs w:val="18"/>
        </w:rPr>
        <w:t xml:space="preserve"> 3.6 allows delivery of spirit duty-free to determined classes of persons to meet their industrial, manufacturing, scientific, medical, veterinary or educational purposes.</w:t>
      </w:r>
      <w:r w:rsidR="00D67FED">
        <w:rPr>
          <w:rFonts w:ascii="Arial" w:hAnsi="Arial" w:cs="Arial"/>
          <w:sz w:val="18"/>
          <w:szCs w:val="18"/>
        </w:rPr>
        <w:t xml:space="preserve"> See </w:t>
      </w:r>
      <w:bookmarkStart w:id="12" w:name="top"/>
      <w:bookmarkStart w:id="13" w:name="Content"/>
      <w:bookmarkStart w:id="14" w:name="CentreContent"/>
      <w:bookmarkEnd w:id="12"/>
      <w:bookmarkEnd w:id="13"/>
      <w:r w:rsidR="00D67FED" w:rsidRPr="0042542D">
        <w:rPr>
          <w:rFonts w:ascii="Arial" w:hAnsi="Arial" w:cs="Arial"/>
          <w:i/>
          <w:iCs/>
        </w:rPr>
        <w:t>Excise (Concessional spirits - class of persons) Determination 2014 (No.1)</w:t>
      </w:r>
      <w:bookmarkEnd w:id="14"/>
      <w:r w:rsidR="00D67FED" w:rsidRPr="0042542D">
        <w:rPr>
          <w:rFonts w:ascii="Arial" w:hAnsi="Arial" w:cs="Arial"/>
          <w:i/>
          <w:iCs/>
        </w:rPr>
        <w:t>.</w:t>
      </w:r>
    </w:p>
  </w:footnote>
  <w:footnote w:id="3">
    <w:p w:rsidR="00AB2432" w:rsidRDefault="00AB2432" w:rsidP="00AB2432">
      <w:pPr>
        <w:spacing w:before="240"/>
        <w:rPr>
          <w:rFonts w:ascii="Arial" w:hAnsi="Arial" w:cs="Arial"/>
          <w:sz w:val="22"/>
          <w:szCs w:val="22"/>
        </w:rPr>
      </w:pPr>
      <w:r w:rsidRPr="00D67FED">
        <w:rPr>
          <w:rStyle w:val="FootnoteReference"/>
          <w:rFonts w:ascii="Arial" w:hAnsi="Arial" w:cs="Arial"/>
          <w:sz w:val="18"/>
          <w:szCs w:val="18"/>
        </w:rPr>
        <w:footnoteRef/>
      </w:r>
      <w:r w:rsidRPr="00D67FED">
        <w:rPr>
          <w:rFonts w:ascii="Arial" w:hAnsi="Arial" w:cs="Arial"/>
          <w:sz w:val="18"/>
          <w:szCs w:val="18"/>
        </w:rPr>
        <w:t xml:space="preserve"> </w:t>
      </w:r>
      <w:proofErr w:type="spellStart"/>
      <w:r w:rsidRPr="00D67FED">
        <w:rPr>
          <w:rFonts w:ascii="Arial" w:hAnsi="Arial" w:cs="Arial"/>
          <w:sz w:val="18"/>
          <w:szCs w:val="18"/>
        </w:rPr>
        <w:t>Subitem</w:t>
      </w:r>
      <w:proofErr w:type="spellEnd"/>
      <w:r w:rsidRPr="00D67FED">
        <w:rPr>
          <w:rFonts w:ascii="Arial" w:hAnsi="Arial" w:cs="Arial"/>
          <w:sz w:val="18"/>
          <w:szCs w:val="18"/>
        </w:rPr>
        <w:t xml:space="preserve"> 3.7 allows delivery of spirit duty-free to a person who has received specific approval from the ATO to use the spirit for an industrial, manufacturing, scientific, medical, veterinary or educational purpose or use that is otherwise covered by their approval.  </w:t>
      </w:r>
      <w:r w:rsidR="00D67FED">
        <w:rPr>
          <w:rFonts w:ascii="Arial" w:hAnsi="Arial" w:cs="Arial"/>
          <w:sz w:val="18"/>
          <w:szCs w:val="18"/>
        </w:rPr>
        <w:t xml:space="preserve">See Concessional spirit approval guidelines. </w:t>
      </w:r>
      <w:r>
        <w:rPr>
          <w:rFonts w:ascii="Arial" w:hAnsi="Arial" w:cs="Arial"/>
          <w:sz w:val="22"/>
          <w:szCs w:val="22"/>
        </w:rPr>
        <w:t xml:space="preserve"> </w:t>
      </w:r>
    </w:p>
    <w:p w:rsidR="00AB2432" w:rsidRDefault="00AB2432">
      <w:pPr>
        <w:pStyle w:val="FootnoteText"/>
      </w:pPr>
    </w:p>
  </w:footnote>
  <w:footnote w:id="4">
    <w:p w:rsidR="00791A5E" w:rsidRDefault="00791A5E" w:rsidP="00791A5E">
      <w:pPr>
        <w:pStyle w:val="FootnoteText"/>
      </w:pPr>
      <w:r>
        <w:rPr>
          <w:rStyle w:val="FootnoteReference"/>
        </w:rPr>
        <w:footnoteRef/>
      </w:r>
      <w:r>
        <w:t xml:space="preserve"> </w:t>
      </w:r>
      <w:r w:rsidRPr="000C7572">
        <w:rPr>
          <w:rFonts w:ascii="Arial" w:hAnsi="Arial" w:cs="Arial"/>
          <w:sz w:val="18"/>
          <w:szCs w:val="18"/>
        </w:rPr>
        <w:t>These are unique identifying numbers allocated to the chemical substances. They enable a reliable, common and international identification of the specific substances.</w:t>
      </w:r>
      <w:r>
        <w:rPr>
          <w:rFonts w:ascii="Arial" w:hAnsi="Arial" w:cs="Arial"/>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Pr="0067541C" w:rsidRDefault="00587C50">
    <w:pPr>
      <w:pStyle w:val="Header"/>
      <w:rPr>
        <w:rFonts w:ascii="Arial" w:hAnsi="Arial" w:cs="Arial"/>
        <w:sz w:val="52"/>
      </w:rPr>
    </w:pPr>
    <w:r w:rsidRPr="0067541C">
      <w:rPr>
        <w:rFonts w:ascii="Arial" w:hAnsi="Arial" w:cs="Arial"/>
        <w:sz w:val="20"/>
      </w:rPr>
      <w:t>Taxation Determination</w:t>
    </w:r>
  </w:p>
  <w:p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232239">
      <w:rPr>
        <w:rFonts w:ascii="Arial" w:hAnsi="Arial" w:cs="Arial"/>
        <w:noProof/>
        <w:snapToGrid w:val="0"/>
        <w:sz w:val="20"/>
        <w:lang w:eastAsia="en-US"/>
      </w:rPr>
      <w:t>3</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bookmarkStart w:id="15" w:name="AType"/>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bookmarkStart w:id="16" w:name="BPrefix"/>
    <w:bookmarkEnd w:id="15"/>
    <w:r>
      <w:rPr>
        <w:rFonts w:ascii="Arial" w:hAnsi="Arial" w:cs="Arial"/>
        <w:b/>
        <w:sz w:val="32"/>
        <w:szCs w:val="32"/>
      </w:rPr>
      <w:t xml:space="preserve">  </w:t>
    </w:r>
    <w:r w:rsidRPr="00146ED8">
      <w:rPr>
        <w:rFonts w:ascii="Arial" w:hAnsi="Arial" w:cs="Arial"/>
        <w:b/>
        <w:sz w:val="28"/>
        <w:szCs w:val="28"/>
      </w:rPr>
      <w:t>Inst</w:t>
    </w:r>
    <w:bookmarkStart w:id="17" w:name="CDocnum"/>
    <w:bookmarkEnd w:id="16"/>
    <w:bookmarkEnd w:id="17"/>
    <w:r w:rsidRPr="00146ED8">
      <w:rPr>
        <w:rFonts w:ascii="Arial" w:hAnsi="Arial" w:cs="Arial"/>
        <w:b/>
        <w:sz w:val="28"/>
        <w:szCs w:val="28"/>
      </w:rPr>
      <w:t xml:space="preserve">rument ID: </w:t>
    </w:r>
    <w:r w:rsidR="00D35F96">
      <w:rPr>
        <w:rFonts w:ascii="Arial" w:hAnsi="Arial" w:cs="Arial"/>
        <w:b/>
        <w:sz w:val="28"/>
        <w:szCs w:val="28"/>
      </w:rPr>
      <w:t>2016</w:t>
    </w:r>
    <w:r w:rsidRPr="00146ED8">
      <w:rPr>
        <w:rFonts w:ascii="Arial" w:hAnsi="Arial" w:cs="Arial"/>
        <w:b/>
        <w:sz w:val="28"/>
        <w:szCs w:val="28"/>
      </w:rPr>
      <w:t>/</w:t>
    </w:r>
    <w:r w:rsidR="00D35F96">
      <w:rPr>
        <w:rFonts w:ascii="Arial" w:hAnsi="Arial" w:cs="Arial"/>
        <w:b/>
        <w:sz w:val="28"/>
        <w:szCs w:val="28"/>
      </w:rPr>
      <w:t>ITX</w:t>
    </w:r>
    <w:r w:rsidRPr="00146ED8">
      <w:rPr>
        <w:rFonts w:ascii="Arial" w:hAnsi="Arial" w:cs="Arial"/>
        <w:b/>
        <w:sz w:val="28"/>
        <w:szCs w:val="28"/>
      </w:rPr>
      <w:t>/</w:t>
    </w:r>
    <w:r w:rsidR="00D35F96">
      <w:rPr>
        <w:rFonts w:ascii="Arial" w:hAnsi="Arial" w:cs="Arial"/>
        <w:b/>
        <w:sz w:val="28"/>
        <w:szCs w:val="28"/>
      </w:rPr>
      <w:t>0059</w:t>
    </w:r>
  </w:p>
  <w:p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5B57E3F2" wp14:editId="55D096ED">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0425690"/>
    <w:multiLevelType w:val="multilevel"/>
    <w:tmpl w:val="44D87A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7">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8">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nsid w:val="1AA4333B"/>
    <w:multiLevelType w:val="hybridMultilevel"/>
    <w:tmpl w:val="36CEC7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4">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5">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nsid w:val="281F6C49"/>
    <w:multiLevelType w:val="multilevel"/>
    <w:tmpl w:val="07825F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1">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0A14548"/>
    <w:multiLevelType w:val="hybridMultilevel"/>
    <w:tmpl w:val="974E0850"/>
    <w:lvl w:ilvl="0" w:tplc="9B8CB894">
      <w:start w:val="1"/>
      <w:numFmt w:val="decimal"/>
      <w:lvlText w:val="%1."/>
      <w:lvlJc w:val="left"/>
      <w:pPr>
        <w:tabs>
          <w:tab w:val="num" w:pos="720"/>
        </w:tabs>
        <w:ind w:left="720" w:hanging="360"/>
      </w:pPr>
      <w:rPr>
        <w:rFonts w:hint="default"/>
        <w:i w:val="0"/>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3B25F23"/>
    <w:multiLevelType w:val="hybridMultilevel"/>
    <w:tmpl w:val="286AD32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3FCC3903"/>
    <w:multiLevelType w:val="hybridMultilevel"/>
    <w:tmpl w:val="275C5186"/>
    <w:lvl w:ilvl="0" w:tplc="9B8CB894">
      <w:start w:val="1"/>
      <w:numFmt w:val="decimal"/>
      <w:lvlText w:val="%1."/>
      <w:lvlJc w:val="left"/>
      <w:pPr>
        <w:tabs>
          <w:tab w:val="num" w:pos="720"/>
        </w:tabs>
        <w:ind w:left="720" w:hanging="360"/>
      </w:pPr>
      <w:rPr>
        <w:rFonts w:hint="default"/>
        <w:i w:val="0"/>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8">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nsid w:val="55B24CE5"/>
    <w:multiLevelType w:val="hybridMultilevel"/>
    <w:tmpl w:val="B2EA6A68"/>
    <w:lvl w:ilvl="0" w:tplc="9B8CB894">
      <w:start w:val="1"/>
      <w:numFmt w:val="decimal"/>
      <w:lvlText w:val="%1."/>
      <w:lvlJc w:val="left"/>
      <w:pPr>
        <w:tabs>
          <w:tab w:val="num" w:pos="720"/>
        </w:tabs>
        <w:ind w:left="720" w:hanging="360"/>
      </w:pPr>
      <w:rPr>
        <w:rFonts w:hint="default"/>
        <w:i w:val="0"/>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BC3009D"/>
    <w:multiLevelType w:val="hybridMultilevel"/>
    <w:tmpl w:val="53F2D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4">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26"/>
  </w:num>
  <w:num w:numId="4">
    <w:abstractNumId w:val="41"/>
  </w:num>
  <w:num w:numId="5">
    <w:abstractNumId w:val="5"/>
  </w:num>
  <w:num w:numId="6">
    <w:abstractNumId w:val="13"/>
  </w:num>
  <w:num w:numId="7">
    <w:abstractNumId w:val="36"/>
  </w:num>
  <w:num w:numId="8">
    <w:abstractNumId w:val="35"/>
  </w:num>
  <w:num w:numId="9">
    <w:abstractNumId w:val="28"/>
  </w:num>
  <w:num w:numId="10">
    <w:abstractNumId w:val="23"/>
  </w:num>
  <w:num w:numId="11">
    <w:abstractNumId w:val="42"/>
  </w:num>
  <w:num w:numId="12">
    <w:abstractNumId w:val="37"/>
  </w:num>
  <w:num w:numId="13">
    <w:abstractNumId w:val="40"/>
  </w:num>
  <w:num w:numId="14">
    <w:abstractNumId w:val="39"/>
  </w:num>
  <w:num w:numId="15">
    <w:abstractNumId w:val="21"/>
  </w:num>
  <w:num w:numId="16">
    <w:abstractNumId w:val="25"/>
  </w:num>
  <w:num w:numId="17">
    <w:abstractNumId w:val="11"/>
  </w:num>
  <w:num w:numId="18">
    <w:abstractNumId w:val="16"/>
  </w:num>
  <w:num w:numId="19">
    <w:abstractNumId w:val="2"/>
  </w:num>
  <w:num w:numId="20">
    <w:abstractNumId w:val="1"/>
  </w:num>
  <w:num w:numId="21">
    <w:abstractNumId w:val="12"/>
  </w:num>
  <w:num w:numId="22">
    <w:abstractNumId w:val="33"/>
  </w:num>
  <w:num w:numId="23">
    <w:abstractNumId w:val="9"/>
  </w:num>
  <w:num w:numId="24">
    <w:abstractNumId w:val="20"/>
  </w:num>
  <w:num w:numId="25">
    <w:abstractNumId w:val="30"/>
  </w:num>
  <w:num w:numId="26">
    <w:abstractNumId w:val="29"/>
  </w:num>
  <w:num w:numId="27">
    <w:abstractNumId w:val="8"/>
  </w:num>
  <w:num w:numId="28">
    <w:abstractNumId w:val="34"/>
  </w:num>
  <w:num w:numId="29">
    <w:abstractNumId w:val="19"/>
  </w:num>
  <w:num w:numId="30">
    <w:abstractNumId w:val="14"/>
  </w:num>
  <w:num w:numId="31">
    <w:abstractNumId w:val="6"/>
  </w:num>
  <w:num w:numId="32">
    <w:abstractNumId w:val="0"/>
  </w:num>
  <w:num w:numId="33">
    <w:abstractNumId w:val="7"/>
  </w:num>
  <w:num w:numId="34">
    <w:abstractNumId w:val="27"/>
  </w:num>
  <w:num w:numId="35">
    <w:abstractNumId w:val="38"/>
  </w:num>
  <w:num w:numId="36">
    <w:abstractNumId w:val="18"/>
  </w:num>
  <w:num w:numId="37">
    <w:abstractNumId w:val="10"/>
  </w:num>
  <w:num w:numId="38">
    <w:abstractNumId w:val="24"/>
  </w:num>
  <w:num w:numId="39">
    <w:abstractNumId w:val="4"/>
  </w:num>
  <w:num w:numId="40">
    <w:abstractNumId w:val="17"/>
  </w:num>
  <w:num w:numId="41">
    <w:abstractNumId w:val="31"/>
  </w:num>
  <w:num w:numId="42">
    <w:abstractNumId w:val="3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117B2"/>
    <w:rsid w:val="0001796D"/>
    <w:rsid w:val="00017BF0"/>
    <w:rsid w:val="0002568B"/>
    <w:rsid w:val="00027A5E"/>
    <w:rsid w:val="00043FA7"/>
    <w:rsid w:val="000552E8"/>
    <w:rsid w:val="00056585"/>
    <w:rsid w:val="0005674F"/>
    <w:rsid w:val="00065C6E"/>
    <w:rsid w:val="00067B2B"/>
    <w:rsid w:val="00073F1B"/>
    <w:rsid w:val="00075B58"/>
    <w:rsid w:val="000B11DD"/>
    <w:rsid w:val="000C390A"/>
    <w:rsid w:val="000C7572"/>
    <w:rsid w:val="000C77DD"/>
    <w:rsid w:val="000E295B"/>
    <w:rsid w:val="000E45A0"/>
    <w:rsid w:val="00100561"/>
    <w:rsid w:val="00107460"/>
    <w:rsid w:val="0011205C"/>
    <w:rsid w:val="00112415"/>
    <w:rsid w:val="00112E48"/>
    <w:rsid w:val="001133C8"/>
    <w:rsid w:val="00134665"/>
    <w:rsid w:val="00135BA4"/>
    <w:rsid w:val="0013678D"/>
    <w:rsid w:val="00140A34"/>
    <w:rsid w:val="00146ED8"/>
    <w:rsid w:val="00167202"/>
    <w:rsid w:val="001828A4"/>
    <w:rsid w:val="00183289"/>
    <w:rsid w:val="001A3BE2"/>
    <w:rsid w:val="001C35E7"/>
    <w:rsid w:val="001C4578"/>
    <w:rsid w:val="001D059D"/>
    <w:rsid w:val="001F28A6"/>
    <w:rsid w:val="001F2A16"/>
    <w:rsid w:val="001F6921"/>
    <w:rsid w:val="001F7C3E"/>
    <w:rsid w:val="00201969"/>
    <w:rsid w:val="00213FA5"/>
    <w:rsid w:val="0021440A"/>
    <w:rsid w:val="00232239"/>
    <w:rsid w:val="0023733A"/>
    <w:rsid w:val="0024044F"/>
    <w:rsid w:val="00245D00"/>
    <w:rsid w:val="00253D92"/>
    <w:rsid w:val="002574CE"/>
    <w:rsid w:val="00257F2D"/>
    <w:rsid w:val="00262F9F"/>
    <w:rsid w:val="00266D2D"/>
    <w:rsid w:val="002726C3"/>
    <w:rsid w:val="0027331F"/>
    <w:rsid w:val="00285E76"/>
    <w:rsid w:val="0029499B"/>
    <w:rsid w:val="002949C3"/>
    <w:rsid w:val="002A10A4"/>
    <w:rsid w:val="002A26FE"/>
    <w:rsid w:val="002B1423"/>
    <w:rsid w:val="002B3C92"/>
    <w:rsid w:val="002B5C9C"/>
    <w:rsid w:val="002D79A0"/>
    <w:rsid w:val="002E11FC"/>
    <w:rsid w:val="002F1257"/>
    <w:rsid w:val="00303737"/>
    <w:rsid w:val="00310C61"/>
    <w:rsid w:val="00311AFD"/>
    <w:rsid w:val="003171B3"/>
    <w:rsid w:val="0032559D"/>
    <w:rsid w:val="00343D79"/>
    <w:rsid w:val="00344575"/>
    <w:rsid w:val="0035113C"/>
    <w:rsid w:val="00354525"/>
    <w:rsid w:val="003616FF"/>
    <w:rsid w:val="00375424"/>
    <w:rsid w:val="00380CC4"/>
    <w:rsid w:val="003C0686"/>
    <w:rsid w:val="003D08CF"/>
    <w:rsid w:val="003D0CBA"/>
    <w:rsid w:val="003D0F6A"/>
    <w:rsid w:val="003D4BA8"/>
    <w:rsid w:val="003D6737"/>
    <w:rsid w:val="003E5269"/>
    <w:rsid w:val="00405394"/>
    <w:rsid w:val="004066E4"/>
    <w:rsid w:val="0040680B"/>
    <w:rsid w:val="00407361"/>
    <w:rsid w:val="00417C55"/>
    <w:rsid w:val="00424A7B"/>
    <w:rsid w:val="0042542D"/>
    <w:rsid w:val="004447C1"/>
    <w:rsid w:val="0046211F"/>
    <w:rsid w:val="00465C21"/>
    <w:rsid w:val="0046787B"/>
    <w:rsid w:val="00477188"/>
    <w:rsid w:val="00486653"/>
    <w:rsid w:val="004A5FDA"/>
    <w:rsid w:val="004A69A6"/>
    <w:rsid w:val="004D098C"/>
    <w:rsid w:val="004D24A9"/>
    <w:rsid w:val="004E5357"/>
    <w:rsid w:val="004F4A07"/>
    <w:rsid w:val="004F5EB1"/>
    <w:rsid w:val="004F6887"/>
    <w:rsid w:val="005030AD"/>
    <w:rsid w:val="0051249C"/>
    <w:rsid w:val="00516AE1"/>
    <w:rsid w:val="005176E7"/>
    <w:rsid w:val="00520330"/>
    <w:rsid w:val="00524B6B"/>
    <w:rsid w:val="005413EE"/>
    <w:rsid w:val="00555DAE"/>
    <w:rsid w:val="00587443"/>
    <w:rsid w:val="00587C50"/>
    <w:rsid w:val="005917F3"/>
    <w:rsid w:val="005B0ACD"/>
    <w:rsid w:val="005B50A2"/>
    <w:rsid w:val="005C3408"/>
    <w:rsid w:val="005C7431"/>
    <w:rsid w:val="005D611B"/>
    <w:rsid w:val="005F1ACE"/>
    <w:rsid w:val="005F256D"/>
    <w:rsid w:val="005F565C"/>
    <w:rsid w:val="0060183A"/>
    <w:rsid w:val="006022EF"/>
    <w:rsid w:val="00603110"/>
    <w:rsid w:val="00611C8E"/>
    <w:rsid w:val="00631F30"/>
    <w:rsid w:val="00642420"/>
    <w:rsid w:val="00646158"/>
    <w:rsid w:val="0066622C"/>
    <w:rsid w:val="00666487"/>
    <w:rsid w:val="00673B37"/>
    <w:rsid w:val="006945EA"/>
    <w:rsid w:val="006A0EED"/>
    <w:rsid w:val="006B5470"/>
    <w:rsid w:val="006B7A4F"/>
    <w:rsid w:val="006D0138"/>
    <w:rsid w:val="006D6F52"/>
    <w:rsid w:val="006F210F"/>
    <w:rsid w:val="006F64E2"/>
    <w:rsid w:val="00701718"/>
    <w:rsid w:val="00710359"/>
    <w:rsid w:val="007121EF"/>
    <w:rsid w:val="00712433"/>
    <w:rsid w:val="00712FFF"/>
    <w:rsid w:val="00722DBF"/>
    <w:rsid w:val="00735157"/>
    <w:rsid w:val="00775490"/>
    <w:rsid w:val="00785146"/>
    <w:rsid w:val="00791A5E"/>
    <w:rsid w:val="00795D0C"/>
    <w:rsid w:val="007A55BA"/>
    <w:rsid w:val="007C1FBD"/>
    <w:rsid w:val="007D5CC0"/>
    <w:rsid w:val="007E22F5"/>
    <w:rsid w:val="007F1C62"/>
    <w:rsid w:val="007F25F3"/>
    <w:rsid w:val="007F4901"/>
    <w:rsid w:val="00830CBE"/>
    <w:rsid w:val="00836B02"/>
    <w:rsid w:val="008467D4"/>
    <w:rsid w:val="00850FB0"/>
    <w:rsid w:val="0085238E"/>
    <w:rsid w:val="008540EA"/>
    <w:rsid w:val="00860F6F"/>
    <w:rsid w:val="00866A00"/>
    <w:rsid w:val="008702A6"/>
    <w:rsid w:val="0087185A"/>
    <w:rsid w:val="008744E3"/>
    <w:rsid w:val="008757CE"/>
    <w:rsid w:val="0088392C"/>
    <w:rsid w:val="00896958"/>
    <w:rsid w:val="00897C0E"/>
    <w:rsid w:val="00897E31"/>
    <w:rsid w:val="008A046F"/>
    <w:rsid w:val="008A405A"/>
    <w:rsid w:val="008A6A6A"/>
    <w:rsid w:val="008B650A"/>
    <w:rsid w:val="008B787C"/>
    <w:rsid w:val="008C3898"/>
    <w:rsid w:val="008C66CC"/>
    <w:rsid w:val="008E1601"/>
    <w:rsid w:val="008F483C"/>
    <w:rsid w:val="00912D61"/>
    <w:rsid w:val="009322D7"/>
    <w:rsid w:val="00932BDE"/>
    <w:rsid w:val="009576F9"/>
    <w:rsid w:val="00961166"/>
    <w:rsid w:val="00967725"/>
    <w:rsid w:val="00983446"/>
    <w:rsid w:val="009839A6"/>
    <w:rsid w:val="009902F8"/>
    <w:rsid w:val="00993BB8"/>
    <w:rsid w:val="0099555F"/>
    <w:rsid w:val="009A22A1"/>
    <w:rsid w:val="009B3A1B"/>
    <w:rsid w:val="009B4EB0"/>
    <w:rsid w:val="009B6332"/>
    <w:rsid w:val="009C0912"/>
    <w:rsid w:val="009C3D96"/>
    <w:rsid w:val="009D0EFE"/>
    <w:rsid w:val="009D3B3A"/>
    <w:rsid w:val="009D6694"/>
    <w:rsid w:val="009E40BF"/>
    <w:rsid w:val="009F0300"/>
    <w:rsid w:val="00A167A8"/>
    <w:rsid w:val="00A2182E"/>
    <w:rsid w:val="00A21F0A"/>
    <w:rsid w:val="00A26011"/>
    <w:rsid w:val="00A506C2"/>
    <w:rsid w:val="00A62886"/>
    <w:rsid w:val="00A74C38"/>
    <w:rsid w:val="00A77D24"/>
    <w:rsid w:val="00A854C6"/>
    <w:rsid w:val="00A8572F"/>
    <w:rsid w:val="00A87860"/>
    <w:rsid w:val="00A93E07"/>
    <w:rsid w:val="00A979CF"/>
    <w:rsid w:val="00AA4DF8"/>
    <w:rsid w:val="00AB2432"/>
    <w:rsid w:val="00AB780C"/>
    <w:rsid w:val="00AD5ADE"/>
    <w:rsid w:val="00AD5D63"/>
    <w:rsid w:val="00AE7138"/>
    <w:rsid w:val="00AF4CAF"/>
    <w:rsid w:val="00B117BA"/>
    <w:rsid w:val="00B20D87"/>
    <w:rsid w:val="00B2362C"/>
    <w:rsid w:val="00B312EB"/>
    <w:rsid w:val="00B53ECD"/>
    <w:rsid w:val="00B578AC"/>
    <w:rsid w:val="00B6433F"/>
    <w:rsid w:val="00B64CF5"/>
    <w:rsid w:val="00B76C9B"/>
    <w:rsid w:val="00B823A1"/>
    <w:rsid w:val="00B8428B"/>
    <w:rsid w:val="00BA41F5"/>
    <w:rsid w:val="00BB3C9C"/>
    <w:rsid w:val="00BB7BC0"/>
    <w:rsid w:val="00BC152F"/>
    <w:rsid w:val="00BF4822"/>
    <w:rsid w:val="00C01D22"/>
    <w:rsid w:val="00C104B6"/>
    <w:rsid w:val="00C10F02"/>
    <w:rsid w:val="00C114F4"/>
    <w:rsid w:val="00C11D03"/>
    <w:rsid w:val="00C31967"/>
    <w:rsid w:val="00C371DE"/>
    <w:rsid w:val="00C3787D"/>
    <w:rsid w:val="00C409AE"/>
    <w:rsid w:val="00C42D50"/>
    <w:rsid w:val="00C54DF8"/>
    <w:rsid w:val="00C60B49"/>
    <w:rsid w:val="00C7440A"/>
    <w:rsid w:val="00C81DE7"/>
    <w:rsid w:val="00C865ED"/>
    <w:rsid w:val="00C8775A"/>
    <w:rsid w:val="00CA0877"/>
    <w:rsid w:val="00CA6B59"/>
    <w:rsid w:val="00CB3B6C"/>
    <w:rsid w:val="00CC1833"/>
    <w:rsid w:val="00CC189F"/>
    <w:rsid w:val="00CC3368"/>
    <w:rsid w:val="00CF14FD"/>
    <w:rsid w:val="00CF19C4"/>
    <w:rsid w:val="00CF2DDC"/>
    <w:rsid w:val="00CF5C98"/>
    <w:rsid w:val="00D13C04"/>
    <w:rsid w:val="00D20A78"/>
    <w:rsid w:val="00D278BA"/>
    <w:rsid w:val="00D35F96"/>
    <w:rsid w:val="00D40454"/>
    <w:rsid w:val="00D4059C"/>
    <w:rsid w:val="00D53D8F"/>
    <w:rsid w:val="00D61C76"/>
    <w:rsid w:val="00D67FED"/>
    <w:rsid w:val="00D77015"/>
    <w:rsid w:val="00D812F5"/>
    <w:rsid w:val="00D81A76"/>
    <w:rsid w:val="00D92B48"/>
    <w:rsid w:val="00DB1693"/>
    <w:rsid w:val="00DC10B1"/>
    <w:rsid w:val="00DC380F"/>
    <w:rsid w:val="00DD5B07"/>
    <w:rsid w:val="00DE6821"/>
    <w:rsid w:val="00DF2022"/>
    <w:rsid w:val="00DF34BE"/>
    <w:rsid w:val="00DF5D59"/>
    <w:rsid w:val="00E239E4"/>
    <w:rsid w:val="00E36A38"/>
    <w:rsid w:val="00E4752F"/>
    <w:rsid w:val="00E53399"/>
    <w:rsid w:val="00E77995"/>
    <w:rsid w:val="00E87099"/>
    <w:rsid w:val="00E911B1"/>
    <w:rsid w:val="00EA0216"/>
    <w:rsid w:val="00EA28E6"/>
    <w:rsid w:val="00EB0DCD"/>
    <w:rsid w:val="00EF333B"/>
    <w:rsid w:val="00EF78C4"/>
    <w:rsid w:val="00F04CD7"/>
    <w:rsid w:val="00F113E3"/>
    <w:rsid w:val="00F23E15"/>
    <w:rsid w:val="00F244A2"/>
    <w:rsid w:val="00F35064"/>
    <w:rsid w:val="00F374D8"/>
    <w:rsid w:val="00F428F4"/>
    <w:rsid w:val="00F44B9E"/>
    <w:rsid w:val="00F4727E"/>
    <w:rsid w:val="00F5684D"/>
    <w:rsid w:val="00F57AB6"/>
    <w:rsid w:val="00F620C4"/>
    <w:rsid w:val="00F6480F"/>
    <w:rsid w:val="00F86713"/>
    <w:rsid w:val="00F929B3"/>
    <w:rsid w:val="00F932E0"/>
    <w:rsid w:val="00FA5F87"/>
    <w:rsid w:val="00FB40BF"/>
    <w:rsid w:val="00FB7701"/>
    <w:rsid w:val="00FC0446"/>
    <w:rsid w:val="00FC40F0"/>
    <w:rsid w:val="00FC6D3B"/>
    <w:rsid w:val="00FD0129"/>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35" ma:contentTypeDescription="" ma:contentTypeScope="" ma:versionID="e773647e27c0f1d9ab2830c763788f1d">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1597e6db0912cf2de84e230bc53b01cd"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quiredMultiChoice="tru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2025-09-30T01:55:37+00:00</_dlc_ExpireDate>
    <_dlc_DocId xmlns="5e039acd-daf0-4ba3-b421-e9b9ae1a3620">5YHNKJZSV77T-1853-1466</_dlc_DocId>
    <_dlc_DocIdUrl xmlns="5e039acd-daf0-4ba3-b421-e9b9ae1a3620">
      <Url>http://sharepoint/GASites/IntegratedTaxDesign/_layouts/DocIdRedir.aspx?ID=5YHNKJZSV77T-1853-1466</Url>
      <Description>5YHNKJZSV77T-1853-1466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2.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3.xml><?xml version="1.0" encoding="utf-8"?>
<ds:datastoreItem xmlns:ds="http://schemas.openxmlformats.org/officeDocument/2006/customXml" ds:itemID="{95D88B28-DE47-49D5-A4AD-DA3E3183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5.xml><?xml version="1.0" encoding="utf-8"?>
<ds:datastoreItem xmlns:ds="http://schemas.openxmlformats.org/officeDocument/2006/customXml" ds:itemID="{9092B523-521B-4F01-8DAB-0EC284B7888D}">
  <ds:schemaRefs>
    <ds:schemaRef ds:uri="office.server.policy"/>
  </ds:schemaRefs>
</ds:datastoreItem>
</file>

<file path=customXml/itemProps6.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7.xml><?xml version="1.0" encoding="utf-8"?>
<ds:datastoreItem xmlns:ds="http://schemas.openxmlformats.org/officeDocument/2006/customXml" ds:itemID="{E17B5A3C-E2B6-4866-B13C-BFED5064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7152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Ducat, Stuart</cp:lastModifiedBy>
  <cp:revision>3</cp:revision>
  <cp:lastPrinted>2016-06-21T04:49:00Z</cp:lastPrinted>
  <dcterms:created xsi:type="dcterms:W3CDTF">2016-09-19T04:36:00Z</dcterms:created>
  <dcterms:modified xsi:type="dcterms:W3CDTF">2016-09-19T04:37:00Z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