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F0EE7" w14:textId="77777777" w:rsidR="00715914" w:rsidRPr="002C4FE0" w:rsidRDefault="006A7D10" w:rsidP="00B211D7">
      <w:pPr>
        <w:spacing w:after="600"/>
        <w:rPr>
          <w:sz w:val="24"/>
          <w:szCs w:val="24"/>
        </w:rPr>
      </w:pPr>
      <w:bookmarkStart w:id="0" w:name="_GoBack"/>
      <w:bookmarkEnd w:id="0"/>
      <w:r>
        <w:rPr>
          <w:noProof/>
          <w:sz w:val="24"/>
          <w:szCs w:val="24"/>
          <w:lang w:eastAsia="en-AU"/>
        </w:rPr>
        <w:drawing>
          <wp:inline distT="0" distB="0" distL="0" distR="0" wp14:anchorId="7B787D7F" wp14:editId="58737443">
            <wp:extent cx="5267325" cy="740410"/>
            <wp:effectExtent l="0" t="0" r="9525" b="2540"/>
            <wp:docPr id="1" name="Picture 1" descr="Commonwealth Coat of Arms and AS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and ASIC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67325" cy="740410"/>
                    </a:xfrm>
                    <a:prstGeom prst="rect">
                      <a:avLst/>
                    </a:prstGeom>
                    <a:noFill/>
                    <a:ln>
                      <a:noFill/>
                    </a:ln>
                  </pic:spPr>
                </pic:pic>
              </a:graphicData>
            </a:graphic>
          </wp:inline>
        </w:drawing>
      </w:r>
    </w:p>
    <w:p w14:paraId="2AFB6B84" w14:textId="5BA45FEF" w:rsidR="00715914" w:rsidRPr="002C4FE0" w:rsidRDefault="00447DB4" w:rsidP="00AD4480">
      <w:pPr>
        <w:pStyle w:val="LI-Title"/>
      </w:pPr>
      <w:r w:rsidRPr="002C4FE0">
        <w:t>A</w:t>
      </w:r>
      <w:r w:rsidR="00327DDF" w:rsidRPr="002C4FE0">
        <w:t xml:space="preserve">SIC </w:t>
      </w:r>
      <w:r w:rsidR="00CF36D9">
        <w:t>Corporations (</w:t>
      </w:r>
      <w:r w:rsidR="007975C2">
        <w:t xml:space="preserve">Serviced </w:t>
      </w:r>
      <w:r w:rsidR="00D33669">
        <w:t>A</w:t>
      </w:r>
      <w:r w:rsidR="007975C2">
        <w:t xml:space="preserve">partment </w:t>
      </w:r>
      <w:r w:rsidR="00E22021">
        <w:t xml:space="preserve">and </w:t>
      </w:r>
      <w:r w:rsidR="00D33669">
        <w:t>L</w:t>
      </w:r>
      <w:r w:rsidR="00E22021">
        <w:t xml:space="preserve">ike </w:t>
      </w:r>
      <w:r w:rsidR="00D33669">
        <w:t>S</w:t>
      </w:r>
      <w:r w:rsidR="00610CEB" w:rsidRPr="002C4FE0">
        <w:t>chemes</w:t>
      </w:r>
      <w:r w:rsidR="00396F54">
        <w:t>)</w:t>
      </w:r>
      <w:r w:rsidR="00610CEB" w:rsidRPr="002C4FE0">
        <w:t xml:space="preserve"> </w:t>
      </w:r>
      <w:r w:rsidR="00C11452" w:rsidRPr="002C4FE0">
        <w:t>Instrument</w:t>
      </w:r>
      <w:r w:rsidR="00A14E5E" w:rsidRPr="002C4FE0">
        <w:t xml:space="preserve"> 201</w:t>
      </w:r>
      <w:r w:rsidR="00532340">
        <w:t>6</w:t>
      </w:r>
      <w:r w:rsidR="007626F5">
        <w:t>/869</w:t>
      </w:r>
    </w:p>
    <w:p w14:paraId="0A587841" w14:textId="4893DE3D" w:rsidR="00F171A1" w:rsidRPr="002C4FE0" w:rsidRDefault="00F171A1" w:rsidP="00005446">
      <w:pPr>
        <w:pStyle w:val="LI-Fronttext"/>
        <w:rPr>
          <w:sz w:val="24"/>
          <w:szCs w:val="24"/>
        </w:rPr>
      </w:pPr>
      <w:r w:rsidRPr="002C4FE0">
        <w:rPr>
          <w:sz w:val="24"/>
          <w:szCs w:val="24"/>
        </w:rPr>
        <w:t xml:space="preserve">I, </w:t>
      </w:r>
      <w:r w:rsidR="00AF7F4E">
        <w:rPr>
          <w:sz w:val="24"/>
          <w:szCs w:val="24"/>
        </w:rPr>
        <w:t>Stephen Yen PSM</w:t>
      </w:r>
      <w:r w:rsidR="00C0544A" w:rsidRPr="002C4FE0">
        <w:rPr>
          <w:sz w:val="24"/>
          <w:szCs w:val="24"/>
        </w:rPr>
        <w:t>, delegate of the Australian Securities and Investments Commission</w:t>
      </w:r>
      <w:r w:rsidRPr="002C4FE0">
        <w:rPr>
          <w:sz w:val="24"/>
          <w:szCs w:val="24"/>
        </w:rPr>
        <w:t xml:space="preserve">, make the following </w:t>
      </w:r>
      <w:r w:rsidR="008C0F29" w:rsidRPr="002C4FE0">
        <w:rPr>
          <w:sz w:val="24"/>
          <w:szCs w:val="24"/>
        </w:rPr>
        <w:t>legislative instrument</w:t>
      </w:r>
      <w:r w:rsidRPr="002C4FE0">
        <w:rPr>
          <w:sz w:val="24"/>
          <w:szCs w:val="24"/>
        </w:rPr>
        <w:t>.</w:t>
      </w:r>
    </w:p>
    <w:p w14:paraId="3F8163BA" w14:textId="45551FAE" w:rsidR="006554FF" w:rsidRDefault="00F171A1" w:rsidP="00005446">
      <w:pPr>
        <w:pStyle w:val="LI-Fronttext"/>
        <w:rPr>
          <w:sz w:val="24"/>
          <w:szCs w:val="24"/>
        </w:rPr>
      </w:pPr>
      <w:r w:rsidRPr="002C4FE0">
        <w:rPr>
          <w:sz w:val="24"/>
          <w:szCs w:val="24"/>
        </w:rPr>
        <w:t>Date</w:t>
      </w:r>
      <w:bookmarkStart w:id="1" w:name="BKCheck15B_1"/>
      <w:bookmarkEnd w:id="1"/>
      <w:r w:rsidR="00AF7F4E">
        <w:rPr>
          <w:sz w:val="24"/>
          <w:szCs w:val="24"/>
        </w:rPr>
        <w:t xml:space="preserve">: 19 September </w:t>
      </w:r>
      <w:r w:rsidR="00396F54">
        <w:rPr>
          <w:sz w:val="24"/>
          <w:szCs w:val="24"/>
        </w:rPr>
        <w:t>201</w:t>
      </w:r>
      <w:r w:rsidR="00532340">
        <w:rPr>
          <w:sz w:val="24"/>
          <w:szCs w:val="24"/>
        </w:rPr>
        <w:t>6</w:t>
      </w:r>
    </w:p>
    <w:p w14:paraId="567E4620" w14:textId="77777777" w:rsidR="00AF7F4E" w:rsidRDefault="00AF7F4E" w:rsidP="00AF7F4E">
      <w:pPr>
        <w:rPr>
          <w:lang w:eastAsia="en-AU"/>
        </w:rPr>
      </w:pPr>
    </w:p>
    <w:p w14:paraId="6DAD2FD3" w14:textId="77777777" w:rsidR="00AF7F4E" w:rsidRDefault="00AF7F4E" w:rsidP="00AF7F4E">
      <w:pPr>
        <w:rPr>
          <w:lang w:eastAsia="en-AU"/>
        </w:rPr>
      </w:pPr>
    </w:p>
    <w:p w14:paraId="35EA8499" w14:textId="77777777" w:rsidR="00AF7F4E" w:rsidRPr="00AF7F4E" w:rsidRDefault="00AF7F4E" w:rsidP="00AF7F4E">
      <w:pPr>
        <w:rPr>
          <w:lang w:eastAsia="en-AU"/>
        </w:rPr>
      </w:pPr>
    </w:p>
    <w:p w14:paraId="41AA193C" w14:textId="6D3B2655" w:rsidR="00FC7D25" w:rsidRPr="002C4FE0" w:rsidRDefault="00AF7F4E" w:rsidP="00AF7F4E">
      <w:pPr>
        <w:pStyle w:val="LI-Fronttext"/>
        <w:pBdr>
          <w:bottom w:val="single" w:sz="4" w:space="1" w:color="auto"/>
        </w:pBdr>
        <w:ind w:right="0"/>
        <w:rPr>
          <w:sz w:val="24"/>
          <w:szCs w:val="24"/>
        </w:rPr>
      </w:pPr>
      <w:r>
        <w:rPr>
          <w:sz w:val="24"/>
          <w:szCs w:val="24"/>
        </w:rPr>
        <w:t>Stephen Yen</w:t>
      </w:r>
    </w:p>
    <w:p w14:paraId="3596E37F" w14:textId="77777777" w:rsidR="00715914" w:rsidRPr="002C4FE0" w:rsidRDefault="00715914" w:rsidP="00715914">
      <w:pPr>
        <w:pStyle w:val="Header"/>
        <w:tabs>
          <w:tab w:val="clear" w:pos="4150"/>
          <w:tab w:val="clear" w:pos="8307"/>
        </w:tabs>
        <w:rPr>
          <w:sz w:val="24"/>
          <w:szCs w:val="24"/>
        </w:rPr>
      </w:pPr>
    </w:p>
    <w:p w14:paraId="78A24AA9" w14:textId="77777777" w:rsidR="00715914" w:rsidRPr="002C4FE0" w:rsidRDefault="00715914" w:rsidP="00715914">
      <w:pPr>
        <w:rPr>
          <w:sz w:val="24"/>
          <w:szCs w:val="24"/>
        </w:rPr>
        <w:sectPr w:rsidR="00715914" w:rsidRPr="002C4FE0" w:rsidSect="008945E0">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titlePg/>
          <w:docGrid w:linePitch="360"/>
        </w:sectPr>
      </w:pPr>
    </w:p>
    <w:p w14:paraId="05173933" w14:textId="77777777" w:rsidR="00F67BCA" w:rsidRPr="002C4FE0" w:rsidRDefault="00715914" w:rsidP="00E2168B">
      <w:pPr>
        <w:spacing w:before="280" w:after="240"/>
        <w:rPr>
          <w:sz w:val="24"/>
          <w:szCs w:val="24"/>
        </w:rPr>
      </w:pPr>
      <w:r w:rsidRPr="002C4FE0">
        <w:rPr>
          <w:b/>
          <w:sz w:val="24"/>
          <w:szCs w:val="24"/>
        </w:rPr>
        <w:lastRenderedPageBreak/>
        <w:t>Contents</w:t>
      </w:r>
    </w:p>
    <w:bookmarkStart w:id="2" w:name="BKCheck15B_2"/>
    <w:bookmarkEnd w:id="2"/>
    <w:p w14:paraId="32E40FDD" w14:textId="77777777" w:rsidR="00B211D7" w:rsidRDefault="008945E0">
      <w:pPr>
        <w:pStyle w:val="TOC1"/>
        <w:rPr>
          <w:rFonts w:asciiTheme="minorHAnsi" w:eastAsiaTheme="minorEastAsia" w:hAnsiTheme="minorHAnsi" w:cstheme="minorBidi"/>
          <w:b w:val="0"/>
          <w:noProof/>
          <w:kern w:val="0"/>
          <w:sz w:val="22"/>
          <w:szCs w:val="22"/>
        </w:rPr>
      </w:pPr>
      <w:r w:rsidRPr="002C4FE0">
        <w:rPr>
          <w:b w:val="0"/>
          <w:szCs w:val="24"/>
        </w:rPr>
        <w:fldChar w:fldCharType="begin"/>
      </w:r>
      <w:r w:rsidRPr="002C4FE0">
        <w:rPr>
          <w:b w:val="0"/>
          <w:szCs w:val="24"/>
        </w:rPr>
        <w:instrText xml:space="preserve"> TOC \t "LI - Heading 1,1,LI - Heading 2,2" </w:instrText>
      </w:r>
      <w:r w:rsidRPr="002C4FE0">
        <w:rPr>
          <w:b w:val="0"/>
          <w:szCs w:val="24"/>
        </w:rPr>
        <w:fldChar w:fldCharType="separate"/>
      </w:r>
      <w:r w:rsidR="00B211D7">
        <w:rPr>
          <w:noProof/>
        </w:rPr>
        <w:t>Part 1—Preliminary</w:t>
      </w:r>
      <w:r w:rsidR="00B211D7">
        <w:rPr>
          <w:noProof/>
        </w:rPr>
        <w:tab/>
      </w:r>
      <w:r w:rsidR="00B211D7">
        <w:rPr>
          <w:noProof/>
        </w:rPr>
        <w:fldChar w:fldCharType="begin"/>
      </w:r>
      <w:r w:rsidR="00B211D7">
        <w:rPr>
          <w:noProof/>
        </w:rPr>
        <w:instrText xml:space="preserve"> PAGEREF _Toc462049840 \h </w:instrText>
      </w:r>
      <w:r w:rsidR="00B211D7">
        <w:rPr>
          <w:noProof/>
        </w:rPr>
      </w:r>
      <w:r w:rsidR="00B211D7">
        <w:rPr>
          <w:noProof/>
        </w:rPr>
        <w:fldChar w:fldCharType="separate"/>
      </w:r>
      <w:r w:rsidR="000A4D51">
        <w:rPr>
          <w:noProof/>
        </w:rPr>
        <w:t>3</w:t>
      </w:r>
      <w:r w:rsidR="00B211D7">
        <w:rPr>
          <w:noProof/>
        </w:rPr>
        <w:fldChar w:fldCharType="end"/>
      </w:r>
    </w:p>
    <w:p w14:paraId="724165E0" w14:textId="77777777" w:rsidR="00B211D7" w:rsidRDefault="00B211D7">
      <w:pPr>
        <w:pStyle w:val="TOC2"/>
        <w:tabs>
          <w:tab w:val="left" w:pos="147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Name of legislative instrument</w:t>
      </w:r>
      <w:r>
        <w:rPr>
          <w:noProof/>
        </w:rPr>
        <w:tab/>
      </w:r>
      <w:r>
        <w:rPr>
          <w:noProof/>
        </w:rPr>
        <w:fldChar w:fldCharType="begin"/>
      </w:r>
      <w:r>
        <w:rPr>
          <w:noProof/>
        </w:rPr>
        <w:instrText xml:space="preserve"> PAGEREF _Toc462049841 \h </w:instrText>
      </w:r>
      <w:r>
        <w:rPr>
          <w:noProof/>
        </w:rPr>
      </w:r>
      <w:r>
        <w:rPr>
          <w:noProof/>
        </w:rPr>
        <w:fldChar w:fldCharType="separate"/>
      </w:r>
      <w:r w:rsidR="000A4D51">
        <w:rPr>
          <w:noProof/>
        </w:rPr>
        <w:t>3</w:t>
      </w:r>
      <w:r>
        <w:rPr>
          <w:noProof/>
        </w:rPr>
        <w:fldChar w:fldCharType="end"/>
      </w:r>
    </w:p>
    <w:p w14:paraId="51EE4559" w14:textId="77777777" w:rsidR="00B211D7" w:rsidRDefault="00B211D7">
      <w:pPr>
        <w:pStyle w:val="TOC2"/>
        <w:tabs>
          <w:tab w:val="left" w:pos="147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_Toc462049842 \h </w:instrText>
      </w:r>
      <w:r>
        <w:rPr>
          <w:noProof/>
        </w:rPr>
      </w:r>
      <w:r>
        <w:rPr>
          <w:noProof/>
        </w:rPr>
        <w:fldChar w:fldCharType="separate"/>
      </w:r>
      <w:r w:rsidR="000A4D51">
        <w:rPr>
          <w:noProof/>
        </w:rPr>
        <w:t>3</w:t>
      </w:r>
      <w:r>
        <w:rPr>
          <w:noProof/>
        </w:rPr>
        <w:fldChar w:fldCharType="end"/>
      </w:r>
    </w:p>
    <w:p w14:paraId="3CE754A7" w14:textId="77777777" w:rsidR="00B211D7" w:rsidRDefault="00B211D7">
      <w:pPr>
        <w:pStyle w:val="TOC2"/>
        <w:tabs>
          <w:tab w:val="left" w:pos="147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_Toc462049843 \h </w:instrText>
      </w:r>
      <w:r>
        <w:rPr>
          <w:noProof/>
        </w:rPr>
      </w:r>
      <w:r>
        <w:rPr>
          <w:noProof/>
        </w:rPr>
        <w:fldChar w:fldCharType="separate"/>
      </w:r>
      <w:r w:rsidR="000A4D51">
        <w:rPr>
          <w:noProof/>
        </w:rPr>
        <w:t>3</w:t>
      </w:r>
      <w:r>
        <w:rPr>
          <w:noProof/>
        </w:rPr>
        <w:fldChar w:fldCharType="end"/>
      </w:r>
    </w:p>
    <w:p w14:paraId="11A76509" w14:textId="77777777" w:rsidR="00B211D7" w:rsidRDefault="00B211D7">
      <w:pPr>
        <w:pStyle w:val="TOC2"/>
        <w:tabs>
          <w:tab w:val="left" w:pos="147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_Toc462049844 \h </w:instrText>
      </w:r>
      <w:r>
        <w:rPr>
          <w:noProof/>
        </w:rPr>
      </w:r>
      <w:r>
        <w:rPr>
          <w:noProof/>
        </w:rPr>
        <w:fldChar w:fldCharType="separate"/>
      </w:r>
      <w:r w:rsidR="000A4D51">
        <w:rPr>
          <w:noProof/>
        </w:rPr>
        <w:t>3</w:t>
      </w:r>
      <w:r>
        <w:rPr>
          <w:noProof/>
        </w:rPr>
        <w:fldChar w:fldCharType="end"/>
      </w:r>
    </w:p>
    <w:p w14:paraId="5DDBBFFE" w14:textId="77777777" w:rsidR="00B211D7" w:rsidRDefault="00B211D7">
      <w:pPr>
        <w:pStyle w:val="TOC1"/>
        <w:rPr>
          <w:rFonts w:asciiTheme="minorHAnsi" w:eastAsiaTheme="minorEastAsia" w:hAnsiTheme="minorHAnsi" w:cstheme="minorBidi"/>
          <w:b w:val="0"/>
          <w:noProof/>
          <w:kern w:val="0"/>
          <w:sz w:val="22"/>
          <w:szCs w:val="22"/>
        </w:rPr>
      </w:pPr>
      <w:r>
        <w:rPr>
          <w:noProof/>
        </w:rPr>
        <w:t>Part 2—Exemptions for management rights schemes</w:t>
      </w:r>
      <w:r>
        <w:rPr>
          <w:noProof/>
        </w:rPr>
        <w:tab/>
      </w:r>
      <w:r>
        <w:rPr>
          <w:noProof/>
        </w:rPr>
        <w:fldChar w:fldCharType="begin"/>
      </w:r>
      <w:r>
        <w:rPr>
          <w:noProof/>
        </w:rPr>
        <w:instrText xml:space="preserve"> PAGEREF _Toc462049845 \h </w:instrText>
      </w:r>
      <w:r>
        <w:rPr>
          <w:noProof/>
        </w:rPr>
      </w:r>
      <w:r>
        <w:rPr>
          <w:noProof/>
        </w:rPr>
        <w:fldChar w:fldCharType="separate"/>
      </w:r>
      <w:r w:rsidR="000A4D51">
        <w:rPr>
          <w:noProof/>
        </w:rPr>
        <w:t>6</w:t>
      </w:r>
      <w:r>
        <w:rPr>
          <w:noProof/>
        </w:rPr>
        <w:fldChar w:fldCharType="end"/>
      </w:r>
    </w:p>
    <w:p w14:paraId="5261562E" w14:textId="77777777" w:rsidR="00B211D7" w:rsidRDefault="00B211D7">
      <w:pPr>
        <w:pStyle w:val="TOC2"/>
        <w:tabs>
          <w:tab w:val="left" w:pos="147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Exemption for operators from requirement to register the scheme, hold a financial services licence and the share hawking provisions</w:t>
      </w:r>
      <w:r>
        <w:rPr>
          <w:noProof/>
        </w:rPr>
        <w:tab/>
      </w:r>
      <w:r>
        <w:rPr>
          <w:noProof/>
        </w:rPr>
        <w:fldChar w:fldCharType="begin"/>
      </w:r>
      <w:r>
        <w:rPr>
          <w:noProof/>
        </w:rPr>
        <w:instrText xml:space="preserve"> PAGEREF _Toc462049846 \h </w:instrText>
      </w:r>
      <w:r>
        <w:rPr>
          <w:noProof/>
        </w:rPr>
      </w:r>
      <w:r>
        <w:rPr>
          <w:noProof/>
        </w:rPr>
        <w:fldChar w:fldCharType="separate"/>
      </w:r>
      <w:r w:rsidR="000A4D51">
        <w:rPr>
          <w:noProof/>
        </w:rPr>
        <w:t>6</w:t>
      </w:r>
      <w:r>
        <w:rPr>
          <w:noProof/>
        </w:rPr>
        <w:fldChar w:fldCharType="end"/>
      </w:r>
    </w:p>
    <w:p w14:paraId="7B33F38E" w14:textId="77777777" w:rsidR="00B211D7" w:rsidRDefault="00B211D7">
      <w:pPr>
        <w:pStyle w:val="TOC2"/>
        <w:tabs>
          <w:tab w:val="left" w:pos="147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General conditions on operators other than promoter developers</w:t>
      </w:r>
      <w:r>
        <w:rPr>
          <w:noProof/>
        </w:rPr>
        <w:tab/>
      </w:r>
      <w:r>
        <w:rPr>
          <w:noProof/>
        </w:rPr>
        <w:fldChar w:fldCharType="begin"/>
      </w:r>
      <w:r>
        <w:rPr>
          <w:noProof/>
        </w:rPr>
        <w:instrText xml:space="preserve"> PAGEREF _Toc462049847 \h </w:instrText>
      </w:r>
      <w:r>
        <w:rPr>
          <w:noProof/>
        </w:rPr>
      </w:r>
      <w:r>
        <w:rPr>
          <w:noProof/>
        </w:rPr>
        <w:fldChar w:fldCharType="separate"/>
      </w:r>
      <w:r w:rsidR="000A4D51">
        <w:rPr>
          <w:noProof/>
        </w:rPr>
        <w:t>8</w:t>
      </w:r>
      <w:r>
        <w:rPr>
          <w:noProof/>
        </w:rPr>
        <w:fldChar w:fldCharType="end"/>
      </w:r>
    </w:p>
    <w:p w14:paraId="13138E6B" w14:textId="77777777" w:rsidR="00B211D7" w:rsidRDefault="00B211D7">
      <w:pPr>
        <w:pStyle w:val="TOC2"/>
        <w:tabs>
          <w:tab w:val="left" w:pos="147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Breach reporting condition for operators other than promoter developers</w:t>
      </w:r>
      <w:r>
        <w:rPr>
          <w:noProof/>
        </w:rPr>
        <w:tab/>
      </w:r>
      <w:r>
        <w:rPr>
          <w:noProof/>
        </w:rPr>
        <w:fldChar w:fldCharType="begin"/>
      </w:r>
      <w:r>
        <w:rPr>
          <w:noProof/>
        </w:rPr>
        <w:instrText xml:space="preserve"> PAGEREF _Toc462049848 \h </w:instrText>
      </w:r>
      <w:r>
        <w:rPr>
          <w:noProof/>
        </w:rPr>
      </w:r>
      <w:r>
        <w:rPr>
          <w:noProof/>
        </w:rPr>
        <w:fldChar w:fldCharType="separate"/>
      </w:r>
      <w:r w:rsidR="000A4D51">
        <w:rPr>
          <w:noProof/>
        </w:rPr>
        <w:t>9</w:t>
      </w:r>
      <w:r>
        <w:rPr>
          <w:noProof/>
        </w:rPr>
        <w:fldChar w:fldCharType="end"/>
      </w:r>
    </w:p>
    <w:p w14:paraId="704B4DD9" w14:textId="77777777" w:rsidR="00B211D7" w:rsidRDefault="00B211D7">
      <w:pPr>
        <w:pStyle w:val="TOC2"/>
        <w:tabs>
          <w:tab w:val="left" w:pos="147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Exemption for a real estate (selling) agent from the requirement to hold an Australian financial services licence</w:t>
      </w:r>
      <w:r>
        <w:rPr>
          <w:noProof/>
        </w:rPr>
        <w:tab/>
      </w:r>
      <w:r>
        <w:rPr>
          <w:noProof/>
        </w:rPr>
        <w:fldChar w:fldCharType="begin"/>
      </w:r>
      <w:r>
        <w:rPr>
          <w:noProof/>
        </w:rPr>
        <w:instrText xml:space="preserve"> PAGEREF _Toc462049849 \h </w:instrText>
      </w:r>
      <w:r>
        <w:rPr>
          <w:noProof/>
        </w:rPr>
      </w:r>
      <w:r>
        <w:rPr>
          <w:noProof/>
        </w:rPr>
        <w:fldChar w:fldCharType="separate"/>
      </w:r>
      <w:r w:rsidR="000A4D51">
        <w:rPr>
          <w:noProof/>
        </w:rPr>
        <w:t>10</w:t>
      </w:r>
      <w:r>
        <w:rPr>
          <w:noProof/>
        </w:rPr>
        <w:fldChar w:fldCharType="end"/>
      </w:r>
    </w:p>
    <w:p w14:paraId="13F679C4" w14:textId="77777777" w:rsidR="00B211D7" w:rsidRDefault="00B211D7">
      <w:pPr>
        <w:pStyle w:val="TOC2"/>
        <w:tabs>
          <w:tab w:val="left" w:pos="147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Exemption for other persons from the prohibition on hawking</w:t>
      </w:r>
      <w:r>
        <w:rPr>
          <w:noProof/>
        </w:rPr>
        <w:tab/>
      </w:r>
      <w:r>
        <w:rPr>
          <w:noProof/>
        </w:rPr>
        <w:fldChar w:fldCharType="begin"/>
      </w:r>
      <w:r>
        <w:rPr>
          <w:noProof/>
        </w:rPr>
        <w:instrText xml:space="preserve"> PAGEREF _Toc462049850 \h </w:instrText>
      </w:r>
      <w:r>
        <w:rPr>
          <w:noProof/>
        </w:rPr>
      </w:r>
      <w:r>
        <w:rPr>
          <w:noProof/>
        </w:rPr>
        <w:fldChar w:fldCharType="separate"/>
      </w:r>
      <w:r w:rsidR="000A4D51">
        <w:rPr>
          <w:noProof/>
        </w:rPr>
        <w:t>10</w:t>
      </w:r>
      <w:r>
        <w:rPr>
          <w:noProof/>
        </w:rPr>
        <w:fldChar w:fldCharType="end"/>
      </w:r>
    </w:p>
    <w:p w14:paraId="71AA1876" w14:textId="77777777" w:rsidR="00B211D7" w:rsidRDefault="00B211D7">
      <w:pPr>
        <w:pStyle w:val="TOC2"/>
        <w:tabs>
          <w:tab w:val="left" w:pos="147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Procedures for transferring management rights</w:t>
      </w:r>
      <w:r>
        <w:rPr>
          <w:noProof/>
        </w:rPr>
        <w:tab/>
      </w:r>
      <w:r>
        <w:rPr>
          <w:noProof/>
        </w:rPr>
        <w:fldChar w:fldCharType="begin"/>
      </w:r>
      <w:r>
        <w:rPr>
          <w:noProof/>
        </w:rPr>
        <w:instrText xml:space="preserve"> PAGEREF _Toc462049851 \h </w:instrText>
      </w:r>
      <w:r>
        <w:rPr>
          <w:noProof/>
        </w:rPr>
      </w:r>
      <w:r>
        <w:rPr>
          <w:noProof/>
        </w:rPr>
        <w:fldChar w:fldCharType="separate"/>
      </w:r>
      <w:r w:rsidR="000A4D51">
        <w:rPr>
          <w:noProof/>
        </w:rPr>
        <w:t>10</w:t>
      </w:r>
      <w:r>
        <w:rPr>
          <w:noProof/>
        </w:rPr>
        <w:fldChar w:fldCharType="end"/>
      </w:r>
    </w:p>
    <w:p w14:paraId="257952EA" w14:textId="77777777" w:rsidR="00B211D7" w:rsidRDefault="00B211D7">
      <w:pPr>
        <w:pStyle w:val="TOC1"/>
        <w:rPr>
          <w:rFonts w:asciiTheme="minorHAnsi" w:eastAsiaTheme="minorEastAsia" w:hAnsiTheme="minorHAnsi" w:cstheme="minorBidi"/>
          <w:b w:val="0"/>
          <w:noProof/>
          <w:kern w:val="0"/>
          <w:sz w:val="22"/>
          <w:szCs w:val="22"/>
        </w:rPr>
      </w:pPr>
      <w:r>
        <w:rPr>
          <w:noProof/>
        </w:rPr>
        <w:t>Part 3—Relief for registered schemes</w:t>
      </w:r>
      <w:r>
        <w:rPr>
          <w:noProof/>
        </w:rPr>
        <w:tab/>
      </w:r>
      <w:r>
        <w:rPr>
          <w:noProof/>
        </w:rPr>
        <w:fldChar w:fldCharType="begin"/>
      </w:r>
      <w:r>
        <w:rPr>
          <w:noProof/>
        </w:rPr>
        <w:instrText xml:space="preserve"> PAGEREF _Toc462049852 \h </w:instrText>
      </w:r>
      <w:r>
        <w:rPr>
          <w:noProof/>
        </w:rPr>
      </w:r>
      <w:r>
        <w:rPr>
          <w:noProof/>
        </w:rPr>
        <w:fldChar w:fldCharType="separate"/>
      </w:r>
      <w:r w:rsidR="000A4D51">
        <w:rPr>
          <w:noProof/>
        </w:rPr>
        <w:t>13</w:t>
      </w:r>
      <w:r>
        <w:rPr>
          <w:noProof/>
        </w:rPr>
        <w:fldChar w:fldCharType="end"/>
      </w:r>
    </w:p>
    <w:p w14:paraId="3A6EB226" w14:textId="77777777" w:rsidR="00B211D7" w:rsidRDefault="00B211D7">
      <w:pPr>
        <w:pStyle w:val="TOC2"/>
        <w:tabs>
          <w:tab w:val="left" w:pos="147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Valuation of property of registered serviced apartment schemes</w:t>
      </w:r>
      <w:r>
        <w:rPr>
          <w:noProof/>
        </w:rPr>
        <w:tab/>
      </w:r>
      <w:r>
        <w:rPr>
          <w:noProof/>
        </w:rPr>
        <w:fldChar w:fldCharType="begin"/>
      </w:r>
      <w:r>
        <w:rPr>
          <w:noProof/>
        </w:rPr>
        <w:instrText xml:space="preserve"> PAGEREF _Toc462049853 \h </w:instrText>
      </w:r>
      <w:r>
        <w:rPr>
          <w:noProof/>
        </w:rPr>
      </w:r>
      <w:r>
        <w:rPr>
          <w:noProof/>
        </w:rPr>
        <w:fldChar w:fldCharType="separate"/>
      </w:r>
      <w:r w:rsidR="000A4D51">
        <w:rPr>
          <w:noProof/>
        </w:rPr>
        <w:t>13</w:t>
      </w:r>
      <w:r>
        <w:rPr>
          <w:noProof/>
        </w:rPr>
        <w:fldChar w:fldCharType="end"/>
      </w:r>
    </w:p>
    <w:p w14:paraId="43B53F29" w14:textId="77777777" w:rsidR="00B211D7" w:rsidRDefault="00B211D7">
      <w:pPr>
        <w:pStyle w:val="TOC2"/>
        <w:tabs>
          <w:tab w:val="left" w:pos="1474"/>
        </w:tabs>
        <w:rPr>
          <w:rFonts w:asciiTheme="minorHAnsi" w:eastAsiaTheme="minorEastAsia" w:hAnsiTheme="minorHAnsi" w:cstheme="minorBidi"/>
          <w:noProof/>
          <w:kern w:val="0"/>
          <w:sz w:val="22"/>
          <w:szCs w:val="22"/>
        </w:rPr>
      </w:pPr>
      <w:r>
        <w:rPr>
          <w:noProof/>
        </w:rPr>
        <w:t>12</w:t>
      </w:r>
      <w:r>
        <w:rPr>
          <w:rFonts w:asciiTheme="minorHAnsi" w:eastAsiaTheme="minorEastAsia" w:hAnsiTheme="minorHAnsi" w:cstheme="minorBidi"/>
          <w:noProof/>
          <w:kern w:val="0"/>
          <w:sz w:val="22"/>
          <w:szCs w:val="22"/>
        </w:rPr>
        <w:tab/>
      </w:r>
      <w:r>
        <w:rPr>
          <w:noProof/>
        </w:rPr>
        <w:t>Consequential modification of compliance plan requirements</w:t>
      </w:r>
      <w:r>
        <w:rPr>
          <w:noProof/>
        </w:rPr>
        <w:tab/>
      </w:r>
      <w:r>
        <w:rPr>
          <w:noProof/>
        </w:rPr>
        <w:fldChar w:fldCharType="begin"/>
      </w:r>
      <w:r>
        <w:rPr>
          <w:noProof/>
        </w:rPr>
        <w:instrText xml:space="preserve"> PAGEREF _Toc462049854 \h </w:instrText>
      </w:r>
      <w:r>
        <w:rPr>
          <w:noProof/>
        </w:rPr>
      </w:r>
      <w:r>
        <w:rPr>
          <w:noProof/>
        </w:rPr>
        <w:fldChar w:fldCharType="separate"/>
      </w:r>
      <w:r w:rsidR="000A4D51">
        <w:rPr>
          <w:noProof/>
        </w:rPr>
        <w:t>13</w:t>
      </w:r>
      <w:r>
        <w:rPr>
          <w:noProof/>
        </w:rPr>
        <w:fldChar w:fldCharType="end"/>
      </w:r>
    </w:p>
    <w:p w14:paraId="1B44DC31" w14:textId="77777777" w:rsidR="00B211D7" w:rsidRDefault="00B211D7">
      <w:pPr>
        <w:pStyle w:val="TOC1"/>
        <w:rPr>
          <w:rFonts w:asciiTheme="minorHAnsi" w:eastAsiaTheme="minorEastAsia" w:hAnsiTheme="minorHAnsi" w:cstheme="minorBidi"/>
          <w:b w:val="0"/>
          <w:noProof/>
          <w:kern w:val="0"/>
          <w:sz w:val="22"/>
          <w:szCs w:val="22"/>
        </w:rPr>
      </w:pPr>
      <w:r>
        <w:rPr>
          <w:noProof/>
        </w:rPr>
        <w:t>Part 4—Relief for strata schemes</w:t>
      </w:r>
      <w:r>
        <w:rPr>
          <w:noProof/>
        </w:rPr>
        <w:tab/>
      </w:r>
      <w:r>
        <w:rPr>
          <w:noProof/>
        </w:rPr>
        <w:fldChar w:fldCharType="begin"/>
      </w:r>
      <w:r>
        <w:rPr>
          <w:noProof/>
        </w:rPr>
        <w:instrText xml:space="preserve"> PAGEREF _Toc462049855 \h </w:instrText>
      </w:r>
      <w:r>
        <w:rPr>
          <w:noProof/>
        </w:rPr>
      </w:r>
      <w:r>
        <w:rPr>
          <w:noProof/>
        </w:rPr>
        <w:fldChar w:fldCharType="separate"/>
      </w:r>
      <w:r w:rsidR="000A4D51">
        <w:rPr>
          <w:noProof/>
        </w:rPr>
        <w:t>14</w:t>
      </w:r>
      <w:r>
        <w:rPr>
          <w:noProof/>
        </w:rPr>
        <w:fldChar w:fldCharType="end"/>
      </w:r>
    </w:p>
    <w:p w14:paraId="3BC0048A" w14:textId="77777777" w:rsidR="00B211D7" w:rsidRDefault="00B211D7">
      <w:pPr>
        <w:pStyle w:val="TOC2"/>
        <w:tabs>
          <w:tab w:val="left" w:pos="1474"/>
        </w:tabs>
        <w:rPr>
          <w:rFonts w:asciiTheme="minorHAnsi" w:eastAsiaTheme="minorEastAsia" w:hAnsiTheme="minorHAnsi" w:cstheme="minorBidi"/>
          <w:noProof/>
          <w:kern w:val="0"/>
          <w:sz w:val="22"/>
          <w:szCs w:val="22"/>
        </w:rPr>
      </w:pPr>
      <w:r>
        <w:rPr>
          <w:noProof/>
        </w:rPr>
        <w:t>13</w:t>
      </w:r>
      <w:r>
        <w:rPr>
          <w:rFonts w:asciiTheme="minorHAnsi" w:eastAsiaTheme="minorEastAsia" w:hAnsiTheme="minorHAnsi" w:cstheme="minorBidi"/>
          <w:noProof/>
          <w:kern w:val="0"/>
          <w:sz w:val="22"/>
          <w:szCs w:val="22"/>
        </w:rPr>
        <w:tab/>
      </w:r>
      <w:r>
        <w:rPr>
          <w:noProof/>
        </w:rPr>
        <w:t>Strata scheme where all strata units acquired for at least $500,000</w:t>
      </w:r>
      <w:r>
        <w:rPr>
          <w:noProof/>
        </w:rPr>
        <w:tab/>
      </w:r>
      <w:r>
        <w:rPr>
          <w:noProof/>
        </w:rPr>
        <w:fldChar w:fldCharType="begin"/>
      </w:r>
      <w:r>
        <w:rPr>
          <w:noProof/>
        </w:rPr>
        <w:instrText xml:space="preserve"> PAGEREF _Toc462049856 \h </w:instrText>
      </w:r>
      <w:r>
        <w:rPr>
          <w:noProof/>
        </w:rPr>
      </w:r>
      <w:r>
        <w:rPr>
          <w:noProof/>
        </w:rPr>
        <w:fldChar w:fldCharType="separate"/>
      </w:r>
      <w:r w:rsidR="000A4D51">
        <w:rPr>
          <w:noProof/>
        </w:rPr>
        <w:t>14</w:t>
      </w:r>
      <w:r>
        <w:rPr>
          <w:noProof/>
        </w:rPr>
        <w:fldChar w:fldCharType="end"/>
      </w:r>
    </w:p>
    <w:p w14:paraId="507AF993" w14:textId="77777777" w:rsidR="00B211D7" w:rsidRDefault="00B211D7">
      <w:pPr>
        <w:pStyle w:val="TOC1"/>
        <w:rPr>
          <w:rFonts w:asciiTheme="minorHAnsi" w:eastAsiaTheme="minorEastAsia" w:hAnsiTheme="minorHAnsi" w:cstheme="minorBidi"/>
          <w:b w:val="0"/>
          <w:noProof/>
          <w:kern w:val="0"/>
          <w:sz w:val="22"/>
          <w:szCs w:val="22"/>
        </w:rPr>
      </w:pPr>
      <w:r>
        <w:rPr>
          <w:noProof/>
        </w:rPr>
        <w:t>Part 5—Transitional</w:t>
      </w:r>
      <w:r>
        <w:rPr>
          <w:noProof/>
        </w:rPr>
        <w:tab/>
      </w:r>
      <w:r>
        <w:rPr>
          <w:noProof/>
        </w:rPr>
        <w:fldChar w:fldCharType="begin"/>
      </w:r>
      <w:r>
        <w:rPr>
          <w:noProof/>
        </w:rPr>
        <w:instrText xml:space="preserve"> PAGEREF _Toc462049857 \h </w:instrText>
      </w:r>
      <w:r>
        <w:rPr>
          <w:noProof/>
        </w:rPr>
      </w:r>
      <w:r>
        <w:rPr>
          <w:noProof/>
        </w:rPr>
        <w:fldChar w:fldCharType="separate"/>
      </w:r>
      <w:r w:rsidR="000A4D51">
        <w:rPr>
          <w:noProof/>
        </w:rPr>
        <w:t>16</w:t>
      </w:r>
      <w:r>
        <w:rPr>
          <w:noProof/>
        </w:rPr>
        <w:fldChar w:fldCharType="end"/>
      </w:r>
    </w:p>
    <w:p w14:paraId="18C55545" w14:textId="77777777" w:rsidR="00B211D7" w:rsidRDefault="00B211D7">
      <w:pPr>
        <w:pStyle w:val="TOC2"/>
        <w:tabs>
          <w:tab w:val="left" w:pos="1474"/>
        </w:tabs>
        <w:rPr>
          <w:rFonts w:asciiTheme="minorHAnsi" w:eastAsiaTheme="minorEastAsia" w:hAnsiTheme="minorHAnsi" w:cstheme="minorBidi"/>
          <w:noProof/>
          <w:kern w:val="0"/>
          <w:sz w:val="22"/>
          <w:szCs w:val="22"/>
        </w:rPr>
      </w:pPr>
      <w:r>
        <w:rPr>
          <w:noProof/>
        </w:rPr>
        <w:t>14</w:t>
      </w:r>
      <w:r>
        <w:rPr>
          <w:rFonts w:asciiTheme="minorHAnsi" w:eastAsiaTheme="minorEastAsia" w:hAnsiTheme="minorHAnsi" w:cstheme="minorBidi"/>
          <w:noProof/>
          <w:kern w:val="0"/>
          <w:sz w:val="22"/>
          <w:szCs w:val="22"/>
        </w:rPr>
        <w:tab/>
      </w:r>
      <w:r>
        <w:rPr>
          <w:noProof/>
        </w:rPr>
        <w:t>Schemes covered by ASIC Class Orders [CO 02/245], [CO 02/303] and [CO 02/304]</w:t>
      </w:r>
      <w:r>
        <w:rPr>
          <w:noProof/>
        </w:rPr>
        <w:tab/>
      </w:r>
      <w:r>
        <w:rPr>
          <w:noProof/>
        </w:rPr>
        <w:fldChar w:fldCharType="begin"/>
      </w:r>
      <w:r>
        <w:rPr>
          <w:noProof/>
        </w:rPr>
        <w:instrText xml:space="preserve"> PAGEREF _Toc462049858 \h </w:instrText>
      </w:r>
      <w:r>
        <w:rPr>
          <w:noProof/>
        </w:rPr>
      </w:r>
      <w:r>
        <w:rPr>
          <w:noProof/>
        </w:rPr>
        <w:fldChar w:fldCharType="separate"/>
      </w:r>
      <w:r w:rsidR="000A4D51">
        <w:rPr>
          <w:noProof/>
        </w:rPr>
        <w:t>16</w:t>
      </w:r>
      <w:r>
        <w:rPr>
          <w:noProof/>
        </w:rPr>
        <w:fldChar w:fldCharType="end"/>
      </w:r>
    </w:p>
    <w:p w14:paraId="6564FBE0" w14:textId="77777777" w:rsidR="00B211D7" w:rsidRDefault="00B211D7">
      <w:pPr>
        <w:pStyle w:val="TOC2"/>
        <w:tabs>
          <w:tab w:val="left" w:pos="1474"/>
        </w:tabs>
        <w:rPr>
          <w:rFonts w:asciiTheme="minorHAnsi" w:eastAsiaTheme="minorEastAsia" w:hAnsiTheme="minorHAnsi" w:cstheme="minorBidi"/>
          <w:noProof/>
          <w:kern w:val="0"/>
          <w:sz w:val="22"/>
          <w:szCs w:val="22"/>
        </w:rPr>
      </w:pPr>
      <w:r>
        <w:rPr>
          <w:noProof/>
        </w:rPr>
        <w:t>15</w:t>
      </w:r>
      <w:r>
        <w:rPr>
          <w:rFonts w:asciiTheme="minorHAnsi" w:eastAsiaTheme="minorEastAsia" w:hAnsiTheme="minorHAnsi" w:cstheme="minorBidi"/>
          <w:noProof/>
          <w:kern w:val="0"/>
          <w:sz w:val="22"/>
          <w:szCs w:val="22"/>
        </w:rPr>
        <w:tab/>
      </w:r>
      <w:r>
        <w:rPr>
          <w:noProof/>
        </w:rPr>
        <w:t>Schemes covered by ASIC Class Order [CO 07/189]</w:t>
      </w:r>
      <w:r>
        <w:rPr>
          <w:noProof/>
        </w:rPr>
        <w:tab/>
      </w:r>
      <w:r>
        <w:rPr>
          <w:noProof/>
        </w:rPr>
        <w:fldChar w:fldCharType="begin"/>
      </w:r>
      <w:r>
        <w:rPr>
          <w:noProof/>
        </w:rPr>
        <w:instrText xml:space="preserve"> PAGEREF _Toc462049859 \h </w:instrText>
      </w:r>
      <w:r>
        <w:rPr>
          <w:noProof/>
        </w:rPr>
      </w:r>
      <w:r>
        <w:rPr>
          <w:noProof/>
        </w:rPr>
        <w:fldChar w:fldCharType="separate"/>
      </w:r>
      <w:r w:rsidR="000A4D51">
        <w:rPr>
          <w:noProof/>
        </w:rPr>
        <w:t>16</w:t>
      </w:r>
      <w:r>
        <w:rPr>
          <w:noProof/>
        </w:rPr>
        <w:fldChar w:fldCharType="end"/>
      </w:r>
    </w:p>
    <w:p w14:paraId="6E1FA8F9" w14:textId="77777777" w:rsidR="00B211D7" w:rsidRDefault="00B211D7">
      <w:pPr>
        <w:pStyle w:val="TOC2"/>
        <w:tabs>
          <w:tab w:val="left" w:pos="1474"/>
        </w:tabs>
        <w:rPr>
          <w:rFonts w:asciiTheme="minorHAnsi" w:eastAsiaTheme="minorEastAsia" w:hAnsiTheme="minorHAnsi" w:cstheme="minorBidi"/>
          <w:noProof/>
          <w:kern w:val="0"/>
          <w:sz w:val="22"/>
          <w:szCs w:val="22"/>
        </w:rPr>
      </w:pPr>
      <w:r>
        <w:rPr>
          <w:noProof/>
        </w:rPr>
        <w:t>16</w:t>
      </w:r>
      <w:r>
        <w:rPr>
          <w:rFonts w:asciiTheme="minorHAnsi" w:eastAsiaTheme="minorEastAsia" w:hAnsiTheme="minorHAnsi" w:cstheme="minorBidi"/>
          <w:noProof/>
          <w:kern w:val="0"/>
          <w:sz w:val="22"/>
          <w:szCs w:val="22"/>
        </w:rPr>
        <w:tab/>
      </w:r>
      <w:r>
        <w:rPr>
          <w:noProof/>
        </w:rPr>
        <w:t>Schemes covered by ASIC Pro Forma 186</w:t>
      </w:r>
      <w:r>
        <w:rPr>
          <w:noProof/>
        </w:rPr>
        <w:tab/>
      </w:r>
      <w:r>
        <w:rPr>
          <w:noProof/>
        </w:rPr>
        <w:fldChar w:fldCharType="begin"/>
      </w:r>
      <w:r>
        <w:rPr>
          <w:noProof/>
        </w:rPr>
        <w:instrText xml:space="preserve"> PAGEREF _Toc462049860 \h </w:instrText>
      </w:r>
      <w:r>
        <w:rPr>
          <w:noProof/>
        </w:rPr>
      </w:r>
      <w:r>
        <w:rPr>
          <w:noProof/>
        </w:rPr>
        <w:fldChar w:fldCharType="separate"/>
      </w:r>
      <w:r w:rsidR="000A4D51">
        <w:rPr>
          <w:noProof/>
        </w:rPr>
        <w:t>16</w:t>
      </w:r>
      <w:r>
        <w:rPr>
          <w:noProof/>
        </w:rPr>
        <w:fldChar w:fldCharType="end"/>
      </w:r>
    </w:p>
    <w:p w14:paraId="083B9066" w14:textId="77777777" w:rsidR="00670EA1" w:rsidRPr="002C4FE0" w:rsidRDefault="008945E0" w:rsidP="00715914">
      <w:pPr>
        <w:rPr>
          <w:sz w:val="24"/>
          <w:szCs w:val="24"/>
        </w:rPr>
      </w:pPr>
      <w:r w:rsidRPr="002C4FE0">
        <w:rPr>
          <w:rFonts w:eastAsia="Times New Roman"/>
          <w:b/>
          <w:kern w:val="28"/>
          <w:sz w:val="24"/>
          <w:szCs w:val="24"/>
          <w:lang w:eastAsia="en-AU"/>
        </w:rPr>
        <w:fldChar w:fldCharType="end"/>
      </w:r>
    </w:p>
    <w:p w14:paraId="701F3D05" w14:textId="77777777" w:rsidR="00670EA1" w:rsidRPr="002C4FE0" w:rsidRDefault="00670EA1" w:rsidP="00715914">
      <w:pPr>
        <w:rPr>
          <w:sz w:val="24"/>
          <w:szCs w:val="24"/>
        </w:rPr>
        <w:sectPr w:rsidR="00670EA1" w:rsidRPr="002C4FE0" w:rsidSect="00F4215A">
          <w:headerReference w:type="even" r:id="rId19"/>
          <w:headerReference w:type="default" r:id="rId20"/>
          <w:footerReference w:type="even" r:id="rId21"/>
          <w:footerReference w:type="default" r:id="rId22"/>
          <w:headerReference w:type="first" r:id="rId23"/>
          <w:pgSz w:w="11907" w:h="16839"/>
          <w:pgMar w:top="1098" w:right="1797" w:bottom="1440" w:left="1797" w:header="720" w:footer="709" w:gutter="0"/>
          <w:pgNumType w:fmt="lowerRoman"/>
          <w:cols w:space="708"/>
          <w:docGrid w:linePitch="360"/>
        </w:sectPr>
      </w:pPr>
    </w:p>
    <w:p w14:paraId="7974C9D8" w14:textId="77777777" w:rsidR="00FA31DE" w:rsidRPr="002C4FE0" w:rsidRDefault="00FA31DE" w:rsidP="007A2BA1">
      <w:pPr>
        <w:pStyle w:val="LI-Heading1"/>
      </w:pPr>
      <w:bookmarkStart w:id="3" w:name="BK_S3P1L1C1"/>
      <w:bookmarkStart w:id="4" w:name="_Toc462049840"/>
      <w:bookmarkEnd w:id="3"/>
      <w:r w:rsidRPr="002C4FE0">
        <w:lastRenderedPageBreak/>
        <w:t>Part</w:t>
      </w:r>
      <w:r w:rsidR="00F61B09" w:rsidRPr="002C4FE0">
        <w:t> </w:t>
      </w:r>
      <w:r w:rsidRPr="002C4FE0">
        <w:t>1—</w:t>
      </w:r>
      <w:r w:rsidRPr="00532340">
        <w:t>Preliminary</w:t>
      </w:r>
      <w:bookmarkEnd w:id="4"/>
    </w:p>
    <w:p w14:paraId="10706C5E" w14:textId="77777777" w:rsidR="00FA31DE" w:rsidRPr="002C4FE0" w:rsidRDefault="00FA31DE" w:rsidP="00C11452">
      <w:pPr>
        <w:pStyle w:val="LI-Heading2"/>
        <w:rPr>
          <w:szCs w:val="24"/>
        </w:rPr>
      </w:pPr>
      <w:bookmarkStart w:id="5" w:name="_Toc462049841"/>
      <w:r w:rsidRPr="002C4FE0">
        <w:rPr>
          <w:szCs w:val="24"/>
        </w:rPr>
        <w:t>1</w:t>
      </w:r>
      <w:r w:rsidR="00FC3EB8" w:rsidRPr="002C4FE0">
        <w:rPr>
          <w:szCs w:val="24"/>
        </w:rPr>
        <w:tab/>
      </w:r>
      <w:r w:rsidRPr="002C4FE0">
        <w:rPr>
          <w:szCs w:val="24"/>
        </w:rPr>
        <w:t xml:space="preserve">Name of </w:t>
      </w:r>
      <w:r w:rsidR="008C0F29" w:rsidRPr="002C4FE0">
        <w:rPr>
          <w:szCs w:val="24"/>
        </w:rPr>
        <w:t>legislative instrument</w:t>
      </w:r>
      <w:bookmarkEnd w:id="5"/>
    </w:p>
    <w:p w14:paraId="43FA003B" w14:textId="37E5657D" w:rsidR="00FA31DE" w:rsidRPr="002C4FE0" w:rsidRDefault="00FA31DE" w:rsidP="00005446">
      <w:pPr>
        <w:pStyle w:val="LI-BodyTextUnnumbered"/>
        <w:rPr>
          <w:szCs w:val="24"/>
        </w:rPr>
      </w:pPr>
      <w:r w:rsidRPr="002C4FE0">
        <w:rPr>
          <w:szCs w:val="24"/>
        </w:rPr>
        <w:t xml:space="preserve">This </w:t>
      </w:r>
      <w:r w:rsidR="000F0BCD">
        <w:rPr>
          <w:szCs w:val="24"/>
        </w:rPr>
        <w:t xml:space="preserve">is </w:t>
      </w:r>
      <w:r w:rsidR="00CF36D9">
        <w:rPr>
          <w:szCs w:val="24"/>
        </w:rPr>
        <w:t>the</w:t>
      </w:r>
      <w:r w:rsidR="008C0F29" w:rsidRPr="002C4FE0">
        <w:rPr>
          <w:szCs w:val="24"/>
        </w:rPr>
        <w:t xml:space="preserve"> </w:t>
      </w:r>
      <w:r w:rsidR="008C0F29" w:rsidRPr="002C4FE0">
        <w:rPr>
          <w:i/>
          <w:szCs w:val="24"/>
        </w:rPr>
        <w:t>A</w:t>
      </w:r>
      <w:r w:rsidR="00327DDF" w:rsidRPr="002C4FE0">
        <w:rPr>
          <w:i/>
          <w:szCs w:val="24"/>
        </w:rPr>
        <w:t xml:space="preserve">SIC </w:t>
      </w:r>
      <w:r w:rsidR="00CF36D9">
        <w:rPr>
          <w:i/>
          <w:szCs w:val="24"/>
        </w:rPr>
        <w:t>Corporations (</w:t>
      </w:r>
      <w:r w:rsidR="007975C2">
        <w:rPr>
          <w:i/>
          <w:szCs w:val="24"/>
        </w:rPr>
        <w:t xml:space="preserve">Serviced </w:t>
      </w:r>
      <w:r w:rsidR="00370BC4">
        <w:rPr>
          <w:i/>
          <w:szCs w:val="24"/>
        </w:rPr>
        <w:t>A</w:t>
      </w:r>
      <w:r w:rsidR="007975C2">
        <w:rPr>
          <w:i/>
          <w:szCs w:val="24"/>
        </w:rPr>
        <w:t xml:space="preserve">partment and </w:t>
      </w:r>
      <w:r w:rsidR="00370BC4">
        <w:rPr>
          <w:i/>
          <w:szCs w:val="24"/>
        </w:rPr>
        <w:t>L</w:t>
      </w:r>
      <w:r w:rsidR="007975C2">
        <w:rPr>
          <w:i/>
          <w:szCs w:val="24"/>
        </w:rPr>
        <w:t xml:space="preserve">ike </w:t>
      </w:r>
      <w:r w:rsidR="00370BC4">
        <w:rPr>
          <w:i/>
          <w:szCs w:val="24"/>
        </w:rPr>
        <w:t>S</w:t>
      </w:r>
      <w:r w:rsidR="007975C2">
        <w:rPr>
          <w:i/>
          <w:szCs w:val="24"/>
        </w:rPr>
        <w:t>chemes</w:t>
      </w:r>
      <w:r w:rsidR="00CF36D9">
        <w:rPr>
          <w:i/>
          <w:szCs w:val="24"/>
        </w:rPr>
        <w:t>)</w:t>
      </w:r>
      <w:r w:rsidR="00610CEB" w:rsidRPr="002C4FE0">
        <w:rPr>
          <w:i/>
          <w:szCs w:val="24"/>
        </w:rPr>
        <w:t xml:space="preserve"> </w:t>
      </w:r>
      <w:r w:rsidR="00C11452" w:rsidRPr="002C4FE0">
        <w:rPr>
          <w:i/>
          <w:szCs w:val="24"/>
        </w:rPr>
        <w:t>Instrument</w:t>
      </w:r>
      <w:r w:rsidR="00A14E5E" w:rsidRPr="002C4FE0">
        <w:rPr>
          <w:i/>
          <w:szCs w:val="24"/>
        </w:rPr>
        <w:t xml:space="preserve"> 201</w:t>
      </w:r>
      <w:r w:rsidR="00532340">
        <w:rPr>
          <w:i/>
          <w:szCs w:val="24"/>
        </w:rPr>
        <w:t>6</w:t>
      </w:r>
      <w:r w:rsidR="00183638">
        <w:rPr>
          <w:i/>
          <w:szCs w:val="24"/>
        </w:rPr>
        <w:t>/</w:t>
      </w:r>
      <w:r w:rsidR="007626F5">
        <w:rPr>
          <w:i/>
          <w:szCs w:val="24"/>
        </w:rPr>
        <w:t>869</w:t>
      </w:r>
      <w:r w:rsidRPr="002C4FE0">
        <w:rPr>
          <w:szCs w:val="24"/>
        </w:rPr>
        <w:t>.</w:t>
      </w:r>
    </w:p>
    <w:p w14:paraId="68E7A61B" w14:textId="77777777" w:rsidR="00FA31DE" w:rsidRPr="002C4FE0" w:rsidRDefault="00FA31DE" w:rsidP="00C11452">
      <w:pPr>
        <w:pStyle w:val="LI-Heading2"/>
        <w:rPr>
          <w:szCs w:val="24"/>
        </w:rPr>
      </w:pPr>
      <w:bookmarkStart w:id="6" w:name="_Toc462049842"/>
      <w:r w:rsidRPr="002C4FE0">
        <w:rPr>
          <w:szCs w:val="24"/>
        </w:rPr>
        <w:t>2</w:t>
      </w:r>
      <w:r w:rsidR="00FC3EB8" w:rsidRPr="002C4FE0">
        <w:rPr>
          <w:szCs w:val="24"/>
        </w:rPr>
        <w:tab/>
      </w:r>
      <w:r w:rsidRPr="002C4FE0">
        <w:rPr>
          <w:szCs w:val="24"/>
        </w:rPr>
        <w:t>Commencement</w:t>
      </w:r>
      <w:bookmarkEnd w:id="6"/>
    </w:p>
    <w:p w14:paraId="19DC4F60" w14:textId="45BC1D6A" w:rsidR="0015436B" w:rsidRPr="001E5EC7" w:rsidRDefault="00FA31DE" w:rsidP="00183638">
      <w:pPr>
        <w:pStyle w:val="LI-BodyTextUnnumbered"/>
      </w:pPr>
      <w:r w:rsidRPr="002C4FE0">
        <w:rPr>
          <w:szCs w:val="24"/>
        </w:rPr>
        <w:t xml:space="preserve">This </w:t>
      </w:r>
      <w:r w:rsidR="008C0F29" w:rsidRPr="002C4FE0">
        <w:rPr>
          <w:szCs w:val="24"/>
        </w:rPr>
        <w:t>instrument</w:t>
      </w:r>
      <w:r w:rsidR="00183638">
        <w:rPr>
          <w:szCs w:val="24"/>
        </w:rPr>
        <w:t xml:space="preserve"> commences </w:t>
      </w:r>
      <w:r w:rsidR="00A07DAD">
        <w:rPr>
          <w:szCs w:val="24"/>
        </w:rPr>
        <w:t xml:space="preserve">at the same time as </w:t>
      </w:r>
      <w:r w:rsidR="00A07DAD" w:rsidRPr="009956D9">
        <w:rPr>
          <w:szCs w:val="24"/>
        </w:rPr>
        <w:t>the commencement of the</w:t>
      </w:r>
      <w:r w:rsidR="00A07DAD" w:rsidRPr="009956D9">
        <w:t xml:space="preserve"> </w:t>
      </w:r>
      <w:r w:rsidR="00A07DAD" w:rsidRPr="009956D9">
        <w:rPr>
          <w:i/>
        </w:rPr>
        <w:t>ASIC Corporations (Repeal) Instrument 2016/</w:t>
      </w:r>
      <w:r w:rsidR="007626F5">
        <w:rPr>
          <w:i/>
        </w:rPr>
        <w:t>898</w:t>
      </w:r>
      <w:r w:rsidR="00A07DAD" w:rsidRPr="009956D9">
        <w:t>.</w:t>
      </w:r>
    </w:p>
    <w:p w14:paraId="33DDC921" w14:textId="56B08C1D" w:rsidR="00FA31DE" w:rsidRPr="00CF36D9" w:rsidRDefault="00FA31DE" w:rsidP="00CF36D9">
      <w:pPr>
        <w:pStyle w:val="LI-BodyTextNote"/>
      </w:pPr>
      <w:r w:rsidRPr="002C4FE0">
        <w:t>Note:</w:t>
      </w:r>
      <w:r w:rsidRPr="002C4FE0">
        <w:tab/>
      </w:r>
      <w:r w:rsidR="004823C0" w:rsidRPr="002C4FE0">
        <w:t xml:space="preserve">The register may be </w:t>
      </w:r>
      <w:r w:rsidR="004823C0" w:rsidRPr="000A1B0B">
        <w:t>accessed</w:t>
      </w:r>
      <w:r w:rsidR="004823C0" w:rsidRPr="002C4FE0">
        <w:t xml:space="preserve"> </w:t>
      </w:r>
      <w:r w:rsidR="004823C0" w:rsidRPr="00CF36D9">
        <w:t xml:space="preserve">at </w:t>
      </w:r>
      <w:hyperlink r:id="rId24" w:history="1">
        <w:r w:rsidR="00A86CE8" w:rsidRPr="008B4C0E">
          <w:rPr>
            <w:rStyle w:val="Hyperlink"/>
          </w:rPr>
          <w:t>www.legislation.gov.au</w:t>
        </w:r>
      </w:hyperlink>
      <w:r w:rsidR="004823C0" w:rsidRPr="00CF36D9">
        <w:t>.</w:t>
      </w:r>
    </w:p>
    <w:p w14:paraId="5E79B3C1" w14:textId="77777777" w:rsidR="00FA31DE" w:rsidRPr="002C4FE0" w:rsidRDefault="00FA31DE" w:rsidP="00EC4757">
      <w:pPr>
        <w:pStyle w:val="LI-Heading2"/>
        <w:spacing w:before="240"/>
        <w:rPr>
          <w:szCs w:val="24"/>
        </w:rPr>
      </w:pPr>
      <w:bookmarkStart w:id="7" w:name="_Toc462049843"/>
      <w:r w:rsidRPr="002C4FE0">
        <w:rPr>
          <w:szCs w:val="24"/>
        </w:rPr>
        <w:t>3</w:t>
      </w:r>
      <w:r w:rsidR="00FC3EB8" w:rsidRPr="002C4FE0">
        <w:rPr>
          <w:szCs w:val="24"/>
        </w:rPr>
        <w:tab/>
      </w:r>
      <w:r w:rsidRPr="002C4FE0">
        <w:rPr>
          <w:szCs w:val="24"/>
        </w:rPr>
        <w:t>Authority</w:t>
      </w:r>
      <w:bookmarkEnd w:id="7"/>
    </w:p>
    <w:p w14:paraId="7DF1D8DD" w14:textId="5EC84B7B" w:rsidR="00FA31DE" w:rsidRPr="002C4FE0" w:rsidRDefault="00FA31DE" w:rsidP="00EC4757">
      <w:pPr>
        <w:pStyle w:val="LI-BodyTextUnnumbered"/>
        <w:rPr>
          <w:szCs w:val="24"/>
        </w:rPr>
      </w:pPr>
      <w:r w:rsidRPr="002C4FE0">
        <w:rPr>
          <w:szCs w:val="24"/>
        </w:rPr>
        <w:t xml:space="preserve">This </w:t>
      </w:r>
      <w:r w:rsidR="008C0F29" w:rsidRPr="002C4FE0">
        <w:rPr>
          <w:szCs w:val="24"/>
        </w:rPr>
        <w:t xml:space="preserve">instrument </w:t>
      </w:r>
      <w:r w:rsidRPr="002C4FE0">
        <w:rPr>
          <w:szCs w:val="24"/>
        </w:rPr>
        <w:t xml:space="preserve">is made under </w:t>
      </w:r>
      <w:r w:rsidR="00982B18">
        <w:rPr>
          <w:szCs w:val="24"/>
        </w:rPr>
        <w:t>subsection</w:t>
      </w:r>
      <w:r w:rsidR="00302A39">
        <w:rPr>
          <w:szCs w:val="24"/>
        </w:rPr>
        <w:t>s</w:t>
      </w:r>
      <w:r w:rsidR="00CF36D9" w:rsidRPr="002C4FE0">
        <w:rPr>
          <w:szCs w:val="24"/>
        </w:rPr>
        <w:t xml:space="preserve"> </w:t>
      </w:r>
      <w:proofErr w:type="gramStart"/>
      <w:r w:rsidR="00982B18">
        <w:rPr>
          <w:szCs w:val="24"/>
        </w:rPr>
        <w:t>601QA(</w:t>
      </w:r>
      <w:proofErr w:type="gramEnd"/>
      <w:r w:rsidR="00982B18">
        <w:rPr>
          <w:szCs w:val="24"/>
        </w:rPr>
        <w:t>1)</w:t>
      </w:r>
      <w:r w:rsidR="00704341">
        <w:rPr>
          <w:szCs w:val="24"/>
        </w:rPr>
        <w:t>,</w:t>
      </w:r>
      <w:r w:rsidR="00982B18">
        <w:rPr>
          <w:szCs w:val="24"/>
        </w:rPr>
        <w:t xml:space="preserve"> </w:t>
      </w:r>
      <w:r w:rsidR="000D74E4" w:rsidRPr="002C4FE0">
        <w:rPr>
          <w:szCs w:val="24"/>
        </w:rPr>
        <w:t>9</w:t>
      </w:r>
      <w:r w:rsidR="000D74E4">
        <w:rPr>
          <w:szCs w:val="24"/>
        </w:rPr>
        <w:t>26</w:t>
      </w:r>
      <w:r w:rsidR="000D74E4" w:rsidRPr="002C4FE0">
        <w:rPr>
          <w:szCs w:val="24"/>
        </w:rPr>
        <w:t>A</w:t>
      </w:r>
      <w:r w:rsidR="00610CEB" w:rsidRPr="002C4FE0">
        <w:rPr>
          <w:szCs w:val="24"/>
        </w:rPr>
        <w:t>(2)</w:t>
      </w:r>
      <w:r w:rsidR="007A2BA1">
        <w:rPr>
          <w:szCs w:val="24"/>
        </w:rPr>
        <w:t>, 951B(1),</w:t>
      </w:r>
      <w:r w:rsidR="00610CEB" w:rsidRPr="002C4FE0">
        <w:rPr>
          <w:szCs w:val="24"/>
        </w:rPr>
        <w:t xml:space="preserve"> 992B</w:t>
      </w:r>
      <w:r w:rsidR="00A14E5E" w:rsidRPr="002C4FE0">
        <w:rPr>
          <w:szCs w:val="24"/>
        </w:rPr>
        <w:t>(1)</w:t>
      </w:r>
      <w:r w:rsidR="007A2BA1">
        <w:rPr>
          <w:szCs w:val="24"/>
        </w:rPr>
        <w:t xml:space="preserve"> and 1020F(1)</w:t>
      </w:r>
      <w:r w:rsidR="00A14E5E" w:rsidRPr="002C4FE0">
        <w:rPr>
          <w:szCs w:val="24"/>
        </w:rPr>
        <w:t xml:space="preserve"> of the </w:t>
      </w:r>
      <w:r w:rsidR="00A14E5E" w:rsidRPr="002C4FE0">
        <w:rPr>
          <w:i/>
          <w:szCs w:val="24"/>
        </w:rPr>
        <w:t>Corporations Act 2001</w:t>
      </w:r>
      <w:r w:rsidR="0015436B">
        <w:rPr>
          <w:szCs w:val="24"/>
        </w:rPr>
        <w:t>.</w:t>
      </w:r>
    </w:p>
    <w:p w14:paraId="421989C0" w14:textId="77777777" w:rsidR="00FA31DE" w:rsidRPr="002C4FE0" w:rsidRDefault="008C0F29" w:rsidP="00EC4757">
      <w:pPr>
        <w:pStyle w:val="LI-Heading2"/>
        <w:spacing w:before="240"/>
        <w:rPr>
          <w:szCs w:val="24"/>
        </w:rPr>
      </w:pPr>
      <w:bookmarkStart w:id="8" w:name="_Toc462049844"/>
      <w:r w:rsidRPr="002C4FE0">
        <w:rPr>
          <w:szCs w:val="24"/>
        </w:rPr>
        <w:t>4</w:t>
      </w:r>
      <w:r w:rsidR="00FC3EB8" w:rsidRPr="002C4FE0">
        <w:rPr>
          <w:szCs w:val="24"/>
        </w:rPr>
        <w:tab/>
      </w:r>
      <w:r w:rsidR="00FA31DE" w:rsidRPr="002C4FE0">
        <w:rPr>
          <w:szCs w:val="24"/>
        </w:rPr>
        <w:t>Definitions</w:t>
      </w:r>
      <w:bookmarkEnd w:id="8"/>
    </w:p>
    <w:p w14:paraId="68C66124" w14:textId="77777777" w:rsidR="00CF36D9" w:rsidRDefault="00CF36D9" w:rsidP="000A1B0B">
      <w:pPr>
        <w:pStyle w:val="LI-BodyTextUnnumbered"/>
      </w:pPr>
      <w:r w:rsidRPr="000A1B0B">
        <w:rPr>
          <w:b/>
          <w:i/>
        </w:rPr>
        <w:t>Act</w:t>
      </w:r>
      <w:r>
        <w:t xml:space="preserve"> means </w:t>
      </w:r>
      <w:r w:rsidRPr="000A1B0B">
        <w:rPr>
          <w:i/>
        </w:rPr>
        <w:t>Corporations Act 2001</w:t>
      </w:r>
      <w:r>
        <w:t>.</w:t>
      </w:r>
    </w:p>
    <w:p w14:paraId="40DEFB76" w14:textId="77777777" w:rsidR="00D00986" w:rsidRPr="0005198B" w:rsidRDefault="00D00986" w:rsidP="000A1B0B">
      <w:pPr>
        <w:pStyle w:val="LI-BodyTextUnnumbered"/>
      </w:pPr>
      <w:proofErr w:type="gramStart"/>
      <w:r w:rsidRPr="000A1B0B">
        <w:rPr>
          <w:b/>
          <w:i/>
          <w:szCs w:val="18"/>
        </w:rPr>
        <w:t>excluded</w:t>
      </w:r>
      <w:proofErr w:type="gramEnd"/>
      <w:r w:rsidRPr="000A1B0B">
        <w:rPr>
          <w:b/>
          <w:i/>
          <w:szCs w:val="18"/>
        </w:rPr>
        <w:t xml:space="preserve"> person</w:t>
      </w:r>
      <w:r w:rsidRPr="00064E93">
        <w:rPr>
          <w:szCs w:val="18"/>
        </w:rPr>
        <w:t xml:space="preserve"> means a person who has been notified in writing by ASIC </w:t>
      </w:r>
      <w:r w:rsidRPr="00BC0251">
        <w:t>that the person is excluded from relying on this instrument and that notice has not been withdrawn</w:t>
      </w:r>
      <w:r w:rsidR="00BC0251" w:rsidRPr="002F4846">
        <w:t>.</w:t>
      </w:r>
    </w:p>
    <w:p w14:paraId="4561C139" w14:textId="77777777" w:rsidR="00D00986" w:rsidRPr="002F4846" w:rsidRDefault="00D00986" w:rsidP="000A1B0B">
      <w:pPr>
        <w:pStyle w:val="LI-BodyTextUnnumbered"/>
      </w:pPr>
      <w:r w:rsidRPr="000A1B0B">
        <w:rPr>
          <w:b/>
          <w:i/>
        </w:rPr>
        <w:t>FFE Fund</w:t>
      </w:r>
      <w:r w:rsidRPr="00BC0251">
        <w:t xml:space="preserve"> means a fund established for an </w:t>
      </w:r>
      <w:r w:rsidR="00AD4480">
        <w:t>i</w:t>
      </w:r>
      <w:r w:rsidR="00AD4480" w:rsidRPr="00BC0251">
        <w:t xml:space="preserve">nvestor </w:t>
      </w:r>
      <w:r w:rsidRPr="00BC0251">
        <w:t xml:space="preserve">consisting of money paid by the </w:t>
      </w:r>
      <w:r w:rsidR="00AD4480">
        <w:t>i</w:t>
      </w:r>
      <w:r w:rsidR="00AD4480" w:rsidRPr="00BC0251">
        <w:t xml:space="preserve">nvestor </w:t>
      </w:r>
      <w:r w:rsidRPr="00BC0251">
        <w:t xml:space="preserve">and any interest accrued on that money, to be used from time to time in accordance with the agreement referred to in paragraph </w:t>
      </w:r>
      <w:r w:rsidR="00D76D49">
        <w:t>5(2</w:t>
      </w:r>
      <w:proofErr w:type="gramStart"/>
      <w:r w:rsidR="00D76D49">
        <w:t>)</w:t>
      </w:r>
      <w:r w:rsidRPr="00BC0251">
        <w:t>(</w:t>
      </w:r>
      <w:proofErr w:type="gramEnd"/>
      <w:r w:rsidR="005359E1">
        <w:t>h</w:t>
      </w:r>
      <w:r w:rsidRPr="00BC0251">
        <w:t xml:space="preserve">) for the replacement, repair or refurbishment of furniture, </w:t>
      </w:r>
      <w:r w:rsidRPr="002F4846">
        <w:t xml:space="preserve">fittings and equipment of the </w:t>
      </w:r>
      <w:r w:rsidR="00D76D49">
        <w:t>s</w:t>
      </w:r>
      <w:r w:rsidR="00D76D49" w:rsidRPr="002F4846">
        <w:t xml:space="preserve">trata </w:t>
      </w:r>
      <w:r w:rsidR="00D76D49">
        <w:t>u</w:t>
      </w:r>
      <w:r w:rsidR="00D76D49" w:rsidRPr="002F4846">
        <w:t xml:space="preserve">nit </w:t>
      </w:r>
      <w:r w:rsidRPr="002F4846">
        <w:t xml:space="preserve">made available by the </w:t>
      </w:r>
      <w:r w:rsidR="00D76D49">
        <w:t>i</w:t>
      </w:r>
      <w:r w:rsidR="00D76D49" w:rsidRPr="002F4846">
        <w:t xml:space="preserve">nvestor </w:t>
      </w:r>
      <w:r w:rsidRPr="002F4846">
        <w:t xml:space="preserve">for use as part of </w:t>
      </w:r>
      <w:r w:rsidR="00D76D49">
        <w:t>a strata scheme</w:t>
      </w:r>
      <w:r w:rsidR="00C75ADB">
        <w:t>.</w:t>
      </w:r>
    </w:p>
    <w:p w14:paraId="523E7C00" w14:textId="77777777" w:rsidR="005930DA" w:rsidRDefault="005930DA" w:rsidP="000A1B0B">
      <w:pPr>
        <w:pStyle w:val="LI-BodyTextUnnumbered"/>
      </w:pPr>
      <w:proofErr w:type="gramStart"/>
      <w:r>
        <w:rPr>
          <w:b/>
          <w:i/>
        </w:rPr>
        <w:t>independent</w:t>
      </w:r>
      <w:proofErr w:type="gramEnd"/>
      <w:r>
        <w:rPr>
          <w:b/>
          <w:i/>
        </w:rPr>
        <w:t xml:space="preserve"> real estate agent </w:t>
      </w:r>
      <w:r>
        <w:t>means, in relation to a strata scheme</w:t>
      </w:r>
      <w:r w:rsidR="00E427E3">
        <w:t>, a person:</w:t>
      </w:r>
    </w:p>
    <w:p w14:paraId="4227F31A" w14:textId="4A617D6A" w:rsidR="00E427E3" w:rsidRDefault="005930DA" w:rsidP="000A1B0B">
      <w:pPr>
        <w:pStyle w:val="LI-BodyTextParaa"/>
      </w:pPr>
      <w:r>
        <w:t>(a)</w:t>
      </w:r>
      <w:r>
        <w:tab/>
      </w:r>
      <w:proofErr w:type="gramStart"/>
      <w:r w:rsidR="00E427E3">
        <w:t>who</w:t>
      </w:r>
      <w:proofErr w:type="gramEnd"/>
      <w:r w:rsidR="00E427E3">
        <w:t xml:space="preserve"> is licensed under a law of a State or Territory </w:t>
      </w:r>
      <w:r w:rsidR="00B211D7">
        <w:t xml:space="preserve">in this jurisdiction </w:t>
      </w:r>
      <w:r w:rsidR="00E427E3">
        <w:t>to lease real property; and</w:t>
      </w:r>
    </w:p>
    <w:p w14:paraId="11A603E4" w14:textId="77777777" w:rsidR="005930DA" w:rsidRPr="000A1B0B" w:rsidRDefault="00E427E3" w:rsidP="000A1B0B">
      <w:pPr>
        <w:pStyle w:val="LI-BodyTextParaa"/>
      </w:pPr>
      <w:r>
        <w:t>(b)</w:t>
      </w:r>
      <w:r>
        <w:tab/>
      </w:r>
      <w:proofErr w:type="gramStart"/>
      <w:r>
        <w:t>who</w:t>
      </w:r>
      <w:proofErr w:type="gramEnd"/>
      <w:r w:rsidR="005930DA">
        <w:t xml:space="preserve"> </w:t>
      </w:r>
      <w:r>
        <w:t>is not the operator of the scheme or an associate of the operator of the scheme.</w:t>
      </w:r>
    </w:p>
    <w:p w14:paraId="28EFF455" w14:textId="77777777" w:rsidR="00063CE2" w:rsidRPr="000A1B0B" w:rsidRDefault="00063CE2" w:rsidP="000A1B0B">
      <w:pPr>
        <w:pStyle w:val="LI-BodyTextUnnumbered"/>
      </w:pPr>
      <w:proofErr w:type="gramStart"/>
      <w:r>
        <w:rPr>
          <w:b/>
          <w:i/>
        </w:rPr>
        <w:t>investor</w:t>
      </w:r>
      <w:proofErr w:type="gramEnd"/>
      <w:r>
        <w:rPr>
          <w:b/>
          <w:i/>
        </w:rPr>
        <w:t xml:space="preserve"> </w:t>
      </w:r>
      <w:r w:rsidR="00220E89">
        <w:t xml:space="preserve">means in relation to a strata scheme, a person </w:t>
      </w:r>
      <w:r w:rsidR="00564D7D">
        <w:t xml:space="preserve">who </w:t>
      </w:r>
      <w:r w:rsidR="00220E89">
        <w:t xml:space="preserve">is the owner of a strata unit </w:t>
      </w:r>
      <w:r w:rsidR="0015436B">
        <w:t>that is used in the scheme</w:t>
      </w:r>
      <w:r w:rsidR="00220E89">
        <w:t>.</w:t>
      </w:r>
    </w:p>
    <w:p w14:paraId="187D24B1" w14:textId="77777777" w:rsidR="00C75ADB" w:rsidRPr="00564D7D" w:rsidRDefault="00C75ADB" w:rsidP="000A1B0B">
      <w:pPr>
        <w:pStyle w:val="LI-BodyTextUnnumbered"/>
      </w:pPr>
      <w:proofErr w:type="gramStart"/>
      <w:r w:rsidRPr="00564D7D">
        <w:rPr>
          <w:b/>
          <w:i/>
        </w:rPr>
        <w:t>management</w:t>
      </w:r>
      <w:proofErr w:type="gramEnd"/>
      <w:r w:rsidRPr="00564D7D">
        <w:rPr>
          <w:b/>
          <w:i/>
        </w:rPr>
        <w:t xml:space="preserve"> rights</w:t>
      </w:r>
      <w:r w:rsidRPr="000A1B0B">
        <w:t xml:space="preserve"> means</w:t>
      </w:r>
      <w:r w:rsidR="00AD4480">
        <w:t>, in relation to a strata scheme,</w:t>
      </w:r>
      <w:r w:rsidRPr="000A1B0B">
        <w:t xml:space="preserve"> all real or personal property (including contractual rights) held by the </w:t>
      </w:r>
      <w:r w:rsidR="00AD4480">
        <w:t>o</w:t>
      </w:r>
      <w:r w:rsidRPr="000A1B0B">
        <w:t xml:space="preserve">perator or any of its associates that facilitates the operation of the </w:t>
      </w:r>
      <w:r w:rsidR="00AD4480">
        <w:t>s</w:t>
      </w:r>
      <w:r w:rsidRPr="000A1B0B">
        <w:t>cheme.</w:t>
      </w:r>
    </w:p>
    <w:p w14:paraId="36B5F7A0" w14:textId="77777777" w:rsidR="005B1ED8" w:rsidRDefault="005B1ED8" w:rsidP="000A1B0B">
      <w:pPr>
        <w:pStyle w:val="LI-BodyTextUnnumbered"/>
      </w:pPr>
      <w:proofErr w:type="gramStart"/>
      <w:r>
        <w:rPr>
          <w:b/>
          <w:i/>
        </w:rPr>
        <w:lastRenderedPageBreak/>
        <w:t>operate</w:t>
      </w:r>
      <w:proofErr w:type="gramEnd"/>
      <w:r>
        <w:rPr>
          <w:b/>
          <w:i/>
        </w:rPr>
        <w:t xml:space="preserve"> as a promoter developer</w:t>
      </w:r>
      <w:r>
        <w:t xml:space="preserve">: a person operates a strata scheme as a promoter developer if: </w:t>
      </w:r>
    </w:p>
    <w:p w14:paraId="7A758B7E" w14:textId="1D56D022" w:rsidR="005B1ED8" w:rsidRDefault="005B1ED8" w:rsidP="007626F5">
      <w:pPr>
        <w:pStyle w:val="LI-BodyTextUnnumbered"/>
        <w:ind w:left="1701" w:hanging="567"/>
      </w:pPr>
      <w:r w:rsidRPr="007626F5">
        <w:t>(a)</w:t>
      </w:r>
      <w:r w:rsidRPr="007626F5">
        <w:tab/>
      </w:r>
      <w:proofErr w:type="gramStart"/>
      <w:r w:rsidRPr="005B1ED8">
        <w:t>the</w:t>
      </w:r>
      <w:proofErr w:type="gramEnd"/>
      <w:r>
        <w:t xml:space="preserve"> person </w:t>
      </w:r>
      <w:r w:rsidRPr="007626F5">
        <w:t>offer</w:t>
      </w:r>
      <w:r>
        <w:t>s</w:t>
      </w:r>
      <w:r w:rsidRPr="007626F5">
        <w:t xml:space="preserve"> to </w:t>
      </w:r>
      <w:r w:rsidRPr="005B1ED8">
        <w:t xml:space="preserve">issue or arrange for the issue of interests in </w:t>
      </w:r>
      <w:r>
        <w:t>the</w:t>
      </w:r>
      <w:r w:rsidRPr="005B1ED8">
        <w:t xml:space="preserve"> </w:t>
      </w:r>
      <w:r>
        <w:t>scheme</w:t>
      </w:r>
      <w:r w:rsidRPr="005B1ED8">
        <w:t>, while also offering a strata unit to which the scheme relates</w:t>
      </w:r>
      <w:r>
        <w:t>; and</w:t>
      </w:r>
    </w:p>
    <w:p w14:paraId="671EA2C2" w14:textId="5A4CAAD3" w:rsidR="005B1ED8" w:rsidRDefault="005B1ED8" w:rsidP="007626F5">
      <w:pPr>
        <w:pStyle w:val="LI-BodyTextUnnumbered"/>
        <w:ind w:left="1701" w:hanging="567"/>
        <w:rPr>
          <w:b/>
          <w:i/>
        </w:rPr>
      </w:pPr>
      <w:r>
        <w:t>(b)</w:t>
      </w:r>
      <w:r>
        <w:tab/>
      </w:r>
      <w:proofErr w:type="gramStart"/>
      <w:r>
        <w:t>the</w:t>
      </w:r>
      <w:proofErr w:type="gramEnd"/>
      <w:r>
        <w:t xml:space="preserve"> scheme is to be managed by another operator.</w:t>
      </w:r>
    </w:p>
    <w:p w14:paraId="13F55C8A" w14:textId="77777777" w:rsidR="006709A5" w:rsidRDefault="006709A5" w:rsidP="000A1B0B">
      <w:pPr>
        <w:pStyle w:val="LI-BodyTextUnnumbered"/>
      </w:pPr>
      <w:proofErr w:type="gramStart"/>
      <w:r>
        <w:rPr>
          <w:b/>
          <w:i/>
        </w:rPr>
        <w:t>operator</w:t>
      </w:r>
      <w:proofErr w:type="gramEnd"/>
      <w:r>
        <w:rPr>
          <w:b/>
          <w:i/>
        </w:rPr>
        <w:t xml:space="preserve"> </w:t>
      </w:r>
      <w:r>
        <w:t>means a person who:</w:t>
      </w:r>
    </w:p>
    <w:p w14:paraId="46EBE37D" w14:textId="3338D12F" w:rsidR="006709A5" w:rsidRDefault="006709A5" w:rsidP="00EB1EA7">
      <w:pPr>
        <w:pStyle w:val="LI-BodyTextSubparai"/>
        <w:ind w:left="1701"/>
      </w:pPr>
      <w:r>
        <w:t>(a)</w:t>
      </w:r>
      <w:r>
        <w:tab/>
      </w:r>
      <w:proofErr w:type="gramStart"/>
      <w:r>
        <w:t>operates</w:t>
      </w:r>
      <w:proofErr w:type="gramEnd"/>
      <w:r>
        <w:t xml:space="preserve"> a strata scheme</w:t>
      </w:r>
      <w:r w:rsidR="00E25B38" w:rsidRPr="00E25B38">
        <w:t xml:space="preserve"> </w:t>
      </w:r>
      <w:r w:rsidR="00964EAA">
        <w:t>(</w:t>
      </w:r>
      <w:r w:rsidR="00E25B38" w:rsidRPr="00E25B38">
        <w:t xml:space="preserve">including </w:t>
      </w:r>
      <w:r w:rsidR="005B1ED8">
        <w:t xml:space="preserve">by </w:t>
      </w:r>
      <w:r w:rsidR="00182967">
        <w:t>operating</w:t>
      </w:r>
      <w:r w:rsidR="005B1ED8">
        <w:t xml:space="preserve"> a strata scheme</w:t>
      </w:r>
      <w:r w:rsidR="00182967">
        <w:t xml:space="preserve"> </w:t>
      </w:r>
      <w:r w:rsidR="005B1ED8">
        <w:t xml:space="preserve">as a </w:t>
      </w:r>
      <w:r w:rsidR="00BB42C6">
        <w:t>promoter developer</w:t>
      </w:r>
      <w:r w:rsidR="00964EAA">
        <w:t>)</w:t>
      </w:r>
      <w:r>
        <w:t>; and</w:t>
      </w:r>
    </w:p>
    <w:p w14:paraId="62830594" w14:textId="77777777" w:rsidR="006709A5" w:rsidRPr="00EB1EA7" w:rsidRDefault="006709A5" w:rsidP="000A1B0B">
      <w:pPr>
        <w:pStyle w:val="LI-BodyTextParaa"/>
      </w:pPr>
      <w:r>
        <w:t>(</w:t>
      </w:r>
      <w:r w:rsidRPr="00EB1EA7">
        <w:t>b)</w:t>
      </w:r>
      <w:r w:rsidRPr="00EB1EA7">
        <w:tab/>
      </w:r>
      <w:proofErr w:type="gramStart"/>
      <w:r w:rsidRPr="00EB1EA7">
        <w:t>is</w:t>
      </w:r>
      <w:proofErr w:type="gramEnd"/>
      <w:r w:rsidRPr="00EB1EA7">
        <w:t>:</w:t>
      </w:r>
    </w:p>
    <w:p w14:paraId="5779F06E" w14:textId="77777777" w:rsidR="006709A5" w:rsidRPr="00EB1EA7" w:rsidRDefault="006709A5" w:rsidP="000A1B0B">
      <w:pPr>
        <w:pStyle w:val="LI-BodyTextSubparai"/>
      </w:pPr>
      <w:r w:rsidRPr="00EB1EA7">
        <w:t>(</w:t>
      </w:r>
      <w:proofErr w:type="spellStart"/>
      <w:r w:rsidRPr="00EB1EA7">
        <w:t>i</w:t>
      </w:r>
      <w:proofErr w:type="spellEnd"/>
      <w:r w:rsidRPr="00EB1EA7">
        <w:t>)</w:t>
      </w:r>
      <w:r w:rsidRPr="00EB1EA7">
        <w:tab/>
      </w:r>
      <w:proofErr w:type="gramStart"/>
      <w:r w:rsidR="0015436B" w:rsidRPr="00EB1EA7">
        <w:t>a</w:t>
      </w:r>
      <w:proofErr w:type="gramEnd"/>
      <w:r w:rsidR="0015436B" w:rsidRPr="00EB1EA7">
        <w:t xml:space="preserve"> real estate </w:t>
      </w:r>
      <w:r w:rsidR="00B6640B" w:rsidRPr="007626F5">
        <w:t>(managing)</w:t>
      </w:r>
      <w:r w:rsidR="00B6640B" w:rsidRPr="00EB1EA7">
        <w:t xml:space="preserve"> </w:t>
      </w:r>
      <w:r w:rsidR="0015436B" w:rsidRPr="00EB1EA7">
        <w:t>agent</w:t>
      </w:r>
      <w:r w:rsidRPr="00EB1EA7">
        <w:t>; or</w:t>
      </w:r>
    </w:p>
    <w:p w14:paraId="5F6AD313" w14:textId="77777777" w:rsidR="00EB1EA7" w:rsidRDefault="006709A5" w:rsidP="000A1B0B">
      <w:pPr>
        <w:pStyle w:val="LI-BodyTextSubparai"/>
      </w:pPr>
      <w:r w:rsidRPr="00EB1EA7">
        <w:t>(ii)</w:t>
      </w:r>
      <w:r w:rsidRPr="00EB1EA7">
        <w:tab/>
      </w:r>
      <w:proofErr w:type="gramStart"/>
      <w:r w:rsidRPr="00EB1EA7">
        <w:t>a</w:t>
      </w:r>
      <w:proofErr w:type="gramEnd"/>
      <w:r w:rsidRPr="00EB1EA7">
        <w:t xml:space="preserve"> financial services licensee</w:t>
      </w:r>
      <w:r w:rsidR="00E25B38" w:rsidRPr="00EB1EA7">
        <w:t xml:space="preserve">; </w:t>
      </w:r>
      <w:r w:rsidR="00EB1EA7">
        <w:t>or</w:t>
      </w:r>
    </w:p>
    <w:p w14:paraId="7C099ADA" w14:textId="28C8483C" w:rsidR="006709A5" w:rsidRPr="00EB1EA7" w:rsidRDefault="00EB1EA7" w:rsidP="005B1ED8">
      <w:pPr>
        <w:pStyle w:val="LI-BodyTextSubparai"/>
      </w:pPr>
      <w:r>
        <w:t>(iii)</w:t>
      </w:r>
      <w:r>
        <w:tab/>
        <w:t>if</w:t>
      </w:r>
      <w:r w:rsidR="005B1ED8">
        <w:t xml:space="preserve"> the person only operates the scheme as a promoter developer—</w:t>
      </w:r>
      <w:r>
        <w:t xml:space="preserve">licensed in relation to </w:t>
      </w:r>
      <w:r w:rsidRPr="00307A4E">
        <w:t>real property under the law of a State or Territory in this jurisdiction</w:t>
      </w:r>
      <w:r>
        <w:t xml:space="preserve">; </w:t>
      </w:r>
      <w:r w:rsidR="00E25B38" w:rsidRPr="00EB1EA7">
        <w:t>and</w:t>
      </w:r>
    </w:p>
    <w:p w14:paraId="178696CF" w14:textId="77777777" w:rsidR="000A5083" w:rsidRPr="00B4213A" w:rsidRDefault="000A5083" w:rsidP="000A1B0B">
      <w:pPr>
        <w:pStyle w:val="LI-BodyTextParaa"/>
      </w:pPr>
      <w:r w:rsidRPr="00B4213A">
        <w:t>(c)</w:t>
      </w:r>
      <w:r w:rsidRPr="00B4213A">
        <w:tab/>
      </w:r>
      <w:proofErr w:type="gramStart"/>
      <w:r w:rsidRPr="00B4213A">
        <w:t>is</w:t>
      </w:r>
      <w:proofErr w:type="gramEnd"/>
      <w:r w:rsidRPr="00B4213A">
        <w:t xml:space="preserve"> not an excluded person.</w:t>
      </w:r>
    </w:p>
    <w:p w14:paraId="3D09DD42" w14:textId="7B3CBD8B" w:rsidR="00A510EB" w:rsidRPr="007626F5" w:rsidRDefault="00A510EB" w:rsidP="00A510EB">
      <w:pPr>
        <w:pStyle w:val="LI-BodyTextUnnumbered"/>
      </w:pPr>
      <w:proofErr w:type="gramStart"/>
      <w:r w:rsidRPr="007626F5">
        <w:rPr>
          <w:b/>
          <w:i/>
        </w:rPr>
        <w:t>real</w:t>
      </w:r>
      <w:proofErr w:type="gramEnd"/>
      <w:r w:rsidRPr="007626F5">
        <w:rPr>
          <w:b/>
          <w:i/>
        </w:rPr>
        <w:t xml:space="preserve"> estate (managing) agent </w:t>
      </w:r>
      <w:r w:rsidRPr="007626F5">
        <w:t>a person who is licensed to manage real property under the law of a State or Territory in this jurisdiction.</w:t>
      </w:r>
    </w:p>
    <w:p w14:paraId="21542F2F" w14:textId="2BF5F37C" w:rsidR="0015436B" w:rsidRDefault="0015436B" w:rsidP="000A1B0B">
      <w:pPr>
        <w:pStyle w:val="LI-BodyTextUnnumbered"/>
      </w:pPr>
      <w:proofErr w:type="gramStart"/>
      <w:r w:rsidRPr="007626F5">
        <w:rPr>
          <w:b/>
          <w:i/>
        </w:rPr>
        <w:t>real</w:t>
      </w:r>
      <w:proofErr w:type="gramEnd"/>
      <w:r w:rsidRPr="007626F5">
        <w:rPr>
          <w:b/>
          <w:i/>
        </w:rPr>
        <w:t xml:space="preserve"> estate</w:t>
      </w:r>
      <w:r w:rsidR="00A510EB" w:rsidRPr="007626F5">
        <w:rPr>
          <w:b/>
          <w:i/>
        </w:rPr>
        <w:t xml:space="preserve"> (selling)</w:t>
      </w:r>
      <w:r w:rsidRPr="007626F5">
        <w:rPr>
          <w:b/>
          <w:i/>
        </w:rPr>
        <w:t xml:space="preserve"> agent </w:t>
      </w:r>
      <w:r w:rsidRPr="007626F5">
        <w:t>a person who is licensed to</w:t>
      </w:r>
      <w:r w:rsidR="00506D73" w:rsidRPr="007626F5">
        <w:t xml:space="preserve"> sell </w:t>
      </w:r>
      <w:r w:rsidRPr="007626F5">
        <w:t>real property under the law of a State or Territory</w:t>
      </w:r>
      <w:r w:rsidR="005A18E9" w:rsidRPr="007626F5">
        <w:t xml:space="preserve"> in this jurisdiction</w:t>
      </w:r>
      <w:r w:rsidRPr="007626F5">
        <w:t>.</w:t>
      </w:r>
    </w:p>
    <w:p w14:paraId="35A2E974" w14:textId="77777777" w:rsidR="008515DF" w:rsidRPr="008515DF" w:rsidRDefault="008515DF" w:rsidP="008515DF">
      <w:pPr>
        <w:pStyle w:val="LI-BodyTextUnnumbered"/>
        <w:rPr>
          <w:szCs w:val="18"/>
        </w:rPr>
      </w:pPr>
      <w:proofErr w:type="gramStart"/>
      <w:r>
        <w:rPr>
          <w:b/>
          <w:i/>
          <w:szCs w:val="18"/>
        </w:rPr>
        <w:t>registered</w:t>
      </w:r>
      <w:proofErr w:type="gramEnd"/>
      <w:r>
        <w:rPr>
          <w:b/>
          <w:i/>
          <w:szCs w:val="18"/>
        </w:rPr>
        <w:t xml:space="preserve"> strata scheme </w:t>
      </w:r>
      <w:r>
        <w:rPr>
          <w:szCs w:val="18"/>
        </w:rPr>
        <w:t xml:space="preserve">mean a registered scheme that </w:t>
      </w:r>
      <w:r w:rsidRPr="008515DF">
        <w:rPr>
          <w:szCs w:val="18"/>
        </w:rPr>
        <w:t>involves persons making available real property for</w:t>
      </w:r>
      <w:r>
        <w:rPr>
          <w:szCs w:val="18"/>
        </w:rPr>
        <w:t xml:space="preserve"> </w:t>
      </w:r>
      <w:r w:rsidRPr="008515DF">
        <w:rPr>
          <w:szCs w:val="18"/>
        </w:rPr>
        <w:t>use as part of a serviced apartment, hotel, motel or resort complex where members of the</w:t>
      </w:r>
      <w:r>
        <w:rPr>
          <w:szCs w:val="18"/>
        </w:rPr>
        <w:t xml:space="preserve"> </w:t>
      </w:r>
      <w:r w:rsidRPr="008515DF">
        <w:rPr>
          <w:szCs w:val="18"/>
        </w:rPr>
        <w:t>scheme have no right to be paid an amount that is related to the value of scheme property</w:t>
      </w:r>
      <w:r>
        <w:rPr>
          <w:szCs w:val="18"/>
        </w:rPr>
        <w:t xml:space="preserve"> </w:t>
      </w:r>
      <w:r w:rsidRPr="008515DF">
        <w:rPr>
          <w:szCs w:val="18"/>
        </w:rPr>
        <w:t>on their withdrawal from the scheme.</w:t>
      </w:r>
    </w:p>
    <w:p w14:paraId="45E2D6A4" w14:textId="77777777" w:rsidR="007A1A1F" w:rsidRDefault="005F64EC" w:rsidP="000A1B0B">
      <w:pPr>
        <w:pStyle w:val="LI-BodyTextUnnumbered"/>
        <w:rPr>
          <w:b/>
          <w:i/>
          <w:szCs w:val="18"/>
        </w:rPr>
      </w:pPr>
      <w:proofErr w:type="gramStart"/>
      <w:r>
        <w:rPr>
          <w:b/>
          <w:i/>
          <w:szCs w:val="18"/>
        </w:rPr>
        <w:t>r</w:t>
      </w:r>
      <w:r w:rsidR="007A1A1F">
        <w:rPr>
          <w:b/>
          <w:i/>
          <w:szCs w:val="18"/>
        </w:rPr>
        <w:t>egulated</w:t>
      </w:r>
      <w:proofErr w:type="gramEnd"/>
      <w:r w:rsidR="007A1A1F">
        <w:rPr>
          <w:b/>
          <w:i/>
          <w:szCs w:val="18"/>
        </w:rPr>
        <w:t xml:space="preserve"> person </w:t>
      </w:r>
      <w:r w:rsidR="007A1A1F" w:rsidRPr="000043B8">
        <w:rPr>
          <w:szCs w:val="18"/>
        </w:rPr>
        <w:t>has the same meaning as in</w:t>
      </w:r>
      <w:r>
        <w:rPr>
          <w:szCs w:val="18"/>
        </w:rPr>
        <w:t xml:space="preserve"> section 1011B of the Act.</w:t>
      </w:r>
      <w:r w:rsidR="007A1A1F">
        <w:rPr>
          <w:b/>
          <w:i/>
          <w:szCs w:val="18"/>
        </w:rPr>
        <w:t xml:space="preserve"> </w:t>
      </w:r>
    </w:p>
    <w:p w14:paraId="2A5120B4" w14:textId="77777777" w:rsidR="00C75ADB" w:rsidRDefault="00C75ADB" w:rsidP="000A1B0B">
      <w:pPr>
        <w:pStyle w:val="LI-BodyTextUnnumbered"/>
        <w:rPr>
          <w:szCs w:val="18"/>
        </w:rPr>
      </w:pPr>
      <w:proofErr w:type="gramStart"/>
      <w:r w:rsidRPr="000A1B0B">
        <w:rPr>
          <w:b/>
          <w:i/>
          <w:szCs w:val="18"/>
        </w:rPr>
        <w:t>scheme</w:t>
      </w:r>
      <w:proofErr w:type="gramEnd"/>
      <w:r w:rsidRPr="000A1B0B">
        <w:rPr>
          <w:b/>
          <w:i/>
          <w:szCs w:val="18"/>
        </w:rPr>
        <w:t xml:space="preserve"> members</w:t>
      </w:r>
      <w:r w:rsidR="00220E89">
        <w:rPr>
          <w:szCs w:val="18"/>
        </w:rPr>
        <w:t xml:space="preserve"> means, in relation to a strata scheme, i</w:t>
      </w:r>
      <w:r w:rsidRPr="00C75ADB">
        <w:rPr>
          <w:szCs w:val="18"/>
        </w:rPr>
        <w:t xml:space="preserve">nvestors in the </w:t>
      </w:r>
      <w:r w:rsidR="0015436B">
        <w:rPr>
          <w:szCs w:val="18"/>
        </w:rPr>
        <w:t>s</w:t>
      </w:r>
      <w:r w:rsidRPr="00C75ADB">
        <w:rPr>
          <w:szCs w:val="18"/>
        </w:rPr>
        <w:t xml:space="preserve">cheme </w:t>
      </w:r>
      <w:r w:rsidR="0015436B">
        <w:rPr>
          <w:szCs w:val="18"/>
        </w:rPr>
        <w:t>other than</w:t>
      </w:r>
      <w:r w:rsidRPr="00C75ADB">
        <w:rPr>
          <w:szCs w:val="18"/>
        </w:rPr>
        <w:t xml:space="preserve"> </w:t>
      </w:r>
      <w:r>
        <w:rPr>
          <w:szCs w:val="18"/>
        </w:rPr>
        <w:t xml:space="preserve">the </w:t>
      </w:r>
      <w:r w:rsidR="0015436B">
        <w:rPr>
          <w:szCs w:val="18"/>
        </w:rPr>
        <w:t>o</w:t>
      </w:r>
      <w:r>
        <w:rPr>
          <w:szCs w:val="18"/>
        </w:rPr>
        <w:t>perator and its associates.</w:t>
      </w:r>
    </w:p>
    <w:p w14:paraId="05606C0A" w14:textId="77777777" w:rsidR="00A94A69" w:rsidRPr="00A94A69" w:rsidRDefault="00C62CB5" w:rsidP="000A1B0B">
      <w:pPr>
        <w:pStyle w:val="LI-BodyTextUnnumbered"/>
        <w:rPr>
          <w:szCs w:val="18"/>
        </w:rPr>
      </w:pPr>
      <w:proofErr w:type="gramStart"/>
      <w:r w:rsidRPr="000A1B0B">
        <w:rPr>
          <w:b/>
          <w:i/>
          <w:szCs w:val="18"/>
        </w:rPr>
        <w:t>s</w:t>
      </w:r>
      <w:r w:rsidR="00AE6986" w:rsidRPr="000A1B0B">
        <w:rPr>
          <w:b/>
          <w:i/>
          <w:szCs w:val="18"/>
        </w:rPr>
        <w:t>trata</w:t>
      </w:r>
      <w:proofErr w:type="gramEnd"/>
      <w:r w:rsidR="00AE6986" w:rsidRPr="000A1B0B">
        <w:rPr>
          <w:b/>
          <w:i/>
          <w:szCs w:val="18"/>
        </w:rPr>
        <w:t xml:space="preserve"> </w:t>
      </w:r>
      <w:r w:rsidRPr="000A1B0B">
        <w:rPr>
          <w:b/>
          <w:i/>
          <w:szCs w:val="18"/>
        </w:rPr>
        <w:t>s</w:t>
      </w:r>
      <w:r w:rsidR="00A94A69" w:rsidRPr="000A1B0B">
        <w:rPr>
          <w:b/>
          <w:i/>
          <w:szCs w:val="18"/>
        </w:rPr>
        <w:t>cheme</w:t>
      </w:r>
      <w:r w:rsidR="00A94A69">
        <w:rPr>
          <w:szCs w:val="18"/>
        </w:rPr>
        <w:t xml:space="preserve"> means a</w:t>
      </w:r>
      <w:r w:rsidR="00A94A69" w:rsidRPr="00564D7D">
        <w:rPr>
          <w:szCs w:val="18"/>
        </w:rPr>
        <w:t xml:space="preserve"> managed investment scheme that involves </w:t>
      </w:r>
      <w:r w:rsidR="007D27DE" w:rsidRPr="008F23A0">
        <w:rPr>
          <w:szCs w:val="18"/>
        </w:rPr>
        <w:t xml:space="preserve">owners </w:t>
      </w:r>
      <w:r w:rsidR="00A94A69" w:rsidRPr="008F23A0">
        <w:rPr>
          <w:szCs w:val="18"/>
        </w:rPr>
        <w:t xml:space="preserve">of strata units making their </w:t>
      </w:r>
      <w:r w:rsidR="007D27DE" w:rsidRPr="008F23A0">
        <w:rPr>
          <w:szCs w:val="18"/>
        </w:rPr>
        <w:t>u</w:t>
      </w:r>
      <w:r w:rsidR="00A94A69" w:rsidRPr="008F23A0">
        <w:rPr>
          <w:szCs w:val="18"/>
        </w:rPr>
        <w:t>nit available for use as part of a serviced apartment, hotel, motel or resort complex</w:t>
      </w:r>
      <w:r w:rsidR="007D27DE" w:rsidRPr="008F23A0">
        <w:rPr>
          <w:szCs w:val="18"/>
        </w:rPr>
        <w:t>.</w:t>
      </w:r>
    </w:p>
    <w:p w14:paraId="5F1D7C85" w14:textId="77777777" w:rsidR="007D27DE" w:rsidRPr="00020AD2" w:rsidRDefault="007D27DE" w:rsidP="000A1B0B">
      <w:pPr>
        <w:pStyle w:val="LI-BodyTextUnnumbered"/>
        <w:rPr>
          <w:szCs w:val="18"/>
        </w:rPr>
      </w:pPr>
      <w:proofErr w:type="gramStart"/>
      <w:r w:rsidRPr="000A1B0B">
        <w:rPr>
          <w:b/>
          <w:i/>
          <w:szCs w:val="18"/>
        </w:rPr>
        <w:t>strata</w:t>
      </w:r>
      <w:proofErr w:type="gramEnd"/>
      <w:r w:rsidRPr="000A1B0B">
        <w:rPr>
          <w:b/>
          <w:i/>
          <w:szCs w:val="18"/>
        </w:rPr>
        <w:t xml:space="preserve"> units</w:t>
      </w:r>
      <w:r w:rsidRPr="00564D7D">
        <w:rPr>
          <w:szCs w:val="18"/>
        </w:rPr>
        <w:t xml:space="preserve"> means strata title units, community title interests or similar interests in real propert</w:t>
      </w:r>
      <w:r w:rsidRPr="00020AD2">
        <w:rPr>
          <w:szCs w:val="18"/>
        </w:rPr>
        <w:t xml:space="preserve">y. </w:t>
      </w:r>
    </w:p>
    <w:p w14:paraId="093EDFB3" w14:textId="77777777" w:rsidR="00DA7D47" w:rsidRPr="000A1B0B" w:rsidRDefault="00DA7D47" w:rsidP="000A1B0B">
      <w:pPr>
        <w:pStyle w:val="LI-BodyTextUnnumbered"/>
        <w:rPr>
          <w:szCs w:val="18"/>
        </w:rPr>
      </w:pPr>
      <w:proofErr w:type="gramStart"/>
      <w:r w:rsidRPr="000A1B0B">
        <w:rPr>
          <w:b/>
          <w:i/>
          <w:szCs w:val="18"/>
        </w:rPr>
        <w:lastRenderedPageBreak/>
        <w:t>transfer</w:t>
      </w:r>
      <w:proofErr w:type="gramEnd"/>
      <w:r w:rsidRPr="000A1B0B">
        <w:rPr>
          <w:szCs w:val="18"/>
        </w:rPr>
        <w:t xml:space="preserve"> </w:t>
      </w:r>
      <w:r w:rsidR="000D74E4">
        <w:rPr>
          <w:szCs w:val="18"/>
        </w:rPr>
        <w:t xml:space="preserve">means, </w:t>
      </w:r>
      <w:r w:rsidRPr="000A1B0B">
        <w:rPr>
          <w:szCs w:val="18"/>
        </w:rPr>
        <w:t>in relation to management rights</w:t>
      </w:r>
      <w:r w:rsidR="000D74E4">
        <w:rPr>
          <w:szCs w:val="18"/>
        </w:rPr>
        <w:t>,</w:t>
      </w:r>
      <w:r w:rsidRPr="000A1B0B">
        <w:rPr>
          <w:szCs w:val="18"/>
        </w:rPr>
        <w:t xml:space="preserve"> to assign or transfer the management rights or to cause another person to become the holder of those rights or rights substantially the same as those rights.</w:t>
      </w:r>
    </w:p>
    <w:p w14:paraId="4C188049" w14:textId="77777777" w:rsidR="00F86E71" w:rsidRPr="002C4FE0" w:rsidRDefault="00F86E71" w:rsidP="00F86E71">
      <w:pPr>
        <w:rPr>
          <w:sz w:val="24"/>
          <w:szCs w:val="24"/>
        </w:rPr>
      </w:pPr>
    </w:p>
    <w:p w14:paraId="62FE5B71" w14:textId="77777777" w:rsidR="0040053F" w:rsidRPr="002C4FE0" w:rsidRDefault="0040053F" w:rsidP="00FC3EB8">
      <w:pPr>
        <w:pStyle w:val="LI-BodyTextParaa"/>
        <w:sectPr w:rsidR="0040053F" w:rsidRPr="002C4FE0" w:rsidSect="007D230B">
          <w:headerReference w:type="even" r:id="rId25"/>
          <w:headerReference w:type="default" r:id="rId26"/>
          <w:footerReference w:type="even" r:id="rId27"/>
          <w:headerReference w:type="first" r:id="rId28"/>
          <w:footerReference w:type="first" r:id="rId29"/>
          <w:pgSz w:w="11907" w:h="16839" w:code="9"/>
          <w:pgMar w:top="1534" w:right="1797" w:bottom="1440" w:left="1797" w:header="720" w:footer="709" w:gutter="0"/>
          <w:cols w:space="708"/>
          <w:docGrid w:linePitch="360"/>
        </w:sectPr>
      </w:pPr>
    </w:p>
    <w:p w14:paraId="5306DF9B" w14:textId="77777777" w:rsidR="00962DB6" w:rsidRPr="00370BC4" w:rsidRDefault="00D66C2C" w:rsidP="00532340">
      <w:pPr>
        <w:pStyle w:val="LI-Heading1"/>
      </w:pPr>
      <w:bookmarkStart w:id="9" w:name="_Toc462049845"/>
      <w:bookmarkStart w:id="10" w:name="_Toc415489462"/>
      <w:r w:rsidRPr="00370BC4">
        <w:lastRenderedPageBreak/>
        <w:t xml:space="preserve">Part </w:t>
      </w:r>
      <w:r w:rsidR="00DC09C0" w:rsidRPr="00370BC4">
        <w:t>2—</w:t>
      </w:r>
      <w:r w:rsidRPr="00370BC4">
        <w:t>Exemptions</w:t>
      </w:r>
      <w:r w:rsidR="00516612" w:rsidRPr="00370BC4">
        <w:t xml:space="preserve"> for </w:t>
      </w:r>
      <w:r w:rsidR="00516612" w:rsidRPr="00532340">
        <w:t>management</w:t>
      </w:r>
      <w:r w:rsidR="00516612" w:rsidRPr="00370BC4">
        <w:t xml:space="preserve"> rights schemes</w:t>
      </w:r>
      <w:bookmarkEnd w:id="9"/>
    </w:p>
    <w:p w14:paraId="49BD2A2E" w14:textId="77777777" w:rsidR="00FA31DE" w:rsidRPr="002C4FE0" w:rsidRDefault="00945349" w:rsidP="00564D7D">
      <w:pPr>
        <w:pStyle w:val="LI-Heading2"/>
      </w:pPr>
      <w:bookmarkStart w:id="11" w:name="_Toc462049846"/>
      <w:r>
        <w:t>5</w:t>
      </w:r>
      <w:r w:rsidR="00D66C2C">
        <w:tab/>
      </w:r>
      <w:r w:rsidR="00A9418E" w:rsidRPr="002C4FE0">
        <w:t xml:space="preserve">Exemption </w:t>
      </w:r>
      <w:r w:rsidR="008F28AE" w:rsidRPr="002C4FE0">
        <w:t xml:space="preserve">for operators </w:t>
      </w:r>
      <w:r w:rsidR="00A9418E" w:rsidRPr="002C4FE0">
        <w:t xml:space="preserve">from </w:t>
      </w:r>
      <w:bookmarkEnd w:id="10"/>
      <w:r w:rsidR="00A94A69">
        <w:t>requirement to register the s</w:t>
      </w:r>
      <w:r w:rsidR="004B6643" w:rsidRPr="002C4FE0">
        <w:t>cheme</w:t>
      </w:r>
      <w:r w:rsidR="00692F88">
        <w:t>,</w:t>
      </w:r>
      <w:r w:rsidR="0075179E" w:rsidRPr="002C4FE0">
        <w:t xml:space="preserve"> hold a financial services licence</w:t>
      </w:r>
      <w:r w:rsidR="00692F88">
        <w:t xml:space="preserve"> and </w:t>
      </w:r>
      <w:r w:rsidR="00235BAE">
        <w:t xml:space="preserve">the </w:t>
      </w:r>
      <w:r w:rsidR="00692F88">
        <w:t>share hawking provisions</w:t>
      </w:r>
      <w:bookmarkEnd w:id="11"/>
    </w:p>
    <w:p w14:paraId="7907FDA0" w14:textId="77777777" w:rsidR="00DC7DB8" w:rsidRPr="002C4FE0" w:rsidRDefault="00F86E71" w:rsidP="000A1B0B">
      <w:pPr>
        <w:pStyle w:val="LI-BodyTextNumbered"/>
      </w:pPr>
      <w:r w:rsidRPr="002C4FE0">
        <w:t>(1)</w:t>
      </w:r>
      <w:r w:rsidRPr="002C4FE0">
        <w:tab/>
        <w:t>A</w:t>
      </w:r>
      <w:r w:rsidR="006709A5">
        <w:t>n</w:t>
      </w:r>
      <w:r w:rsidRPr="002C4FE0">
        <w:t xml:space="preserve"> </w:t>
      </w:r>
      <w:r w:rsidR="006709A5">
        <w:t>operator of</w:t>
      </w:r>
      <w:r w:rsidRPr="002C4FE0">
        <w:t xml:space="preserve"> a </w:t>
      </w:r>
      <w:r w:rsidR="00B7314D">
        <w:t>s</w:t>
      </w:r>
      <w:r w:rsidR="00AE6986">
        <w:t xml:space="preserve">trata </w:t>
      </w:r>
      <w:r w:rsidR="00B7314D">
        <w:t>s</w:t>
      </w:r>
      <w:r w:rsidR="00AE6986">
        <w:t>cheme</w:t>
      </w:r>
      <w:r w:rsidR="001D0DD9">
        <w:t xml:space="preserve"> </w:t>
      </w:r>
      <w:r w:rsidR="004B6643" w:rsidRPr="002C4FE0">
        <w:t xml:space="preserve">does </w:t>
      </w:r>
      <w:r w:rsidR="00280057">
        <w:t>not have</w:t>
      </w:r>
      <w:r w:rsidR="004B6643" w:rsidRPr="002C4FE0">
        <w:t xml:space="preserve"> to comply with</w:t>
      </w:r>
      <w:r w:rsidR="00762A62">
        <w:t xml:space="preserve"> any of</w:t>
      </w:r>
      <w:r w:rsidR="00DC7DB8" w:rsidRPr="002C4FE0">
        <w:t>:</w:t>
      </w:r>
    </w:p>
    <w:p w14:paraId="4299D7F0" w14:textId="77777777" w:rsidR="00F86E71" w:rsidRPr="002C4FE0" w:rsidRDefault="001C7847" w:rsidP="000A1B0B">
      <w:pPr>
        <w:pStyle w:val="LI-BodyTextParaa"/>
      </w:pPr>
      <w:r w:rsidRPr="002C4FE0">
        <w:t>(</w:t>
      </w:r>
      <w:r w:rsidR="0092142C">
        <w:t>a</w:t>
      </w:r>
      <w:r w:rsidRPr="002C4FE0">
        <w:t>)</w:t>
      </w:r>
      <w:r w:rsidR="00DC7DB8" w:rsidRPr="002C4FE0">
        <w:tab/>
      </w:r>
      <w:proofErr w:type="gramStart"/>
      <w:r w:rsidR="004B6643" w:rsidRPr="002C4FE0">
        <w:t>s</w:t>
      </w:r>
      <w:r w:rsidR="00085323">
        <w:t>ubs</w:t>
      </w:r>
      <w:r w:rsidR="004B6643" w:rsidRPr="002C4FE0">
        <w:t>ection</w:t>
      </w:r>
      <w:proofErr w:type="gramEnd"/>
      <w:r w:rsidR="004B6643" w:rsidRPr="002C4FE0">
        <w:t xml:space="preserve"> 601ED</w:t>
      </w:r>
      <w:r w:rsidR="00085323">
        <w:t>(5)</w:t>
      </w:r>
      <w:r w:rsidR="00DC7DB8" w:rsidRPr="002C4FE0">
        <w:t xml:space="preserve"> of the Act</w:t>
      </w:r>
      <w:r w:rsidR="00DD2A3B">
        <w:t xml:space="preserve"> in relation to the scheme</w:t>
      </w:r>
      <w:r w:rsidR="00DC7DB8" w:rsidRPr="002C4FE0">
        <w:t>;</w:t>
      </w:r>
    </w:p>
    <w:p w14:paraId="22FDF2EC" w14:textId="77777777" w:rsidR="00AB38B7" w:rsidRPr="00EB1EA7" w:rsidRDefault="00BF5166" w:rsidP="000A1B0B">
      <w:pPr>
        <w:pStyle w:val="LI-BodyTextParaa"/>
      </w:pPr>
      <w:r w:rsidRPr="002C4FE0">
        <w:t>(</w:t>
      </w:r>
      <w:r w:rsidR="00DD2A3B">
        <w:t>b</w:t>
      </w:r>
      <w:r w:rsidRPr="002C4FE0">
        <w:t>)</w:t>
      </w:r>
      <w:r w:rsidRPr="002C4FE0">
        <w:tab/>
      </w:r>
      <w:r w:rsidR="00DD2A3B">
        <w:t>s</w:t>
      </w:r>
      <w:r w:rsidR="00085323">
        <w:t>ubs</w:t>
      </w:r>
      <w:r w:rsidR="00DD2A3B">
        <w:t>ection 911A</w:t>
      </w:r>
      <w:r w:rsidR="00085323">
        <w:t>(1)</w:t>
      </w:r>
      <w:r w:rsidR="00DD2A3B">
        <w:t xml:space="preserve"> of the Act to the extent that it requires the </w:t>
      </w:r>
      <w:r w:rsidR="006709A5">
        <w:t>o</w:t>
      </w:r>
      <w:r w:rsidR="009F2CE4">
        <w:t>perator</w:t>
      </w:r>
      <w:r w:rsidR="00DD2A3B">
        <w:t xml:space="preserve"> to</w:t>
      </w:r>
      <w:r w:rsidR="00DC7DB8" w:rsidRPr="002C4FE0">
        <w:t xml:space="preserve"> hold an Australian financial services licence </w:t>
      </w:r>
      <w:r w:rsidR="00DD2A3B">
        <w:t>covering the provision of</w:t>
      </w:r>
      <w:r w:rsidR="00DC7DB8" w:rsidRPr="002C4FE0">
        <w:t xml:space="preserve"> general advice in relation to, and dealing in, interest</w:t>
      </w:r>
      <w:r w:rsidR="00524386">
        <w:t xml:space="preserve">s in </w:t>
      </w:r>
      <w:r w:rsidR="00DD2A3B" w:rsidRPr="00EB1EA7">
        <w:t xml:space="preserve">the </w:t>
      </w:r>
      <w:r w:rsidR="00524386" w:rsidRPr="00EB1EA7">
        <w:t>strata scheme</w:t>
      </w:r>
      <w:r w:rsidR="00AB002C" w:rsidRPr="00EB1EA7">
        <w:t>;</w:t>
      </w:r>
    </w:p>
    <w:p w14:paraId="5060E3D8" w14:textId="121D0AB6" w:rsidR="00D12746" w:rsidRPr="00EB1EA7" w:rsidRDefault="00D12746" w:rsidP="00EB1EA7">
      <w:pPr>
        <w:pStyle w:val="ListA"/>
        <w:spacing w:before="240"/>
        <w:ind w:left="2268" w:hanging="567"/>
        <w:rPr>
          <w:rFonts w:cs="Times"/>
          <w:color w:val="000000"/>
        </w:rPr>
      </w:pPr>
      <w:r w:rsidRPr="007626F5">
        <w:rPr>
          <w:sz w:val="18"/>
          <w:szCs w:val="18"/>
        </w:rPr>
        <w:t xml:space="preserve">Note: </w:t>
      </w:r>
      <w:r w:rsidRPr="007626F5">
        <w:rPr>
          <w:sz w:val="18"/>
          <w:szCs w:val="18"/>
        </w:rPr>
        <w:tab/>
      </w:r>
      <w:r w:rsidRPr="007626F5">
        <w:rPr>
          <w:i/>
          <w:iCs/>
          <w:sz w:val="18"/>
          <w:szCs w:val="18"/>
        </w:rPr>
        <w:t>ASIC Corporations (Effect of Licensing Exemptions) Instrument 2015/1115</w:t>
      </w:r>
      <w:r w:rsidRPr="007626F5">
        <w:rPr>
          <w:iCs/>
          <w:sz w:val="18"/>
          <w:szCs w:val="18"/>
        </w:rPr>
        <w:t xml:space="preserve"> provides relief from subsection 911B(1) of the Act to a </w:t>
      </w:r>
      <w:r w:rsidRPr="007626F5">
        <w:rPr>
          <w:sz w:val="18"/>
          <w:szCs w:val="18"/>
        </w:rPr>
        <w:t>person who provides financial services on behalf of a person who does not need an Australian financial services licence because of an exemption under section 926A of the Act.</w:t>
      </w:r>
    </w:p>
    <w:p w14:paraId="035D0E52" w14:textId="77777777" w:rsidR="008F28AE" w:rsidRDefault="00BF5166" w:rsidP="000A1B0B">
      <w:pPr>
        <w:pStyle w:val="LI-BodyTextParaa"/>
      </w:pPr>
      <w:r w:rsidRPr="00C62CB5">
        <w:t>(</w:t>
      </w:r>
      <w:r w:rsidR="00DD2A3B">
        <w:t>c</w:t>
      </w:r>
      <w:r w:rsidRPr="00C62CB5">
        <w:t>)</w:t>
      </w:r>
      <w:r w:rsidRPr="00C62CB5">
        <w:tab/>
      </w:r>
      <w:proofErr w:type="gramStart"/>
      <w:r w:rsidR="008F28AE" w:rsidRPr="00C62CB5">
        <w:t>section</w:t>
      </w:r>
      <w:r w:rsidR="001C5222">
        <w:t>s</w:t>
      </w:r>
      <w:proofErr w:type="gramEnd"/>
      <w:r w:rsidR="001C5222">
        <w:t xml:space="preserve"> 992A and</w:t>
      </w:r>
      <w:r w:rsidR="008F28AE" w:rsidRPr="00C62CB5">
        <w:t xml:space="preserve"> 992AA of the Act</w:t>
      </w:r>
      <w:r w:rsidR="009739AA" w:rsidRPr="00C62CB5">
        <w:t xml:space="preserve"> </w:t>
      </w:r>
      <w:r w:rsidR="001C5222">
        <w:t>in relation to an</w:t>
      </w:r>
      <w:r w:rsidR="001C5222" w:rsidRPr="00C62CB5">
        <w:t xml:space="preserve"> </w:t>
      </w:r>
      <w:r w:rsidR="009739AA" w:rsidRPr="00C62CB5">
        <w:t xml:space="preserve">offer for issue of interests in </w:t>
      </w:r>
      <w:r w:rsidR="00DD2A3B">
        <w:t xml:space="preserve">the </w:t>
      </w:r>
      <w:r w:rsidR="00524386" w:rsidRPr="00C62CB5">
        <w:t>strata</w:t>
      </w:r>
      <w:r w:rsidR="009739AA" w:rsidRPr="00C62CB5">
        <w:t xml:space="preserve"> scheme</w:t>
      </w:r>
      <w:r w:rsidR="008F28AE" w:rsidRPr="00C62CB5">
        <w:t>.</w:t>
      </w:r>
    </w:p>
    <w:p w14:paraId="23FB1750" w14:textId="77777777" w:rsidR="00DD2A3B" w:rsidRDefault="00DC3693" w:rsidP="000A1B0B">
      <w:pPr>
        <w:pStyle w:val="LI-BodyTextNumbered"/>
      </w:pPr>
      <w:r>
        <w:t>(2)</w:t>
      </w:r>
      <w:r>
        <w:tab/>
        <w:t>This exemption may be relied on where</w:t>
      </w:r>
      <w:r w:rsidR="00C70545" w:rsidRPr="00C70545">
        <w:t xml:space="preserve"> </w:t>
      </w:r>
      <w:r w:rsidR="00C70545">
        <w:t>all of the following are satisfied</w:t>
      </w:r>
      <w:r>
        <w:t>:</w:t>
      </w:r>
    </w:p>
    <w:p w14:paraId="72BA2263" w14:textId="77777777" w:rsidR="00060870" w:rsidRDefault="000D74E4" w:rsidP="000A1B0B">
      <w:pPr>
        <w:pStyle w:val="LI-BodyTextParaa"/>
      </w:pPr>
      <w:r>
        <w:t>(a)</w:t>
      </w:r>
      <w:r>
        <w:tab/>
      </w:r>
      <w:proofErr w:type="gramStart"/>
      <w:r w:rsidR="00060870">
        <w:t>either</w:t>
      </w:r>
      <w:proofErr w:type="gramEnd"/>
      <w:r w:rsidR="00060870">
        <w:t>:</w:t>
      </w:r>
    </w:p>
    <w:p w14:paraId="69C6375C" w14:textId="77777777" w:rsidR="00DC3693" w:rsidRDefault="00060870" w:rsidP="000A1B0B">
      <w:pPr>
        <w:pStyle w:val="LI-BodyTextSubparai"/>
      </w:pPr>
      <w:r>
        <w:t>(</w:t>
      </w:r>
      <w:proofErr w:type="spellStart"/>
      <w:r>
        <w:t>i</w:t>
      </w:r>
      <w:proofErr w:type="spellEnd"/>
      <w:r>
        <w:t>)</w:t>
      </w:r>
      <w:r>
        <w:tab/>
      </w:r>
      <w:proofErr w:type="gramStart"/>
      <w:r w:rsidR="000D74E4">
        <w:t>each</w:t>
      </w:r>
      <w:proofErr w:type="gramEnd"/>
      <w:r w:rsidR="000D74E4">
        <w:t xml:space="preserve"> strata u</w:t>
      </w:r>
      <w:r w:rsidR="00DC3693">
        <w:t>nit to which the scheme relates can be</w:t>
      </w:r>
      <w:r>
        <w:t xml:space="preserve"> lawfully used as a residence; or</w:t>
      </w:r>
    </w:p>
    <w:p w14:paraId="7446A6F3" w14:textId="77777777" w:rsidR="00060870" w:rsidRDefault="00060870" w:rsidP="000A1B0B">
      <w:pPr>
        <w:pStyle w:val="LI-BodyTextSubparai"/>
      </w:pPr>
      <w:r>
        <w:t>(ii)</w:t>
      </w:r>
      <w:r>
        <w:tab/>
      </w:r>
      <w:proofErr w:type="gramStart"/>
      <w:r w:rsidR="009F2CE4">
        <w:t>the</w:t>
      </w:r>
      <w:proofErr w:type="gramEnd"/>
      <w:r w:rsidR="009F2CE4">
        <w:t xml:space="preserve"> </w:t>
      </w:r>
      <w:r w:rsidR="004608EE">
        <w:t>o</w:t>
      </w:r>
      <w:r w:rsidR="009F2CE4">
        <w:t xml:space="preserve">perator has given to ASIC a written </w:t>
      </w:r>
      <w:r w:rsidR="003006BC">
        <w:t>statement</w:t>
      </w:r>
      <w:r w:rsidR="009F2CE4">
        <w:t xml:space="preserve"> from a</w:t>
      </w:r>
      <w:r w:rsidR="002B7BA5">
        <w:t>n independent</w:t>
      </w:r>
      <w:r w:rsidR="009F2CE4">
        <w:t xml:space="preserve"> real estate agent that, in relation to each strata u</w:t>
      </w:r>
      <w:r w:rsidR="002B7BA5">
        <w:t>nit to which the scheme relates, the agent:</w:t>
      </w:r>
    </w:p>
    <w:p w14:paraId="557FB302" w14:textId="77777777" w:rsidR="002B7BA5" w:rsidRDefault="002B7BA5" w:rsidP="000A1B0B">
      <w:pPr>
        <w:pStyle w:val="LI-BodyTextSubsubparaA"/>
      </w:pPr>
      <w:r>
        <w:t>(A)</w:t>
      </w:r>
      <w:r>
        <w:tab/>
      </w:r>
      <w:proofErr w:type="gramStart"/>
      <w:r>
        <w:t>would</w:t>
      </w:r>
      <w:proofErr w:type="gramEnd"/>
      <w:r>
        <w:t xml:space="preserve"> be </w:t>
      </w:r>
      <w:r w:rsidRPr="002B7BA5">
        <w:t xml:space="preserve">willing and able to offer </w:t>
      </w:r>
      <w:r>
        <w:t xml:space="preserve">the unit </w:t>
      </w:r>
      <w:r w:rsidRPr="002B7BA5">
        <w:t xml:space="preserve">for letting at </w:t>
      </w:r>
      <w:r>
        <w:t xml:space="preserve">a </w:t>
      </w:r>
      <w:r w:rsidRPr="002B7BA5">
        <w:t xml:space="preserve">reasonable </w:t>
      </w:r>
      <w:r w:rsidR="005930DA">
        <w:t>rate</w:t>
      </w:r>
      <w:r w:rsidRPr="002B7BA5">
        <w:t xml:space="preserve"> having rega</w:t>
      </w:r>
      <w:r>
        <w:t>rd to the value of the unit; and</w:t>
      </w:r>
    </w:p>
    <w:p w14:paraId="1F0341F3" w14:textId="77777777" w:rsidR="002B7BA5" w:rsidRDefault="002B7BA5" w:rsidP="000A1B0B">
      <w:pPr>
        <w:pStyle w:val="LI-BodyTextSubsubparaA"/>
      </w:pPr>
      <w:r>
        <w:t>(B)</w:t>
      </w:r>
      <w:r>
        <w:tab/>
      </w:r>
      <w:proofErr w:type="gramStart"/>
      <w:r w:rsidRPr="002B7BA5">
        <w:t>would</w:t>
      </w:r>
      <w:proofErr w:type="gramEnd"/>
      <w:r w:rsidRPr="002B7BA5">
        <w:t xml:space="preserve"> expect </w:t>
      </w:r>
      <w:r>
        <w:t>that</w:t>
      </w:r>
      <w:r w:rsidR="005930DA">
        <w:t xml:space="preserve"> t</w:t>
      </w:r>
      <w:r>
        <w:t xml:space="preserve">here would be a reasonable degree </w:t>
      </w:r>
      <w:r w:rsidR="005930DA">
        <w:t>of occupancy of the unit at that rate;</w:t>
      </w:r>
    </w:p>
    <w:p w14:paraId="5B05C22B" w14:textId="68479B5C" w:rsidR="00384EB4" w:rsidRDefault="00060870" w:rsidP="000A1B0B">
      <w:pPr>
        <w:pStyle w:val="LI-BodyTextParaa"/>
      </w:pPr>
      <w:r>
        <w:t>(b)</w:t>
      </w:r>
      <w:r>
        <w:tab/>
      </w:r>
      <w:proofErr w:type="gramStart"/>
      <w:r>
        <w:t>each</w:t>
      </w:r>
      <w:proofErr w:type="gramEnd"/>
      <w:r>
        <w:t xml:space="preserve"> i</w:t>
      </w:r>
      <w:r w:rsidR="00DC3693">
        <w:t xml:space="preserve">nvestor and the </w:t>
      </w:r>
      <w:r w:rsidR="004608EE">
        <w:t>o</w:t>
      </w:r>
      <w:r w:rsidR="00DC3693">
        <w:t xml:space="preserve">perator may withdraw from the </w:t>
      </w:r>
      <w:r w:rsidR="00384EB4">
        <w:t>s</w:t>
      </w:r>
      <w:r w:rsidR="00DC3693">
        <w:t>cheme on no more than 90 days</w:t>
      </w:r>
      <w:r w:rsidR="00B85B95">
        <w:t>’</w:t>
      </w:r>
      <w:r w:rsidR="00DC3693">
        <w:t xml:space="preserve"> notice</w:t>
      </w:r>
      <w:r w:rsidR="00384EB4">
        <w:t>;</w:t>
      </w:r>
    </w:p>
    <w:p w14:paraId="06F6E2FC" w14:textId="77777777" w:rsidR="00DC3693" w:rsidRDefault="00384EB4" w:rsidP="000A1B0B">
      <w:pPr>
        <w:pStyle w:val="LI-BodyTextParaa"/>
      </w:pPr>
      <w:r>
        <w:t>(c)</w:t>
      </w:r>
      <w:r>
        <w:tab/>
      </w:r>
      <w:proofErr w:type="gramStart"/>
      <w:r w:rsidR="00DC3693">
        <w:t>an</w:t>
      </w:r>
      <w:proofErr w:type="gramEnd"/>
      <w:r w:rsidR="00DC3693">
        <w:t xml:space="preserve"> </w:t>
      </w:r>
      <w:r w:rsidR="00E427E3">
        <w:t>i</w:t>
      </w:r>
      <w:r w:rsidR="00DC3693">
        <w:t xml:space="preserve">nvestor </w:t>
      </w:r>
      <w:r>
        <w:t>who</w:t>
      </w:r>
      <w:r w:rsidR="00DC3693">
        <w:t xml:space="preserve"> withdraws </w:t>
      </w:r>
      <w:r>
        <w:t xml:space="preserve">from the scheme </w:t>
      </w:r>
      <w:r w:rsidR="00DC3693">
        <w:t xml:space="preserve">will not be bound after </w:t>
      </w:r>
      <w:r>
        <w:t>their</w:t>
      </w:r>
      <w:r w:rsidR="00DC3693">
        <w:t xml:space="preserve"> notice</w:t>
      </w:r>
      <w:r>
        <w:t xml:space="preserve"> under paragraph</w:t>
      </w:r>
      <w:r w:rsidR="005359E1">
        <w:t xml:space="preserve"> (b</w:t>
      </w:r>
      <w:r>
        <w:t>)</w:t>
      </w:r>
      <w:r w:rsidR="00DC3693">
        <w:t xml:space="preserve"> expires to allow use of their </w:t>
      </w:r>
      <w:r w:rsidR="00E427E3">
        <w:t>strata unit</w:t>
      </w:r>
      <w:r w:rsidR="00DC3693">
        <w:t xml:space="preserve"> except for occupation of the </w:t>
      </w:r>
      <w:r w:rsidR="00E427E3">
        <w:t>unit</w:t>
      </w:r>
      <w:r w:rsidR="00DC3693">
        <w:t>:</w:t>
      </w:r>
    </w:p>
    <w:p w14:paraId="486E9E96" w14:textId="77777777" w:rsidR="00DC3693" w:rsidRDefault="00DC3693" w:rsidP="000A1B0B">
      <w:pPr>
        <w:pStyle w:val="LI-BodyTextSubparai"/>
      </w:pPr>
      <w:r>
        <w:t>(</w:t>
      </w:r>
      <w:proofErr w:type="spellStart"/>
      <w:r>
        <w:t>i</w:t>
      </w:r>
      <w:proofErr w:type="spellEnd"/>
      <w:r>
        <w:t>)</w:t>
      </w:r>
      <w:r>
        <w:tab/>
      </w:r>
      <w:proofErr w:type="gramStart"/>
      <w:r>
        <w:t>by</w:t>
      </w:r>
      <w:proofErr w:type="gramEnd"/>
      <w:r>
        <w:t xml:space="preserve"> a person other than the </w:t>
      </w:r>
      <w:r w:rsidR="004608EE">
        <w:t>o</w:t>
      </w:r>
      <w:r>
        <w:t xml:space="preserve">perator or an associate of the </w:t>
      </w:r>
      <w:r w:rsidR="004608EE">
        <w:t>o</w:t>
      </w:r>
      <w:r>
        <w:t xml:space="preserve">perator; and </w:t>
      </w:r>
    </w:p>
    <w:p w14:paraId="56C6AD71" w14:textId="77777777" w:rsidR="00DC3693" w:rsidRDefault="00DC3693" w:rsidP="000A1B0B">
      <w:pPr>
        <w:pStyle w:val="LI-BodyTextSubparai"/>
      </w:pPr>
      <w:r>
        <w:lastRenderedPageBreak/>
        <w:t>(ii)</w:t>
      </w:r>
      <w:r>
        <w:tab/>
      </w:r>
      <w:proofErr w:type="gramStart"/>
      <w:r>
        <w:t>under</w:t>
      </w:r>
      <w:proofErr w:type="gramEnd"/>
      <w:r>
        <w:t xml:space="preserve"> an agreement that the </w:t>
      </w:r>
      <w:r w:rsidR="004608EE">
        <w:t>o</w:t>
      </w:r>
      <w:r>
        <w:t>perator made with that person before the notice was given;</w:t>
      </w:r>
    </w:p>
    <w:p w14:paraId="1EF8B6CC" w14:textId="77777777" w:rsidR="00DC3693" w:rsidRDefault="00DC3693" w:rsidP="000A1B0B">
      <w:pPr>
        <w:pStyle w:val="LI-BodyTextParaa"/>
      </w:pPr>
      <w:r>
        <w:t>(</w:t>
      </w:r>
      <w:r w:rsidR="005359E1">
        <w:t>d</w:t>
      </w:r>
      <w:r>
        <w:t>)</w:t>
      </w:r>
      <w:r>
        <w:tab/>
      </w:r>
      <w:proofErr w:type="gramStart"/>
      <w:r>
        <w:t>each</w:t>
      </w:r>
      <w:proofErr w:type="gramEnd"/>
      <w:r>
        <w:t xml:space="preserve"> </w:t>
      </w:r>
      <w:r w:rsidR="00E427E3">
        <w:t>i</w:t>
      </w:r>
      <w:r>
        <w:t>nvestor may, if the</w:t>
      </w:r>
      <w:r w:rsidR="00E427E3">
        <w:t>y</w:t>
      </w:r>
      <w:r>
        <w:t xml:space="preserve"> withdraw from the </w:t>
      </w:r>
      <w:r w:rsidR="00E427E3">
        <w:t>s</w:t>
      </w:r>
      <w:r>
        <w:t xml:space="preserve">cheme, appoint another person to manage their </w:t>
      </w:r>
      <w:r w:rsidR="00E427E3">
        <w:t>s</w:t>
      </w:r>
      <w:r>
        <w:t xml:space="preserve">trata </w:t>
      </w:r>
      <w:r w:rsidR="00E427E3">
        <w:t>u</w:t>
      </w:r>
      <w:r>
        <w:t xml:space="preserve">nit; </w:t>
      </w:r>
    </w:p>
    <w:p w14:paraId="4689756B" w14:textId="77777777" w:rsidR="00D3163C" w:rsidRDefault="00DC3693" w:rsidP="000A1B0B">
      <w:pPr>
        <w:pStyle w:val="LI-BodyTextParaa"/>
      </w:pPr>
      <w:r>
        <w:t>(</w:t>
      </w:r>
      <w:r w:rsidR="005359E1">
        <w:t>e</w:t>
      </w:r>
      <w:r>
        <w:t>)</w:t>
      </w:r>
      <w:r>
        <w:tab/>
      </w:r>
      <w:proofErr w:type="gramStart"/>
      <w:r w:rsidR="00CE5C24">
        <w:t>if</w:t>
      </w:r>
      <w:proofErr w:type="gramEnd"/>
      <w:r w:rsidR="00CE5C24">
        <w:t xml:space="preserve"> </w:t>
      </w:r>
      <w:r>
        <w:t xml:space="preserve">the </w:t>
      </w:r>
      <w:r w:rsidR="004608EE">
        <w:t>o</w:t>
      </w:r>
      <w:r>
        <w:t xml:space="preserve">perator is managing the letting of the </w:t>
      </w:r>
      <w:r w:rsidR="00BF75A3">
        <w:t>s</w:t>
      </w:r>
      <w:r>
        <w:t xml:space="preserve">trata </w:t>
      </w:r>
      <w:r w:rsidR="00BF75A3">
        <w:t>u</w:t>
      </w:r>
      <w:r>
        <w:t>nits</w:t>
      </w:r>
      <w:r w:rsidR="00CE5C24">
        <w:t xml:space="preserve">, the </w:t>
      </w:r>
      <w:r w:rsidR="001220BA">
        <w:t>operator</w:t>
      </w:r>
      <w:r>
        <w:t xml:space="preserve"> has not </w:t>
      </w:r>
      <w:r w:rsidR="00235BAE">
        <w:t>agreed</w:t>
      </w:r>
      <w:r>
        <w:t xml:space="preserve"> </w:t>
      </w:r>
      <w:r w:rsidR="001220BA">
        <w:t xml:space="preserve">after the commencement of this section </w:t>
      </w:r>
      <w:r>
        <w:t>to</w:t>
      </w:r>
      <w:r w:rsidR="00D3163C">
        <w:t>:</w:t>
      </w:r>
    </w:p>
    <w:p w14:paraId="226A6463" w14:textId="77777777" w:rsidR="00D3163C" w:rsidRDefault="00D3163C" w:rsidP="008756BC">
      <w:pPr>
        <w:pStyle w:val="LI-BodyTextSubparai"/>
      </w:pPr>
      <w:r>
        <w:t>(</w:t>
      </w:r>
      <w:proofErr w:type="spellStart"/>
      <w:r>
        <w:t>i</w:t>
      </w:r>
      <w:proofErr w:type="spellEnd"/>
      <w:r>
        <w:t>)</w:t>
      </w:r>
      <w:r>
        <w:tab/>
      </w:r>
      <w:proofErr w:type="gramStart"/>
      <w:r w:rsidR="00DC3693">
        <w:t>make</w:t>
      </w:r>
      <w:proofErr w:type="gramEnd"/>
      <w:r w:rsidR="00DC3693">
        <w:t xml:space="preserve"> payments to </w:t>
      </w:r>
      <w:r w:rsidR="008F23A0">
        <w:t>i</w:t>
      </w:r>
      <w:r w:rsidR="00DC3693">
        <w:t>nvestors (whether by way of guarantee or otherwise)</w:t>
      </w:r>
      <w:r>
        <w:t>; or</w:t>
      </w:r>
    </w:p>
    <w:p w14:paraId="6699EDA0" w14:textId="77777777" w:rsidR="008756BC" w:rsidRDefault="00D3163C" w:rsidP="008756BC">
      <w:pPr>
        <w:pStyle w:val="LI-BodyTextSubparai"/>
      </w:pPr>
      <w:r>
        <w:t>(ii)</w:t>
      </w:r>
      <w:r>
        <w:tab/>
      </w:r>
      <w:proofErr w:type="gramStart"/>
      <w:r w:rsidR="008756BC">
        <w:t>cover</w:t>
      </w:r>
      <w:proofErr w:type="gramEnd"/>
      <w:r w:rsidR="008756BC">
        <w:t xml:space="preserve"> or reimburse in whole or in part </w:t>
      </w:r>
      <w:r w:rsidR="008756BC" w:rsidRPr="008756BC">
        <w:t>(whether under an indemnity or otherwise)</w:t>
      </w:r>
      <w:r w:rsidR="008756BC">
        <w:t xml:space="preserve"> payments that are made by</w:t>
      </w:r>
      <w:r>
        <w:t xml:space="preserve"> any other person </w:t>
      </w:r>
      <w:r w:rsidR="008756BC">
        <w:t>to investors,</w:t>
      </w:r>
    </w:p>
    <w:p w14:paraId="3A3DEDCA" w14:textId="77777777" w:rsidR="00DC3693" w:rsidRDefault="00DC3693" w:rsidP="008756BC">
      <w:pPr>
        <w:pStyle w:val="LI-BodyTextParaa"/>
        <w:ind w:firstLine="0"/>
      </w:pPr>
      <w:proofErr w:type="gramStart"/>
      <w:r>
        <w:t>in</w:t>
      </w:r>
      <w:proofErr w:type="gramEnd"/>
      <w:r>
        <w:t xml:space="preserve"> relation to the use of the </w:t>
      </w:r>
      <w:r w:rsidR="008F23A0">
        <w:t>s</w:t>
      </w:r>
      <w:r>
        <w:t xml:space="preserve">trata </w:t>
      </w:r>
      <w:r w:rsidR="008F23A0">
        <w:t>u</w:t>
      </w:r>
      <w:r>
        <w:t xml:space="preserve">nits of </w:t>
      </w:r>
      <w:r w:rsidR="008F23A0">
        <w:t>i</w:t>
      </w:r>
      <w:r>
        <w:t xml:space="preserve">nvestors after the </w:t>
      </w:r>
      <w:r w:rsidR="004608EE">
        <w:t>o</w:t>
      </w:r>
      <w:r>
        <w:t xml:space="preserve">perator withdraws from the </w:t>
      </w:r>
      <w:r w:rsidR="00BF75A3">
        <w:t>s</w:t>
      </w:r>
      <w:r>
        <w:t>cheme;</w:t>
      </w:r>
    </w:p>
    <w:p w14:paraId="74D82FFA" w14:textId="77777777" w:rsidR="00DC3693" w:rsidRDefault="00DC3693" w:rsidP="000A1B0B">
      <w:pPr>
        <w:pStyle w:val="LI-BodyTextParaa"/>
      </w:pPr>
      <w:r>
        <w:t>(</w:t>
      </w:r>
      <w:r w:rsidR="005359E1">
        <w:t>f</w:t>
      </w:r>
      <w:r>
        <w:t>)</w:t>
      </w:r>
      <w:r>
        <w:tab/>
      </w:r>
      <w:proofErr w:type="gramStart"/>
      <w:r w:rsidR="003B7797">
        <w:t>an</w:t>
      </w:r>
      <w:proofErr w:type="gramEnd"/>
      <w:r>
        <w:t xml:space="preserve"> </w:t>
      </w:r>
      <w:r w:rsidR="003B7797">
        <w:t>i</w:t>
      </w:r>
      <w:r>
        <w:t xml:space="preserve">nvestor </w:t>
      </w:r>
      <w:r w:rsidR="003B7797">
        <w:t xml:space="preserve">does not have to make payments </w:t>
      </w:r>
      <w:r>
        <w:t xml:space="preserve">to participate in the </w:t>
      </w:r>
      <w:r w:rsidR="003B7797">
        <w:t>s</w:t>
      </w:r>
      <w:r>
        <w:t>cheme other than:</w:t>
      </w:r>
    </w:p>
    <w:p w14:paraId="24B5829B" w14:textId="77777777" w:rsidR="00DC3693" w:rsidRDefault="00DC3693" w:rsidP="000A1B0B">
      <w:pPr>
        <w:pStyle w:val="LI-BodyTextSubparai"/>
      </w:pPr>
      <w:r>
        <w:t>(</w:t>
      </w:r>
      <w:proofErr w:type="spellStart"/>
      <w:r>
        <w:t>i</w:t>
      </w:r>
      <w:proofErr w:type="spellEnd"/>
      <w:r>
        <w:t>)</w:t>
      </w:r>
      <w:r>
        <w:tab/>
      </w:r>
      <w:proofErr w:type="gramStart"/>
      <w:r>
        <w:t>payment</w:t>
      </w:r>
      <w:r w:rsidR="003B7797">
        <w:t>s</w:t>
      </w:r>
      <w:proofErr w:type="gramEnd"/>
      <w:r>
        <w:t xml:space="preserve"> to buy the </w:t>
      </w:r>
      <w:r w:rsidR="003B7797">
        <w:t>s</w:t>
      </w:r>
      <w:r>
        <w:t xml:space="preserve">trata </w:t>
      </w:r>
      <w:r w:rsidR="003B7797">
        <w:t>u</w:t>
      </w:r>
      <w:r>
        <w:t xml:space="preserve">nit; and </w:t>
      </w:r>
    </w:p>
    <w:p w14:paraId="626046A7" w14:textId="77777777" w:rsidR="00DC3693" w:rsidRDefault="00A25C9E" w:rsidP="000A1B0B">
      <w:pPr>
        <w:pStyle w:val="LI-BodyTextSubparai"/>
      </w:pPr>
      <w:r>
        <w:t>(ii</w:t>
      </w:r>
      <w:r w:rsidR="00DC3693">
        <w:t>)</w:t>
      </w:r>
      <w:r w:rsidR="00DC3693">
        <w:tab/>
        <w:t xml:space="preserve">payments to </w:t>
      </w:r>
      <w:r w:rsidR="003B7797">
        <w:t>buy</w:t>
      </w:r>
      <w:r w:rsidR="00DC3693">
        <w:t xml:space="preserve"> furniture, fittings and equipment </w:t>
      </w:r>
      <w:r w:rsidR="003B7797">
        <w:t>for</w:t>
      </w:r>
      <w:r w:rsidR="00DC3693">
        <w:t xml:space="preserve"> the </w:t>
      </w:r>
      <w:r w:rsidR="003B7797">
        <w:t>strata unit</w:t>
      </w:r>
      <w:r w:rsidR="00DC3693">
        <w:t xml:space="preserve"> where the maximum amount of the payments and the items of furniture, fittings and equipment to be acquired are set out in the agreement referred to in paragraph (</w:t>
      </w:r>
      <w:r w:rsidR="005359E1">
        <w:t>h</w:t>
      </w:r>
      <w:r w:rsidR="00DC3693">
        <w:t>); and</w:t>
      </w:r>
    </w:p>
    <w:p w14:paraId="22836669" w14:textId="0C662FF2" w:rsidR="00DC3693" w:rsidRDefault="00DC3693" w:rsidP="000A1B0B">
      <w:pPr>
        <w:pStyle w:val="LI-BodyTextSubparai"/>
      </w:pPr>
      <w:r>
        <w:t>(ii</w:t>
      </w:r>
      <w:r w:rsidR="00A25C9E">
        <w:t>i</w:t>
      </w:r>
      <w:r>
        <w:t>)</w:t>
      </w:r>
      <w:r>
        <w:tab/>
      </w:r>
      <w:proofErr w:type="gramStart"/>
      <w:r>
        <w:t>payments</w:t>
      </w:r>
      <w:proofErr w:type="gramEnd"/>
      <w:r>
        <w:t xml:space="preserve"> of the </w:t>
      </w:r>
      <w:r w:rsidR="003B7797">
        <w:t>i</w:t>
      </w:r>
      <w:r>
        <w:t>nvestor</w:t>
      </w:r>
      <w:r w:rsidR="00B85B95">
        <w:t>’</w:t>
      </w:r>
      <w:r>
        <w:t xml:space="preserve">s reasonable proportion of the </w:t>
      </w:r>
      <w:r w:rsidR="00B76F01">
        <w:t>o</w:t>
      </w:r>
      <w:r>
        <w:t>perator</w:t>
      </w:r>
      <w:r w:rsidR="00B85B95">
        <w:t>’</w:t>
      </w:r>
      <w:r>
        <w:t xml:space="preserve">s fees and expenses with respect to the management of the </w:t>
      </w:r>
      <w:r w:rsidR="00BF75A3">
        <w:t>s</w:t>
      </w:r>
      <w:r>
        <w:t>cheme where</w:t>
      </w:r>
      <w:r w:rsidR="00085323">
        <w:t>:</w:t>
      </w:r>
      <w:r>
        <w:t xml:space="preserve"> </w:t>
      </w:r>
    </w:p>
    <w:p w14:paraId="25FC99A5" w14:textId="77777777" w:rsidR="00DC3693" w:rsidRDefault="00DC3693" w:rsidP="000A1B0B">
      <w:pPr>
        <w:pStyle w:val="LI-BodyTextSubsubparaA"/>
      </w:pPr>
      <w:r>
        <w:t>(A)</w:t>
      </w:r>
      <w:r>
        <w:tab/>
      </w:r>
      <w:r w:rsidR="00085323" w:rsidRPr="00085323">
        <w:t xml:space="preserve">in any 3 month period the total of such payments relates to a period of no more than 3 months and </w:t>
      </w:r>
      <w:r>
        <w:t xml:space="preserve">is reasonably commensurate with the work done or to be done, or the expenses incurred or likely to be incurred (as the case may be), by the </w:t>
      </w:r>
      <w:r w:rsidR="00085323">
        <w:t>o</w:t>
      </w:r>
      <w:r>
        <w:t xml:space="preserve">perator during the period to which the payments relate; and </w:t>
      </w:r>
    </w:p>
    <w:p w14:paraId="669F1E10" w14:textId="25BDB598" w:rsidR="00DC3693" w:rsidRDefault="00DC3693" w:rsidP="000A1B0B">
      <w:pPr>
        <w:pStyle w:val="LI-BodyTextSubsubparaA"/>
      </w:pPr>
      <w:r>
        <w:t>(B)</w:t>
      </w:r>
      <w:r>
        <w:tab/>
        <w:t xml:space="preserve">where a FFE Fund has been established for the </w:t>
      </w:r>
      <w:r w:rsidR="003B7797">
        <w:t>i</w:t>
      </w:r>
      <w:r>
        <w:t xml:space="preserve">nvestor — no payment is used for the replacement, repair or refurbishment of furniture, fittings and equipment of the </w:t>
      </w:r>
      <w:r w:rsidR="00BF75A3">
        <w:t>s</w:t>
      </w:r>
      <w:r>
        <w:t xml:space="preserve">trata </w:t>
      </w:r>
      <w:r w:rsidR="00BF75A3">
        <w:t>u</w:t>
      </w:r>
      <w:r>
        <w:t xml:space="preserve">nit in relation to the period to which the payment relates unless all money in the Fund has first been expended; and </w:t>
      </w:r>
    </w:p>
    <w:p w14:paraId="015144D3" w14:textId="77777777" w:rsidR="00DC3693" w:rsidRDefault="00A25C9E" w:rsidP="000A1B0B">
      <w:pPr>
        <w:pStyle w:val="LI-BodyTextSubparai"/>
      </w:pPr>
      <w:r>
        <w:t>(iv</w:t>
      </w:r>
      <w:r w:rsidR="00DC3693">
        <w:t>)</w:t>
      </w:r>
      <w:r w:rsidR="00DC3693">
        <w:tab/>
      </w:r>
      <w:proofErr w:type="gramStart"/>
      <w:r w:rsidR="00DC3693">
        <w:t>where</w:t>
      </w:r>
      <w:proofErr w:type="gramEnd"/>
      <w:r w:rsidR="00DC3693">
        <w:t xml:space="preserve"> a FFE Fund has been established for the </w:t>
      </w:r>
      <w:r w:rsidR="00BF75A3">
        <w:t>i</w:t>
      </w:r>
      <w:r w:rsidR="00DC3693">
        <w:t>nvestor —payments into the Fund where:</w:t>
      </w:r>
    </w:p>
    <w:p w14:paraId="25CA138B" w14:textId="77777777" w:rsidR="00DC3693" w:rsidRDefault="00DC3693" w:rsidP="000A1B0B">
      <w:pPr>
        <w:pStyle w:val="LI-BodyTextSubsubparaA"/>
      </w:pPr>
      <w:r>
        <w:lastRenderedPageBreak/>
        <w:t>(</w:t>
      </w:r>
      <w:r w:rsidR="00A25C9E">
        <w:t>A</w:t>
      </w:r>
      <w:r>
        <w:t>)</w:t>
      </w:r>
      <w:r>
        <w:tab/>
        <w:t xml:space="preserve">each payment is by way of a deduction from rental income of the </w:t>
      </w:r>
      <w:r w:rsidR="00BF75A3">
        <w:t>s</w:t>
      </w:r>
      <w:r>
        <w:t xml:space="preserve">cheme that would otherwise be paid to the </w:t>
      </w:r>
      <w:r w:rsidR="00BF75A3">
        <w:t>i</w:t>
      </w:r>
      <w:r>
        <w:t xml:space="preserve">nvestor in relation to a period </w:t>
      </w:r>
      <w:r w:rsidR="001220BA">
        <w:t xml:space="preserve">set by the operator </w:t>
      </w:r>
      <w:r>
        <w:t xml:space="preserve">and does not exceed 3% of the gross rent attributable to the </w:t>
      </w:r>
      <w:r w:rsidR="00BF75A3">
        <w:t>i</w:t>
      </w:r>
      <w:r>
        <w:t xml:space="preserve">nvestor for the period; and </w:t>
      </w:r>
    </w:p>
    <w:p w14:paraId="545C7A83" w14:textId="158AA40E" w:rsidR="00DC3693" w:rsidRDefault="00DC3693" w:rsidP="000A1B0B">
      <w:pPr>
        <w:pStyle w:val="LI-BodyTextSubsubparaA"/>
      </w:pPr>
      <w:r>
        <w:t>(</w:t>
      </w:r>
      <w:r w:rsidR="00A25C9E">
        <w:t>B</w:t>
      </w:r>
      <w:r>
        <w:t>)</w:t>
      </w:r>
      <w:r>
        <w:tab/>
      </w:r>
      <w:proofErr w:type="gramStart"/>
      <w:r>
        <w:t>the</w:t>
      </w:r>
      <w:proofErr w:type="gramEnd"/>
      <w:r>
        <w:t xml:space="preserve"> balance of the Fund </w:t>
      </w:r>
      <w:r w:rsidR="00BF75A3">
        <w:t>is no more than</w:t>
      </w:r>
      <w:r>
        <w:t xml:space="preserve"> $</w:t>
      </w:r>
      <w:r w:rsidR="00483B84">
        <w:t>10</w:t>
      </w:r>
      <w:r>
        <w:t xml:space="preserve">,000 for each </w:t>
      </w:r>
      <w:r w:rsidR="00BF75A3">
        <w:t>s</w:t>
      </w:r>
      <w:r>
        <w:t xml:space="preserve">trata </w:t>
      </w:r>
      <w:r w:rsidR="00BF75A3">
        <w:t>u</w:t>
      </w:r>
      <w:r>
        <w:t xml:space="preserve">nit made available by the </w:t>
      </w:r>
      <w:r w:rsidR="00BF75A3">
        <w:t>i</w:t>
      </w:r>
      <w:r>
        <w:t xml:space="preserve">nvestor for use as part of the </w:t>
      </w:r>
      <w:r w:rsidR="005359E1">
        <w:t>s</w:t>
      </w:r>
      <w:r>
        <w:t>cheme;</w:t>
      </w:r>
    </w:p>
    <w:p w14:paraId="7AD4CFB6" w14:textId="77777777" w:rsidR="00DC3693" w:rsidRDefault="00DC3693" w:rsidP="000A1B0B">
      <w:pPr>
        <w:pStyle w:val="LI-BodyTextParaa"/>
      </w:pPr>
      <w:r>
        <w:t>(</w:t>
      </w:r>
      <w:r w:rsidR="005359E1">
        <w:t>g</w:t>
      </w:r>
      <w:r>
        <w:t>)</w:t>
      </w:r>
      <w:r>
        <w:tab/>
        <w:t xml:space="preserve">the </w:t>
      </w:r>
      <w:r w:rsidR="005359E1">
        <w:t>purchase</w:t>
      </w:r>
      <w:r>
        <w:t xml:space="preserve"> of the </w:t>
      </w:r>
      <w:r w:rsidR="00BF75A3">
        <w:t>s</w:t>
      </w:r>
      <w:r>
        <w:t xml:space="preserve">trata </w:t>
      </w:r>
      <w:r w:rsidR="00BF75A3">
        <w:t>u</w:t>
      </w:r>
      <w:r>
        <w:t xml:space="preserve">nit </w:t>
      </w:r>
      <w:r w:rsidR="005359E1">
        <w:t xml:space="preserve">by the investor </w:t>
      </w:r>
      <w:r>
        <w:t xml:space="preserve">is not conditional on participation in the </w:t>
      </w:r>
      <w:r w:rsidR="005359E1">
        <w:t>s</w:t>
      </w:r>
      <w:r>
        <w:t xml:space="preserve">cheme whether by way of a term of the contract of sale, as a result of an interest (for example, a lease) that the </w:t>
      </w:r>
      <w:r w:rsidR="00BF75A3">
        <w:t>s</w:t>
      </w:r>
      <w:r>
        <w:t xml:space="preserve">trata </w:t>
      </w:r>
      <w:r w:rsidR="00BF75A3">
        <w:t>u</w:t>
      </w:r>
      <w:r>
        <w:t xml:space="preserve">nit is subject to immediately after the </w:t>
      </w:r>
      <w:r w:rsidR="005359E1">
        <w:t>purchase</w:t>
      </w:r>
      <w:r>
        <w:t xml:space="preserve"> or otherwise; </w:t>
      </w:r>
    </w:p>
    <w:p w14:paraId="513172A6" w14:textId="45EC8120" w:rsidR="00C70545" w:rsidRDefault="00DC3693" w:rsidP="000A1B0B">
      <w:pPr>
        <w:pStyle w:val="LI-BodyTextParaa"/>
      </w:pPr>
      <w:r>
        <w:t>(</w:t>
      </w:r>
      <w:r w:rsidR="005359E1">
        <w:t>h</w:t>
      </w:r>
      <w:r>
        <w:t>)</w:t>
      </w:r>
      <w:r>
        <w:tab/>
      </w:r>
      <w:r w:rsidR="001220BA">
        <w:t xml:space="preserve">if </w:t>
      </w:r>
      <w:r>
        <w:t xml:space="preserve">the </w:t>
      </w:r>
      <w:r w:rsidR="004608EE">
        <w:t>o</w:t>
      </w:r>
      <w:r>
        <w:t>perator is managing</w:t>
      </w:r>
      <w:r w:rsidR="004379E2">
        <w:t xml:space="preserve"> </w:t>
      </w:r>
      <w:r>
        <w:t xml:space="preserve">the letting of the </w:t>
      </w:r>
      <w:r w:rsidR="004379E2">
        <w:t>s</w:t>
      </w:r>
      <w:r>
        <w:t xml:space="preserve">trata </w:t>
      </w:r>
      <w:r w:rsidR="004379E2">
        <w:t>u</w:t>
      </w:r>
      <w:r>
        <w:t>nits</w:t>
      </w:r>
      <w:r w:rsidR="001220BA">
        <w:t>, the operator</w:t>
      </w:r>
      <w:r>
        <w:t xml:space="preserve"> has entered into a written agreement with each </w:t>
      </w:r>
      <w:r w:rsidR="004379E2">
        <w:t>i</w:t>
      </w:r>
      <w:r>
        <w:t>nvestor which includes provisions</w:t>
      </w:r>
      <w:r w:rsidR="00AF5144">
        <w:t xml:space="preserve"> to the effect of those</w:t>
      </w:r>
      <w:r>
        <w:t xml:space="preserve"> </w:t>
      </w:r>
      <w:r w:rsidR="00AF5144">
        <w:t>set out</w:t>
      </w:r>
      <w:r>
        <w:t xml:space="preserve"> in </w:t>
      </w:r>
      <w:r w:rsidR="00A10E36">
        <w:t xml:space="preserve">section </w:t>
      </w:r>
      <w:r w:rsidR="00512DD9" w:rsidRPr="007626F5">
        <w:t>1</w:t>
      </w:r>
      <w:r w:rsidR="00587EA7" w:rsidRPr="007626F5">
        <w:t>0</w:t>
      </w:r>
      <w:r w:rsidR="00C70545" w:rsidRPr="00EB1EA7">
        <w:t>;</w:t>
      </w:r>
    </w:p>
    <w:p w14:paraId="7903B798" w14:textId="77777777" w:rsidR="00483B84" w:rsidRDefault="00C70545" w:rsidP="000A1B0B">
      <w:pPr>
        <w:pStyle w:val="LI-BodyTextParaa"/>
      </w:pPr>
      <w:r>
        <w:t>(</w:t>
      </w:r>
      <w:proofErr w:type="spellStart"/>
      <w:r>
        <w:t>i</w:t>
      </w:r>
      <w:proofErr w:type="spellEnd"/>
      <w:r>
        <w:t>)</w:t>
      </w:r>
      <w:r>
        <w:tab/>
      </w:r>
      <w:proofErr w:type="gramStart"/>
      <w:r w:rsidR="00483B84">
        <w:t>either</w:t>
      </w:r>
      <w:proofErr w:type="gramEnd"/>
      <w:r w:rsidR="00483B84">
        <w:t>:</w:t>
      </w:r>
    </w:p>
    <w:p w14:paraId="71083C1E" w14:textId="1D2290C8" w:rsidR="00DC3693" w:rsidRDefault="00483B84" w:rsidP="00EB1EA7">
      <w:pPr>
        <w:pStyle w:val="LI-BodyTextSubparai"/>
      </w:pPr>
      <w:r>
        <w:t>(</w:t>
      </w:r>
      <w:proofErr w:type="spellStart"/>
      <w:r>
        <w:t>i</w:t>
      </w:r>
      <w:proofErr w:type="spellEnd"/>
      <w:r>
        <w:t>)</w:t>
      </w:r>
      <w:r>
        <w:tab/>
      </w:r>
      <w:r w:rsidR="00C70545" w:rsidRPr="008F23A0">
        <w:t xml:space="preserve">on 1 March 2000 there was no person who had bought or agreed to buy a </w:t>
      </w:r>
      <w:r w:rsidR="00C70545">
        <w:t>s</w:t>
      </w:r>
      <w:r w:rsidR="00C70545" w:rsidRPr="008F23A0">
        <w:t xml:space="preserve">trata </w:t>
      </w:r>
      <w:r w:rsidR="00C70545">
        <w:t>u</w:t>
      </w:r>
      <w:r w:rsidR="00C70545" w:rsidRPr="008F23A0">
        <w:t xml:space="preserve">nit </w:t>
      </w:r>
      <w:r w:rsidR="00C70545">
        <w:t xml:space="preserve">in relation to the scheme </w:t>
      </w:r>
      <w:r w:rsidR="00C70545" w:rsidRPr="008F23A0">
        <w:t xml:space="preserve">and who, before agreeing to buy, had been offered an interest in the </w:t>
      </w:r>
      <w:r w:rsidR="00C70545">
        <w:t>s</w:t>
      </w:r>
      <w:r w:rsidR="00C70545" w:rsidRPr="008F23A0">
        <w:t>cheme</w:t>
      </w:r>
      <w:r>
        <w:t>; or</w:t>
      </w:r>
    </w:p>
    <w:p w14:paraId="10D75F79" w14:textId="5218FF34" w:rsidR="00EB5406" w:rsidRDefault="00483B84" w:rsidP="00EB1EA7">
      <w:pPr>
        <w:pStyle w:val="LI-BodyTextSubparai"/>
      </w:pPr>
      <w:r>
        <w:t>(ii)</w:t>
      </w:r>
      <w:r>
        <w:tab/>
      </w:r>
      <w:proofErr w:type="gramStart"/>
      <w:r>
        <w:t>a</w:t>
      </w:r>
      <w:proofErr w:type="gramEnd"/>
      <w:r>
        <w:t xml:space="preserve"> majority of scheme </w:t>
      </w:r>
      <w:r w:rsidR="00182967">
        <w:t xml:space="preserve">members </w:t>
      </w:r>
      <w:r>
        <w:t>have agreed in writing that the operator may rely on this exemption</w:t>
      </w:r>
      <w:r w:rsidR="00EB5406">
        <w:t xml:space="preserve">; </w:t>
      </w:r>
    </w:p>
    <w:p w14:paraId="7441FF5B" w14:textId="3223E128" w:rsidR="00483B84" w:rsidRDefault="00EB5406" w:rsidP="00EB1EA7">
      <w:pPr>
        <w:pStyle w:val="LI-BodyTextSubparai"/>
        <w:ind w:left="1701"/>
      </w:pPr>
      <w:r>
        <w:t>(j)</w:t>
      </w:r>
      <w:r>
        <w:tab/>
        <w:t xml:space="preserve">the operator has not failed to comply with </w:t>
      </w:r>
      <w:r w:rsidR="00B85B95">
        <w:t>section</w:t>
      </w:r>
      <w:r>
        <w:t xml:space="preserve"> 7 in relation to the strata scheme, unless ASIC has notified the operator in writing after the failure that that this paragraph does not apply in relation</w:t>
      </w:r>
      <w:r w:rsidR="00506D73">
        <w:t xml:space="preserve"> </w:t>
      </w:r>
      <w:r w:rsidR="00506D73" w:rsidRPr="007626F5">
        <w:t>to</w:t>
      </w:r>
      <w:r>
        <w:t xml:space="preserve"> the breach the subject of the failure</w:t>
      </w:r>
      <w:r w:rsidR="00483B84">
        <w:t>.</w:t>
      </w:r>
    </w:p>
    <w:p w14:paraId="51910E92" w14:textId="77777777" w:rsidR="00182967" w:rsidRDefault="00182967" w:rsidP="00182967">
      <w:pPr>
        <w:pStyle w:val="LI-BodyTextNumbered"/>
      </w:pPr>
      <w:r w:rsidRPr="00C62CB5">
        <w:t>(</w:t>
      </w:r>
      <w:r>
        <w:t>3</w:t>
      </w:r>
      <w:r w:rsidRPr="00C62CB5">
        <w:t>)</w:t>
      </w:r>
      <w:r w:rsidRPr="00C62CB5">
        <w:tab/>
        <w:t xml:space="preserve">In </w:t>
      </w:r>
      <w:r>
        <w:t>working out</w:t>
      </w:r>
      <w:r w:rsidRPr="00C62CB5">
        <w:t xml:space="preserve"> if there is a majority of </w:t>
      </w:r>
      <w:r>
        <w:t>s</w:t>
      </w:r>
      <w:r w:rsidRPr="00C62CB5">
        <w:t>cheme members</w:t>
      </w:r>
      <w:r>
        <w:t xml:space="preserve"> for the purposes of subparagraph (2</w:t>
      </w:r>
      <w:proofErr w:type="gramStart"/>
      <w:r>
        <w:t>)(</w:t>
      </w:r>
      <w:proofErr w:type="spellStart"/>
      <w:proofErr w:type="gramEnd"/>
      <w:r>
        <w:t>i</w:t>
      </w:r>
      <w:proofErr w:type="spellEnd"/>
      <w:r>
        <w:t>)(ii):</w:t>
      </w:r>
      <w:r w:rsidRPr="00C62CB5">
        <w:t xml:space="preserve"> </w:t>
      </w:r>
    </w:p>
    <w:p w14:paraId="6C8BBCB1" w14:textId="3005AD51" w:rsidR="00182967" w:rsidRPr="00C62CB5" w:rsidRDefault="00182967" w:rsidP="00EB1EA7">
      <w:pPr>
        <w:pStyle w:val="LI-BodyTextSubparai"/>
        <w:ind w:left="1701"/>
      </w:pPr>
      <w:r>
        <w:t>(a)</w:t>
      </w:r>
      <w:r>
        <w:tab/>
      </w:r>
      <w:proofErr w:type="gramStart"/>
      <w:r w:rsidRPr="00C62CB5">
        <w:t>the</w:t>
      </w:r>
      <w:proofErr w:type="gramEnd"/>
      <w:r w:rsidRPr="00C62CB5">
        <w:t xml:space="preserve"> </w:t>
      </w:r>
      <w:r>
        <w:t>o</w:t>
      </w:r>
      <w:r w:rsidRPr="00C62CB5">
        <w:t xml:space="preserve">perator and its associates </w:t>
      </w:r>
      <w:r w:rsidR="00CA7388">
        <w:t>are</w:t>
      </w:r>
      <w:r>
        <w:t xml:space="preserve"> not be counted;</w:t>
      </w:r>
      <w:r w:rsidRPr="00C62CB5">
        <w:t xml:space="preserve"> </w:t>
      </w:r>
      <w:r>
        <w:t>and</w:t>
      </w:r>
    </w:p>
    <w:p w14:paraId="51D98BCE" w14:textId="64E39093" w:rsidR="00182967" w:rsidRDefault="00182967" w:rsidP="00EB1EA7">
      <w:pPr>
        <w:pStyle w:val="LI-BodyTextNumbered"/>
        <w:ind w:left="1701"/>
      </w:pPr>
      <w:r w:rsidRPr="00C62CB5">
        <w:t>(</w:t>
      </w:r>
      <w:r>
        <w:t>b</w:t>
      </w:r>
      <w:r w:rsidRPr="00C62CB5">
        <w:t>)</w:t>
      </w:r>
      <w:r w:rsidRPr="00C62CB5">
        <w:tab/>
      </w:r>
      <w:proofErr w:type="gramStart"/>
      <w:r w:rsidRPr="00C62CB5">
        <w:t>a</w:t>
      </w:r>
      <w:proofErr w:type="gramEnd"/>
      <w:r w:rsidRPr="00C62CB5">
        <w:t xml:space="preserve"> majority is based on </w:t>
      </w:r>
      <w:r>
        <w:t>the</w:t>
      </w:r>
      <w:r w:rsidRPr="00C62CB5">
        <w:t xml:space="preserve"> entitlement</w:t>
      </w:r>
      <w:r>
        <w:t xml:space="preserve"> of scheme members</w:t>
      </w:r>
      <w:r w:rsidRPr="00C62CB5">
        <w:t xml:space="preserve"> to vote at body corporate meetings if there is a body corporate for the property to which the </w:t>
      </w:r>
      <w:r>
        <w:t>s</w:t>
      </w:r>
      <w:r w:rsidRPr="00C62CB5">
        <w:t xml:space="preserve">cheme relates, and otherwise </w:t>
      </w:r>
      <w:r w:rsidR="00CA7388">
        <w:t xml:space="preserve">is based on </w:t>
      </w:r>
      <w:r>
        <w:t xml:space="preserve">each member </w:t>
      </w:r>
      <w:r w:rsidR="00CA7388">
        <w:t xml:space="preserve">having </w:t>
      </w:r>
      <w:r>
        <w:t>one vote.</w:t>
      </w:r>
    </w:p>
    <w:p w14:paraId="20879C17" w14:textId="1091844D" w:rsidR="003E1160" w:rsidRPr="00564D7D" w:rsidRDefault="00945349" w:rsidP="000A1B0B">
      <w:pPr>
        <w:pStyle w:val="LI-Heading2"/>
      </w:pPr>
      <w:bookmarkStart w:id="12" w:name="_Toc462049847"/>
      <w:r>
        <w:t>6</w:t>
      </w:r>
      <w:r w:rsidR="003E1160" w:rsidRPr="00564D7D">
        <w:tab/>
        <w:t xml:space="preserve">General </w:t>
      </w:r>
      <w:r w:rsidR="00827038">
        <w:t>c</w:t>
      </w:r>
      <w:r w:rsidR="003E1160" w:rsidRPr="00564D7D">
        <w:t xml:space="preserve">onditions on </w:t>
      </w:r>
      <w:r w:rsidR="00827038">
        <w:t>o</w:t>
      </w:r>
      <w:r w:rsidR="003E1160" w:rsidRPr="00564D7D">
        <w:t>perators</w:t>
      </w:r>
      <w:r w:rsidR="006A794D">
        <w:t xml:space="preserve"> other than promoter developers</w:t>
      </w:r>
      <w:bookmarkEnd w:id="12"/>
    </w:p>
    <w:p w14:paraId="0D7BD8F4" w14:textId="77777777" w:rsidR="00D72FF3" w:rsidRDefault="003E1160" w:rsidP="000A1B0B">
      <w:pPr>
        <w:pStyle w:val="LI-BodyTextNumbered"/>
      </w:pPr>
      <w:r w:rsidRPr="002C4FE0">
        <w:t>(1)</w:t>
      </w:r>
      <w:r w:rsidRPr="002C4FE0">
        <w:tab/>
        <w:t xml:space="preserve">The </w:t>
      </w:r>
      <w:r w:rsidR="004608EE">
        <w:t>o</w:t>
      </w:r>
      <w:r w:rsidRPr="002C4FE0">
        <w:t>perator must ensure that</w:t>
      </w:r>
      <w:r w:rsidR="00D72FF3">
        <w:t>:</w:t>
      </w:r>
    </w:p>
    <w:p w14:paraId="633EBDC3" w14:textId="50AF6425" w:rsidR="00D72FF3" w:rsidRDefault="00D72FF3" w:rsidP="000A1B0B">
      <w:pPr>
        <w:pStyle w:val="LI-BodyTextParaa"/>
      </w:pPr>
      <w:r>
        <w:t>(a)</w:t>
      </w:r>
      <w:r>
        <w:tab/>
        <w:t>a</w:t>
      </w:r>
      <w:r w:rsidR="003E1160" w:rsidRPr="002C4FE0">
        <w:t xml:space="preserve">ny part of the property </w:t>
      </w:r>
      <w:r w:rsidR="00040517">
        <w:t xml:space="preserve">of the scheme </w:t>
      </w:r>
      <w:r>
        <w:t xml:space="preserve">that is cash is promptly deposited with </w:t>
      </w:r>
      <w:r w:rsidR="003E1160" w:rsidRPr="002C4FE0">
        <w:t xml:space="preserve">an Australian ADI </w:t>
      </w:r>
      <w:r w:rsidRPr="00D72FF3">
        <w:t>on trust for investors in a trust account</w:t>
      </w:r>
      <w:r>
        <w:t>; and</w:t>
      </w:r>
    </w:p>
    <w:p w14:paraId="7902D9B9" w14:textId="2265CCFC" w:rsidR="003E1160" w:rsidRPr="002C4FE0" w:rsidRDefault="00D72FF3" w:rsidP="000A1B0B">
      <w:pPr>
        <w:pStyle w:val="LI-BodyTextParaa"/>
      </w:pPr>
      <w:r>
        <w:lastRenderedPageBreak/>
        <w:t>(b)</w:t>
      </w:r>
      <w:r w:rsidR="003E1160" w:rsidRPr="002C4FE0">
        <w:t xml:space="preserve"> </w:t>
      </w:r>
      <w:r>
        <w:tab/>
      </w:r>
      <w:proofErr w:type="gramStart"/>
      <w:r>
        <w:t>the</w:t>
      </w:r>
      <w:proofErr w:type="gramEnd"/>
      <w:r>
        <w:t xml:space="preserve"> account is</w:t>
      </w:r>
      <w:r w:rsidR="003E1160" w:rsidRPr="002C4FE0">
        <w:t xml:space="preserve"> subject t</w:t>
      </w:r>
      <w:r w:rsidR="001108D0">
        <w:t>o audit as to whether the money</w:t>
      </w:r>
      <w:r w:rsidR="003E1160" w:rsidRPr="002C4FE0">
        <w:t xml:space="preserve"> </w:t>
      </w:r>
      <w:r w:rsidR="001108D0">
        <w:t>has</w:t>
      </w:r>
      <w:r w:rsidR="003E1160" w:rsidRPr="002C4FE0">
        <w:t xml:space="preserve"> been dealt with in accordance with the terms of the trust by a registered company auditor at least annually. </w:t>
      </w:r>
    </w:p>
    <w:p w14:paraId="7D678005" w14:textId="77777777" w:rsidR="003E1160" w:rsidRDefault="003E1160" w:rsidP="003E1160">
      <w:pPr>
        <w:pStyle w:val="LI-BodyTextNumbered"/>
        <w:rPr>
          <w:rFonts w:cs="Times"/>
          <w:color w:val="000000"/>
        </w:rPr>
      </w:pPr>
      <w:r w:rsidRPr="002C4FE0">
        <w:t>(2)</w:t>
      </w:r>
      <w:r w:rsidRPr="002C4FE0">
        <w:tab/>
      </w:r>
      <w:r>
        <w:rPr>
          <w:rFonts w:cs="Times"/>
          <w:color w:val="000000"/>
        </w:rPr>
        <w:t xml:space="preserve">Where a FFE Fund has been established for an </w:t>
      </w:r>
      <w:r w:rsidR="00B22764">
        <w:rPr>
          <w:rFonts w:cs="Times"/>
          <w:color w:val="000000"/>
        </w:rPr>
        <w:t>i</w:t>
      </w:r>
      <w:r>
        <w:rPr>
          <w:rFonts w:cs="Times"/>
          <w:color w:val="000000"/>
        </w:rPr>
        <w:t xml:space="preserve">nvestor, the </w:t>
      </w:r>
      <w:r w:rsidR="004C0D5A">
        <w:rPr>
          <w:rFonts w:cs="Times"/>
          <w:color w:val="000000"/>
        </w:rPr>
        <w:t>o</w:t>
      </w:r>
      <w:r>
        <w:rPr>
          <w:rFonts w:cs="Times"/>
          <w:color w:val="000000"/>
        </w:rPr>
        <w:t>perator must ensure that:</w:t>
      </w:r>
    </w:p>
    <w:p w14:paraId="06A73CBA" w14:textId="7CC9FE8F" w:rsidR="003E1160" w:rsidRDefault="003E1160" w:rsidP="000A1B0B">
      <w:pPr>
        <w:pStyle w:val="LI-BodyTextParaa"/>
      </w:pPr>
      <w:r>
        <w:t>(a)</w:t>
      </w:r>
      <w:r>
        <w:tab/>
        <w:t xml:space="preserve">the money comprising the Fund is held on trust for the </w:t>
      </w:r>
      <w:r w:rsidR="00827038">
        <w:t>i</w:t>
      </w:r>
      <w:r>
        <w:t xml:space="preserve">nvestor in a trust account </w:t>
      </w:r>
      <w:r w:rsidR="00B22764">
        <w:t xml:space="preserve">with an Australian ADI </w:t>
      </w:r>
      <w:r>
        <w:t xml:space="preserve">and subject to audit as to whether the money has been dealt with in accordance with the terms of the trust by a registered company auditor at least annually; and </w:t>
      </w:r>
    </w:p>
    <w:p w14:paraId="58D15741" w14:textId="7D583D30" w:rsidR="003E1160" w:rsidRDefault="003E1160" w:rsidP="000A1B0B">
      <w:pPr>
        <w:pStyle w:val="LI-BodyTextParaa"/>
      </w:pPr>
      <w:r>
        <w:t>(b)</w:t>
      </w:r>
      <w:r>
        <w:tab/>
      </w:r>
      <w:proofErr w:type="gramStart"/>
      <w:r w:rsidR="00827038">
        <w:t>the</w:t>
      </w:r>
      <w:proofErr w:type="gramEnd"/>
      <w:r w:rsidR="00827038">
        <w:t xml:space="preserve"> </w:t>
      </w:r>
      <w:r>
        <w:t xml:space="preserve">balance of the Fund is promptly returned to the </w:t>
      </w:r>
      <w:r w:rsidR="00B22764">
        <w:t>i</w:t>
      </w:r>
      <w:r>
        <w:t xml:space="preserve">nvestor at the termination of the </w:t>
      </w:r>
      <w:r w:rsidR="00B22764">
        <w:t>s</w:t>
      </w:r>
      <w:r>
        <w:t xml:space="preserve">cheme or upon the </w:t>
      </w:r>
      <w:r w:rsidR="00B22764">
        <w:t>i</w:t>
      </w:r>
      <w:r>
        <w:t>nvestor</w:t>
      </w:r>
      <w:r w:rsidR="00B85B95">
        <w:t>’</w:t>
      </w:r>
      <w:r>
        <w:t>s withdrawal from the Scheme, whichever occurs first</w:t>
      </w:r>
      <w:r w:rsidR="00AF5144">
        <w:t>.</w:t>
      </w:r>
    </w:p>
    <w:p w14:paraId="720D2E7A" w14:textId="76EFFA6D" w:rsidR="003E1160" w:rsidRDefault="00512DD9" w:rsidP="003E1160">
      <w:pPr>
        <w:pStyle w:val="ListA"/>
        <w:ind w:left="1134" w:hanging="709"/>
        <w:rPr>
          <w:rFonts w:cs="Times"/>
          <w:color w:val="000000"/>
        </w:rPr>
      </w:pPr>
      <w:r>
        <w:rPr>
          <w:rFonts w:cs="Times"/>
          <w:color w:val="000000"/>
        </w:rPr>
        <w:t>(3)</w:t>
      </w:r>
      <w:r w:rsidR="003E1160">
        <w:rPr>
          <w:rFonts w:cs="Times"/>
          <w:color w:val="000000"/>
        </w:rPr>
        <w:tab/>
      </w:r>
      <w:r w:rsidR="000A1B0B">
        <w:t>If t</w:t>
      </w:r>
      <w:r w:rsidR="003E1160">
        <w:t xml:space="preserve">he </w:t>
      </w:r>
      <w:r w:rsidR="004608EE">
        <w:t>o</w:t>
      </w:r>
      <w:r w:rsidR="003E1160">
        <w:t xml:space="preserve">perator is managing the letting of the </w:t>
      </w:r>
      <w:r w:rsidR="00B22764">
        <w:t>s</w:t>
      </w:r>
      <w:r w:rsidR="003E1160">
        <w:t xml:space="preserve">trata </w:t>
      </w:r>
      <w:r w:rsidR="00B22764">
        <w:t>u</w:t>
      </w:r>
      <w:r w:rsidR="003E1160">
        <w:t>nits</w:t>
      </w:r>
      <w:r w:rsidR="000A1B0B">
        <w:t>, the operator</w:t>
      </w:r>
      <w:r w:rsidR="003E1160">
        <w:t xml:space="preserve"> must, as soon as practicable</w:t>
      </w:r>
      <w:r w:rsidR="00B41307">
        <w:t>, and</w:t>
      </w:r>
      <w:r w:rsidR="003E1160">
        <w:t xml:space="preserve"> in any event within 6 months after, the end of </w:t>
      </w:r>
      <w:r w:rsidR="00D76D49">
        <w:t>a</w:t>
      </w:r>
      <w:r w:rsidR="003E1160">
        <w:t xml:space="preserve"> reporting period, give each </w:t>
      </w:r>
      <w:r w:rsidR="00423352">
        <w:t>i</w:t>
      </w:r>
      <w:r w:rsidR="003E1160">
        <w:t xml:space="preserve">nvestor who was issued </w:t>
      </w:r>
      <w:r w:rsidR="00D76D49">
        <w:t>an</w:t>
      </w:r>
      <w:r w:rsidR="003E1160">
        <w:t xml:space="preserve"> interest in the </w:t>
      </w:r>
      <w:r w:rsidR="00B22764">
        <w:t>s</w:t>
      </w:r>
      <w:r w:rsidR="003E1160">
        <w:t xml:space="preserve">cheme as a retail client, a written statement for </w:t>
      </w:r>
      <w:r w:rsidR="00B22764">
        <w:t>the</w:t>
      </w:r>
      <w:r w:rsidR="003E1160">
        <w:t xml:space="preserve"> reporting period which details any transactions in relation to the </w:t>
      </w:r>
      <w:r w:rsidR="00B22764">
        <w:t>i</w:t>
      </w:r>
      <w:r w:rsidR="003E1160">
        <w:t xml:space="preserve">nvestor’s interest in the </w:t>
      </w:r>
      <w:r w:rsidR="00B22764">
        <w:t>s</w:t>
      </w:r>
      <w:r w:rsidR="003E1160">
        <w:t>cheme</w:t>
      </w:r>
      <w:r w:rsidR="00AF5144">
        <w:rPr>
          <w:rFonts w:cs="Times"/>
          <w:color w:val="000000"/>
        </w:rPr>
        <w:t>.</w:t>
      </w:r>
    </w:p>
    <w:p w14:paraId="7EBD04AA" w14:textId="77777777" w:rsidR="003E1160" w:rsidRDefault="00512DD9" w:rsidP="003E1160">
      <w:pPr>
        <w:pStyle w:val="ListA"/>
        <w:ind w:left="1134" w:hanging="709"/>
        <w:rPr>
          <w:rFonts w:cs="Times"/>
          <w:color w:val="000000"/>
        </w:rPr>
      </w:pPr>
      <w:r>
        <w:rPr>
          <w:rFonts w:cs="Times"/>
          <w:color w:val="000000"/>
        </w:rPr>
        <w:t>(4)</w:t>
      </w:r>
      <w:r w:rsidR="003E1160">
        <w:rPr>
          <w:rFonts w:cs="Times"/>
          <w:color w:val="000000"/>
        </w:rPr>
        <w:tab/>
      </w:r>
      <w:r w:rsidR="00C105B4">
        <w:t>If</w:t>
      </w:r>
      <w:r w:rsidR="000A1B0B">
        <w:t xml:space="preserve"> t</w:t>
      </w:r>
      <w:r w:rsidR="003E1160">
        <w:t xml:space="preserve">he </w:t>
      </w:r>
      <w:r w:rsidR="004608EE">
        <w:t>o</w:t>
      </w:r>
      <w:r w:rsidR="003E1160">
        <w:t xml:space="preserve">perator is managing the letting of the </w:t>
      </w:r>
      <w:r w:rsidR="00D76D49">
        <w:t>s</w:t>
      </w:r>
      <w:r w:rsidR="003E1160">
        <w:t xml:space="preserve">trata </w:t>
      </w:r>
      <w:r w:rsidR="00D76D49">
        <w:t>u</w:t>
      </w:r>
      <w:r w:rsidR="003E1160">
        <w:t>nits</w:t>
      </w:r>
      <w:r w:rsidR="000A1B0B">
        <w:t>, the manager</w:t>
      </w:r>
      <w:r w:rsidR="003E1160">
        <w:t xml:space="preserve"> must operate the </w:t>
      </w:r>
      <w:r w:rsidR="00B22764">
        <w:t>s</w:t>
      </w:r>
      <w:r w:rsidR="003E1160">
        <w:t xml:space="preserve">cheme in accordance with the agreement referred to in paragraph </w:t>
      </w:r>
      <w:r w:rsidR="004608EE">
        <w:t>5(2</w:t>
      </w:r>
      <w:proofErr w:type="gramStart"/>
      <w:r w:rsidR="004608EE">
        <w:t>)</w:t>
      </w:r>
      <w:r w:rsidR="003E1160">
        <w:t>(</w:t>
      </w:r>
      <w:proofErr w:type="gramEnd"/>
      <w:r w:rsidR="005359E1">
        <w:t>h</w:t>
      </w:r>
      <w:r w:rsidR="003E1160">
        <w:t>)</w:t>
      </w:r>
      <w:r w:rsidR="003E1160">
        <w:rPr>
          <w:rFonts w:cs="Times"/>
          <w:color w:val="000000"/>
        </w:rPr>
        <w:t xml:space="preserve">. </w:t>
      </w:r>
    </w:p>
    <w:p w14:paraId="3468E1D3" w14:textId="77777777" w:rsidR="00423352" w:rsidRPr="00423352" w:rsidRDefault="00423352" w:rsidP="00423352">
      <w:pPr>
        <w:pStyle w:val="ListA"/>
        <w:ind w:left="1134" w:hanging="709"/>
        <w:rPr>
          <w:rFonts w:cs="Times"/>
          <w:color w:val="000000"/>
        </w:rPr>
      </w:pPr>
      <w:r>
        <w:rPr>
          <w:rFonts w:cs="Times"/>
          <w:color w:val="000000"/>
        </w:rPr>
        <w:t>(5)</w:t>
      </w:r>
      <w:r>
        <w:rPr>
          <w:rFonts w:cs="Times"/>
          <w:color w:val="000000"/>
        </w:rPr>
        <w:tab/>
        <w:t xml:space="preserve">In subsection (3), a </w:t>
      </w:r>
      <w:r w:rsidRPr="000A1B0B">
        <w:rPr>
          <w:rFonts w:cs="Times"/>
          <w:b/>
          <w:i/>
          <w:color w:val="000000"/>
        </w:rPr>
        <w:t>reporting period</w:t>
      </w:r>
      <w:r>
        <w:rPr>
          <w:rFonts w:cs="Times"/>
          <w:color w:val="000000"/>
        </w:rPr>
        <w:t xml:space="preserve"> is</w:t>
      </w:r>
      <w:r w:rsidRPr="00423352">
        <w:rPr>
          <w:rFonts w:cs="Times"/>
          <w:color w:val="000000"/>
        </w:rPr>
        <w:t xml:space="preserve"> a period not exceeding </w:t>
      </w:r>
      <w:r>
        <w:rPr>
          <w:rFonts w:cs="Times"/>
          <w:color w:val="000000"/>
        </w:rPr>
        <w:t>1 year</w:t>
      </w:r>
      <w:r w:rsidRPr="00423352">
        <w:rPr>
          <w:rFonts w:cs="Times"/>
          <w:color w:val="000000"/>
        </w:rPr>
        <w:t xml:space="preserve">, </w:t>
      </w:r>
      <w:r>
        <w:rPr>
          <w:rFonts w:cs="Times"/>
          <w:color w:val="000000"/>
        </w:rPr>
        <w:t>set</w:t>
      </w:r>
      <w:r w:rsidRPr="00423352">
        <w:rPr>
          <w:rFonts w:cs="Times"/>
          <w:color w:val="000000"/>
        </w:rPr>
        <w:t xml:space="preserve"> by the operator in accordance with the following:</w:t>
      </w:r>
    </w:p>
    <w:p w14:paraId="36AC1D11" w14:textId="77777777" w:rsidR="00423352" w:rsidRPr="00423352" w:rsidRDefault="00423352" w:rsidP="000A1B0B">
      <w:pPr>
        <w:pStyle w:val="LI-BodyTextParaa"/>
      </w:pPr>
      <w:r w:rsidRPr="00423352">
        <w:t>(a)</w:t>
      </w:r>
      <w:r w:rsidRPr="00423352">
        <w:tab/>
      </w:r>
      <w:proofErr w:type="gramStart"/>
      <w:r w:rsidRPr="00423352">
        <w:t>the</w:t>
      </w:r>
      <w:proofErr w:type="gramEnd"/>
      <w:r w:rsidRPr="00423352">
        <w:t xml:space="preserve"> first reporting period starts when the investor and the operator enter into the agreement referred to in paragraph </w:t>
      </w:r>
      <w:r>
        <w:t>5(2)</w:t>
      </w:r>
      <w:r w:rsidRPr="00423352">
        <w:t>(</w:t>
      </w:r>
      <w:r w:rsidR="005359E1">
        <w:t>h</w:t>
      </w:r>
      <w:r w:rsidRPr="00423352">
        <w:t xml:space="preserve">); </w:t>
      </w:r>
    </w:p>
    <w:p w14:paraId="03E3DE9C" w14:textId="77777777" w:rsidR="00423352" w:rsidRPr="00423352" w:rsidRDefault="00423352" w:rsidP="000A1B0B">
      <w:pPr>
        <w:pStyle w:val="LI-BodyTextParaa"/>
      </w:pPr>
      <w:r w:rsidRPr="00423352">
        <w:t>(b)</w:t>
      </w:r>
      <w:r w:rsidRPr="00423352">
        <w:tab/>
      </w:r>
      <w:proofErr w:type="gramStart"/>
      <w:r w:rsidRPr="00423352">
        <w:t>each</w:t>
      </w:r>
      <w:proofErr w:type="gramEnd"/>
      <w:r w:rsidRPr="00423352">
        <w:t xml:space="preserve"> subsequent reporting period starts at the end of the preceding reporting period;</w:t>
      </w:r>
    </w:p>
    <w:p w14:paraId="6EB1997E" w14:textId="1598DECF" w:rsidR="00B4213A" w:rsidRDefault="00423352" w:rsidP="00182967">
      <w:pPr>
        <w:pStyle w:val="LI-BodyTextParaa"/>
      </w:pPr>
      <w:r>
        <w:t>(c)</w:t>
      </w:r>
      <w:r>
        <w:tab/>
      </w:r>
      <w:proofErr w:type="gramStart"/>
      <w:r>
        <w:t>if</w:t>
      </w:r>
      <w:proofErr w:type="gramEnd"/>
      <w:r>
        <w:t xml:space="preserve"> the i</w:t>
      </w:r>
      <w:r w:rsidRPr="00423352">
        <w:t xml:space="preserve">nvestor withdraws from participation in the Scheme, the period starting at the end of the preceding reporting period and ending when the </w:t>
      </w:r>
      <w:r>
        <w:t>i</w:t>
      </w:r>
      <w:r w:rsidRPr="00423352">
        <w:t>nvestor withdraws from participation in the Scheme is a reporting period</w:t>
      </w:r>
      <w:r>
        <w:t>.</w:t>
      </w:r>
    </w:p>
    <w:p w14:paraId="7B31A54B" w14:textId="0DD6F7F0" w:rsidR="00BA3A43" w:rsidRDefault="00BA3A43" w:rsidP="007626F5">
      <w:pPr>
        <w:pStyle w:val="LI-BodyTextParaa"/>
        <w:ind w:left="1134"/>
      </w:pPr>
      <w:r>
        <w:t>(6)</w:t>
      </w:r>
      <w:r>
        <w:tab/>
        <w:t>This section does not apply to an operator who only operates the scheme as a promoter developer</w:t>
      </w:r>
    </w:p>
    <w:p w14:paraId="4627DC01" w14:textId="4893783F" w:rsidR="003E1160" w:rsidRPr="008F23A0" w:rsidRDefault="00945349" w:rsidP="000A1B0B">
      <w:pPr>
        <w:pStyle w:val="LI-Heading2"/>
      </w:pPr>
      <w:bookmarkStart w:id="13" w:name="_Toc462049848"/>
      <w:r>
        <w:t>7</w:t>
      </w:r>
      <w:r w:rsidR="00512DD9" w:rsidRPr="00020AD2">
        <w:tab/>
        <w:t>Breach reporting condition fo</w:t>
      </w:r>
      <w:r w:rsidR="00512DD9" w:rsidRPr="008F23A0">
        <w:t xml:space="preserve">r </w:t>
      </w:r>
      <w:r w:rsidR="00C70545">
        <w:t>o</w:t>
      </w:r>
      <w:r w:rsidR="003E1160" w:rsidRPr="008F23A0">
        <w:t>perators</w:t>
      </w:r>
      <w:r w:rsidR="006A794D">
        <w:t xml:space="preserve"> other than promoter developers</w:t>
      </w:r>
      <w:bookmarkEnd w:id="13"/>
    </w:p>
    <w:p w14:paraId="3C87FCF1" w14:textId="153ABF62" w:rsidR="003E1160" w:rsidRDefault="00BA3A43" w:rsidP="007626F5">
      <w:pPr>
        <w:pStyle w:val="LI-BodyTextUnnumbered"/>
        <w:ind w:left="1701" w:hanging="567"/>
      </w:pPr>
      <w:r>
        <w:t>(1)</w:t>
      </w:r>
      <w:r>
        <w:tab/>
      </w:r>
      <w:r w:rsidR="003E1160" w:rsidRPr="002C4FE0">
        <w:t xml:space="preserve">An </w:t>
      </w:r>
      <w:r w:rsidR="004C0D5A">
        <w:t>o</w:t>
      </w:r>
      <w:r w:rsidR="003E1160" w:rsidRPr="002C4FE0">
        <w:t xml:space="preserve">perator that becomes aware of matters that gives the </w:t>
      </w:r>
      <w:r w:rsidR="004C0D5A">
        <w:t>o</w:t>
      </w:r>
      <w:r w:rsidR="003E1160" w:rsidRPr="002C4FE0">
        <w:t>perator reason to believe that</w:t>
      </w:r>
      <w:r w:rsidR="00587EA7" w:rsidRPr="002C4FE0" w:rsidDel="00587EA7">
        <w:t xml:space="preserve"> </w:t>
      </w:r>
      <w:r w:rsidR="003E1160" w:rsidRPr="002C4FE0">
        <w:t xml:space="preserve">the </w:t>
      </w:r>
      <w:r w:rsidR="004C0D5A">
        <w:t>o</w:t>
      </w:r>
      <w:r w:rsidR="003E1160" w:rsidRPr="002C4FE0">
        <w:t xml:space="preserve">perator has failed in a material respect to comply with </w:t>
      </w:r>
      <w:r w:rsidR="00040517">
        <w:t xml:space="preserve">the conditions in </w:t>
      </w:r>
      <w:r w:rsidR="00247C3E">
        <w:t xml:space="preserve">section </w:t>
      </w:r>
      <w:r w:rsidR="00040517">
        <w:t>6</w:t>
      </w:r>
      <w:r w:rsidR="00587EA7">
        <w:t xml:space="preserve"> </w:t>
      </w:r>
      <w:r w:rsidR="003E1160" w:rsidRPr="002C4FE0">
        <w:t>must give full particulars of the failure to ASIC in writing within 15 business days after becoming so aware.</w:t>
      </w:r>
    </w:p>
    <w:p w14:paraId="60256258" w14:textId="48CE4CD6" w:rsidR="00BA3A43" w:rsidRPr="002C4FE0" w:rsidRDefault="00BA3A43" w:rsidP="007626F5">
      <w:pPr>
        <w:pStyle w:val="LI-BodyTextParaa"/>
      </w:pPr>
      <w:r>
        <w:lastRenderedPageBreak/>
        <w:t>(2)</w:t>
      </w:r>
      <w:r>
        <w:tab/>
        <w:t>This section does not apply to an operator who only operates the scheme as a promoter developer.</w:t>
      </w:r>
    </w:p>
    <w:p w14:paraId="47FF73DC" w14:textId="11766A0E" w:rsidR="00DC7DB8" w:rsidRPr="00EB1EA7" w:rsidRDefault="001E5EC7" w:rsidP="00564D7D">
      <w:pPr>
        <w:pStyle w:val="LI-Heading2"/>
      </w:pPr>
      <w:bookmarkStart w:id="14" w:name="_Toc462049849"/>
      <w:r>
        <w:t>8</w:t>
      </w:r>
      <w:r w:rsidR="00DC7DB8" w:rsidRPr="00020AD2">
        <w:tab/>
        <w:t xml:space="preserve">Exemption </w:t>
      </w:r>
      <w:r w:rsidR="008F28AE" w:rsidRPr="00EB1EA7">
        <w:t xml:space="preserve">for </w:t>
      </w:r>
      <w:r w:rsidR="00B6640B" w:rsidRPr="00EB1EA7">
        <w:t xml:space="preserve">a </w:t>
      </w:r>
      <w:r w:rsidR="008F28AE" w:rsidRPr="007626F5">
        <w:t>real estate</w:t>
      </w:r>
      <w:r w:rsidR="00B6640B" w:rsidRPr="007626F5">
        <w:t xml:space="preserve"> (selling) agent</w:t>
      </w:r>
      <w:r w:rsidR="008F28AE" w:rsidRPr="00EB1EA7">
        <w:t xml:space="preserve"> </w:t>
      </w:r>
      <w:r w:rsidR="00DC7DB8" w:rsidRPr="00EB1EA7">
        <w:t xml:space="preserve">from </w:t>
      </w:r>
      <w:r w:rsidR="0075179E" w:rsidRPr="00EB1EA7">
        <w:t xml:space="preserve">the </w:t>
      </w:r>
      <w:r w:rsidR="00DC7DB8" w:rsidRPr="00EB1EA7">
        <w:t>requirement to hold an Australian financial services licence</w:t>
      </w:r>
      <w:bookmarkEnd w:id="14"/>
      <w:r w:rsidR="0075179E" w:rsidRPr="00EB1EA7">
        <w:t xml:space="preserve"> </w:t>
      </w:r>
    </w:p>
    <w:p w14:paraId="2E0CA7D3" w14:textId="0921C548" w:rsidR="00DC7DB8" w:rsidRPr="00B4213A" w:rsidRDefault="00DC7DB8" w:rsidP="00F270F0">
      <w:pPr>
        <w:pStyle w:val="LI-BodyTextUnnumbered"/>
        <w:ind w:hanging="567"/>
        <w:rPr>
          <w:szCs w:val="24"/>
        </w:rPr>
      </w:pPr>
      <w:r w:rsidRPr="00EB1EA7">
        <w:rPr>
          <w:szCs w:val="24"/>
        </w:rPr>
        <w:t>(1)</w:t>
      </w:r>
      <w:r w:rsidRPr="00EB1EA7">
        <w:rPr>
          <w:szCs w:val="24"/>
        </w:rPr>
        <w:tab/>
      </w:r>
      <w:r w:rsidR="00F270F0" w:rsidRPr="007626F5">
        <w:rPr>
          <w:szCs w:val="24"/>
        </w:rPr>
        <w:t xml:space="preserve">A </w:t>
      </w:r>
      <w:r w:rsidR="00186BC4" w:rsidRPr="007626F5">
        <w:rPr>
          <w:szCs w:val="24"/>
        </w:rPr>
        <w:t xml:space="preserve">real estate </w:t>
      </w:r>
      <w:r w:rsidR="00B6640B" w:rsidRPr="007626F5">
        <w:rPr>
          <w:szCs w:val="24"/>
        </w:rPr>
        <w:t xml:space="preserve">(selling) </w:t>
      </w:r>
      <w:r w:rsidR="00186BC4" w:rsidRPr="007626F5">
        <w:rPr>
          <w:szCs w:val="24"/>
        </w:rPr>
        <w:t>agent</w:t>
      </w:r>
      <w:r w:rsidR="00B6640B" w:rsidRPr="007626F5">
        <w:rPr>
          <w:szCs w:val="24"/>
        </w:rPr>
        <w:t xml:space="preserve"> </w:t>
      </w:r>
      <w:r w:rsidR="00E26E84" w:rsidRPr="007626F5">
        <w:rPr>
          <w:szCs w:val="24"/>
        </w:rPr>
        <w:t>does</w:t>
      </w:r>
      <w:r w:rsidR="00E26E84" w:rsidRPr="00EB1EA7">
        <w:rPr>
          <w:szCs w:val="24"/>
        </w:rPr>
        <w:t xml:space="preserve"> not have to comply with </w:t>
      </w:r>
      <w:r w:rsidR="00085323" w:rsidRPr="00EB1EA7">
        <w:rPr>
          <w:szCs w:val="24"/>
        </w:rPr>
        <w:t xml:space="preserve">subsection 911A(1) of the Act to the extent that it requires </w:t>
      </w:r>
      <w:r w:rsidR="00F270F0" w:rsidRPr="00B4213A">
        <w:rPr>
          <w:szCs w:val="24"/>
        </w:rPr>
        <w:t xml:space="preserve">the </w:t>
      </w:r>
      <w:r w:rsidR="00CF4DC0" w:rsidRPr="00B4213A">
        <w:rPr>
          <w:szCs w:val="24"/>
        </w:rPr>
        <w:t xml:space="preserve">agent </w:t>
      </w:r>
      <w:r w:rsidR="00F270F0" w:rsidRPr="00B4213A">
        <w:rPr>
          <w:szCs w:val="24"/>
        </w:rPr>
        <w:t xml:space="preserve">to hold </w:t>
      </w:r>
      <w:r w:rsidR="00CF4DC0" w:rsidRPr="00B4213A">
        <w:rPr>
          <w:szCs w:val="24"/>
        </w:rPr>
        <w:t>a</w:t>
      </w:r>
      <w:r w:rsidR="00F270F0" w:rsidRPr="00B4213A">
        <w:rPr>
          <w:szCs w:val="24"/>
        </w:rPr>
        <w:t xml:space="preserve"> financial services licence for the provision of the following financial services in relation to interests in a </w:t>
      </w:r>
      <w:r w:rsidR="006A5CC7" w:rsidRPr="00B4213A">
        <w:rPr>
          <w:szCs w:val="24"/>
        </w:rPr>
        <w:t>strata</w:t>
      </w:r>
      <w:r w:rsidR="00F270F0" w:rsidRPr="00B4213A">
        <w:rPr>
          <w:szCs w:val="24"/>
        </w:rPr>
        <w:t xml:space="preserve"> scheme</w:t>
      </w:r>
      <w:r w:rsidR="0004754F" w:rsidRPr="00B4213A">
        <w:rPr>
          <w:szCs w:val="24"/>
        </w:rPr>
        <w:t xml:space="preserve"> that the agent reasonably believes is covered by section 5</w:t>
      </w:r>
      <w:r w:rsidR="00E26E84" w:rsidRPr="00B4213A">
        <w:rPr>
          <w:szCs w:val="24"/>
        </w:rPr>
        <w:t>:</w:t>
      </w:r>
    </w:p>
    <w:p w14:paraId="368F0885" w14:textId="77777777" w:rsidR="00F270F0" w:rsidRPr="00B4213A" w:rsidRDefault="00E26E84" w:rsidP="000A1B0B">
      <w:pPr>
        <w:pStyle w:val="LI-BodyTextParaa"/>
      </w:pPr>
      <w:r w:rsidRPr="00B4213A">
        <w:t>(a)</w:t>
      </w:r>
      <w:r w:rsidRPr="00B4213A">
        <w:tab/>
      </w:r>
      <w:proofErr w:type="gramStart"/>
      <w:r w:rsidR="00F270F0" w:rsidRPr="00B4213A">
        <w:t>general</w:t>
      </w:r>
      <w:proofErr w:type="gramEnd"/>
      <w:r w:rsidR="00F270F0" w:rsidRPr="00B4213A">
        <w:t xml:space="preserve"> advice; </w:t>
      </w:r>
    </w:p>
    <w:p w14:paraId="28469901" w14:textId="77777777" w:rsidR="00CF4DC0" w:rsidRPr="00B4213A" w:rsidRDefault="00E26E84" w:rsidP="000A1B0B">
      <w:pPr>
        <w:pStyle w:val="LI-BodyTextParaa"/>
      </w:pPr>
      <w:r w:rsidRPr="00B4213A">
        <w:t>(b)</w:t>
      </w:r>
      <w:r w:rsidRPr="00B4213A">
        <w:tab/>
      </w:r>
      <w:proofErr w:type="gramStart"/>
      <w:r w:rsidRPr="00B4213A">
        <w:t>arranging</w:t>
      </w:r>
      <w:proofErr w:type="gramEnd"/>
      <w:r w:rsidRPr="00B4213A">
        <w:t xml:space="preserve"> for </w:t>
      </w:r>
      <w:r w:rsidR="00CF4DC0" w:rsidRPr="00B4213A">
        <w:t>the operator of the scheme</w:t>
      </w:r>
      <w:r w:rsidRPr="00B4213A">
        <w:t xml:space="preserve"> to issue an interest in </w:t>
      </w:r>
      <w:r w:rsidR="00CF4DC0" w:rsidRPr="00B4213A">
        <w:t>the</w:t>
      </w:r>
      <w:r w:rsidRPr="00B4213A">
        <w:t xml:space="preserve"> scheme</w:t>
      </w:r>
      <w:r w:rsidR="00CF4DC0" w:rsidRPr="00B4213A">
        <w:t>;</w:t>
      </w:r>
    </w:p>
    <w:p w14:paraId="3768882A" w14:textId="77777777" w:rsidR="0004754F" w:rsidRPr="00B4213A" w:rsidRDefault="00CF4DC0" w:rsidP="000A1B0B">
      <w:pPr>
        <w:pStyle w:val="LI-BodyTextParaa"/>
      </w:pPr>
      <w:r w:rsidRPr="00EB1EA7">
        <w:t>(c)</w:t>
      </w:r>
      <w:r w:rsidRPr="00EB1EA7">
        <w:tab/>
      </w:r>
      <w:proofErr w:type="gramStart"/>
      <w:r w:rsidR="00E26E84" w:rsidRPr="00EB1EA7">
        <w:t>arranging</w:t>
      </w:r>
      <w:proofErr w:type="gramEnd"/>
      <w:r w:rsidR="00E26E84" w:rsidRPr="00EB1EA7">
        <w:t xml:space="preserve"> for an </w:t>
      </w:r>
      <w:r w:rsidRPr="00EB1EA7">
        <w:t>investor in the scheme (</w:t>
      </w:r>
      <w:r w:rsidR="00E26E84" w:rsidRPr="00EB1EA7">
        <w:t xml:space="preserve">other than the </w:t>
      </w:r>
      <w:r w:rsidRPr="00EB1EA7">
        <w:t>o</w:t>
      </w:r>
      <w:r w:rsidR="00E26E84" w:rsidRPr="00EB1EA7">
        <w:t xml:space="preserve">perator of the </w:t>
      </w:r>
      <w:r w:rsidRPr="00EB1EA7">
        <w:t>scheme</w:t>
      </w:r>
      <w:r w:rsidRPr="00B4213A">
        <w:t xml:space="preserve">) </w:t>
      </w:r>
      <w:r w:rsidR="00E26E84" w:rsidRPr="00B4213A">
        <w:t>to sell an interest i</w:t>
      </w:r>
      <w:r w:rsidR="00F63762" w:rsidRPr="00B4213A">
        <w:t xml:space="preserve">n </w:t>
      </w:r>
      <w:r w:rsidRPr="00B4213A">
        <w:t>the</w:t>
      </w:r>
      <w:r w:rsidR="006A5CC7" w:rsidRPr="00B4213A">
        <w:t xml:space="preserve"> scheme</w:t>
      </w:r>
      <w:r w:rsidRPr="00B4213A">
        <w:t>.</w:t>
      </w:r>
    </w:p>
    <w:p w14:paraId="507275DA" w14:textId="470B3F18" w:rsidR="00D12746" w:rsidRPr="00EB1EA7" w:rsidRDefault="00D12746" w:rsidP="00EB1EA7">
      <w:pPr>
        <w:pStyle w:val="ListA"/>
        <w:spacing w:before="240"/>
        <w:ind w:left="1701" w:hanging="567"/>
        <w:rPr>
          <w:rFonts w:cs="Times"/>
          <w:color w:val="000000"/>
        </w:rPr>
      </w:pPr>
      <w:r w:rsidRPr="007626F5">
        <w:rPr>
          <w:sz w:val="18"/>
          <w:szCs w:val="18"/>
        </w:rPr>
        <w:t xml:space="preserve">Note: </w:t>
      </w:r>
      <w:r w:rsidRPr="007626F5">
        <w:rPr>
          <w:sz w:val="18"/>
          <w:szCs w:val="18"/>
        </w:rPr>
        <w:tab/>
      </w:r>
      <w:r w:rsidRPr="007626F5">
        <w:rPr>
          <w:i/>
          <w:iCs/>
          <w:sz w:val="18"/>
          <w:szCs w:val="18"/>
        </w:rPr>
        <w:t>ASIC Corporations (Effect of Licensing Exemptions) Instrument 2015/1115</w:t>
      </w:r>
      <w:r w:rsidRPr="007626F5">
        <w:rPr>
          <w:iCs/>
          <w:sz w:val="18"/>
          <w:szCs w:val="18"/>
        </w:rPr>
        <w:t xml:space="preserve"> provides relief from subsection 911B(1) of the Act to a </w:t>
      </w:r>
      <w:r w:rsidRPr="007626F5">
        <w:rPr>
          <w:sz w:val="18"/>
          <w:szCs w:val="18"/>
        </w:rPr>
        <w:t>person who provides financial services on behalf of a person who does not need an Australian financial services licence because of an exemption under section 926A of the Act.</w:t>
      </w:r>
    </w:p>
    <w:p w14:paraId="403C9411" w14:textId="77777777" w:rsidR="00F270F0" w:rsidRPr="002F2B15" w:rsidRDefault="009B2372" w:rsidP="000A1B0B">
      <w:pPr>
        <w:pStyle w:val="LI-BodyTextUnnumbered"/>
        <w:ind w:hanging="567"/>
        <w:rPr>
          <w:szCs w:val="24"/>
        </w:rPr>
      </w:pPr>
      <w:r w:rsidRPr="002F2B15">
        <w:rPr>
          <w:szCs w:val="24"/>
        </w:rPr>
        <w:t>(2)</w:t>
      </w:r>
      <w:r w:rsidRPr="002F2B15">
        <w:rPr>
          <w:szCs w:val="24"/>
        </w:rPr>
        <w:tab/>
        <w:t xml:space="preserve">This exemption </w:t>
      </w:r>
      <w:r w:rsidR="00085323" w:rsidRPr="002F2B15">
        <w:rPr>
          <w:szCs w:val="24"/>
        </w:rPr>
        <w:t>does not apply if the agent</w:t>
      </w:r>
      <w:r w:rsidR="008F28AE" w:rsidRPr="002F2B15">
        <w:rPr>
          <w:szCs w:val="24"/>
        </w:rPr>
        <w:t>:</w:t>
      </w:r>
    </w:p>
    <w:p w14:paraId="6F091DB9" w14:textId="77777777" w:rsidR="00085323" w:rsidRDefault="00F270F0" w:rsidP="000A1B0B">
      <w:pPr>
        <w:pStyle w:val="LI-BodyTextParaa"/>
      </w:pPr>
      <w:r w:rsidRPr="002C4FE0">
        <w:t>(</w:t>
      </w:r>
      <w:r w:rsidR="00085323">
        <w:t>a</w:t>
      </w:r>
      <w:r w:rsidRPr="002C4FE0">
        <w:t>)</w:t>
      </w:r>
      <w:r w:rsidRPr="002C4FE0">
        <w:tab/>
      </w:r>
      <w:proofErr w:type="gramStart"/>
      <w:r w:rsidRPr="002C4FE0">
        <w:t>is</w:t>
      </w:r>
      <w:proofErr w:type="gramEnd"/>
      <w:r w:rsidRPr="002C4FE0">
        <w:t xml:space="preserve"> a financial services licensee or a representative o</w:t>
      </w:r>
      <w:r w:rsidR="008F28AE" w:rsidRPr="002C4FE0">
        <w:t>f a financial services licensee</w:t>
      </w:r>
      <w:r w:rsidR="00085323">
        <w:t>; or</w:t>
      </w:r>
    </w:p>
    <w:p w14:paraId="4BC64256" w14:textId="77777777" w:rsidR="00085323" w:rsidRDefault="00085323" w:rsidP="000A1B0B">
      <w:pPr>
        <w:pStyle w:val="LI-BodyTextParaa"/>
      </w:pPr>
      <w:r>
        <w:t>(b)</w:t>
      </w:r>
      <w:r>
        <w:tab/>
      </w:r>
      <w:proofErr w:type="gramStart"/>
      <w:r>
        <w:t>is</w:t>
      </w:r>
      <w:proofErr w:type="gramEnd"/>
      <w:r w:rsidRPr="00085323">
        <w:t xml:space="preserve"> </w:t>
      </w:r>
      <w:r w:rsidR="0004754F">
        <w:t>the operator of a strata scheme</w:t>
      </w:r>
      <w:r>
        <w:t>; or</w:t>
      </w:r>
    </w:p>
    <w:p w14:paraId="0FEBA819" w14:textId="77777777" w:rsidR="004B6643" w:rsidRDefault="00085323" w:rsidP="000A1B0B">
      <w:pPr>
        <w:pStyle w:val="LI-BodyTextParaa"/>
      </w:pPr>
      <w:r>
        <w:t>(c)</w:t>
      </w:r>
      <w:r>
        <w:tab/>
      </w:r>
      <w:proofErr w:type="gramStart"/>
      <w:r w:rsidRPr="000A1B0B">
        <w:t>is</w:t>
      </w:r>
      <w:proofErr w:type="gramEnd"/>
      <w:r w:rsidRPr="000A1B0B">
        <w:t xml:space="preserve"> an excluded person.</w:t>
      </w:r>
    </w:p>
    <w:p w14:paraId="7C7C1910" w14:textId="7A4A766C" w:rsidR="008F28AE" w:rsidRPr="002C4FE0" w:rsidRDefault="00587EA7" w:rsidP="008F28AE">
      <w:pPr>
        <w:pStyle w:val="LI-Heading2"/>
        <w:rPr>
          <w:szCs w:val="24"/>
        </w:rPr>
      </w:pPr>
      <w:bookmarkStart w:id="15" w:name="_Toc462049850"/>
      <w:r w:rsidRPr="007626F5">
        <w:rPr>
          <w:szCs w:val="24"/>
        </w:rPr>
        <w:t>9</w:t>
      </w:r>
      <w:r w:rsidR="008F28AE" w:rsidRPr="002C4FE0">
        <w:rPr>
          <w:szCs w:val="24"/>
        </w:rPr>
        <w:tab/>
        <w:t>Exemption for other persons from the prohibition on hawking</w:t>
      </w:r>
      <w:bookmarkEnd w:id="15"/>
    </w:p>
    <w:p w14:paraId="3FDA72D9" w14:textId="77777777" w:rsidR="00F63762" w:rsidRPr="002C4FE0" w:rsidRDefault="008F28AE" w:rsidP="000A1B0B">
      <w:pPr>
        <w:pStyle w:val="LI-BodyTextUnnumbered"/>
      </w:pPr>
      <w:r w:rsidRPr="002C4FE0">
        <w:t xml:space="preserve">A person does not have to comply with </w:t>
      </w:r>
      <w:r w:rsidR="00A10E36">
        <w:t xml:space="preserve">section 992A and </w:t>
      </w:r>
      <w:r w:rsidRPr="002C4FE0">
        <w:t>992AA of the Act</w:t>
      </w:r>
      <w:r w:rsidR="005E1061" w:rsidRPr="002C4FE0">
        <w:t xml:space="preserve"> for </w:t>
      </w:r>
      <w:r w:rsidR="00945349">
        <w:t>an</w:t>
      </w:r>
      <w:r w:rsidR="00945349" w:rsidRPr="002C4FE0">
        <w:t xml:space="preserve"> </w:t>
      </w:r>
      <w:r w:rsidR="005E1061" w:rsidRPr="002C4FE0">
        <w:t xml:space="preserve">offer </w:t>
      </w:r>
      <w:r w:rsidR="00945349">
        <w:t>to</w:t>
      </w:r>
      <w:r w:rsidR="005E1061" w:rsidRPr="002C4FE0">
        <w:t xml:space="preserve"> </w:t>
      </w:r>
      <w:r w:rsidR="00945349">
        <w:t>sell</w:t>
      </w:r>
      <w:r w:rsidR="00945349" w:rsidRPr="002C4FE0">
        <w:t xml:space="preserve"> </w:t>
      </w:r>
      <w:r w:rsidR="00945349">
        <w:t>an</w:t>
      </w:r>
      <w:r w:rsidR="00945349" w:rsidRPr="002C4FE0">
        <w:t xml:space="preserve"> </w:t>
      </w:r>
      <w:r w:rsidR="005E1061" w:rsidRPr="002C4FE0">
        <w:t xml:space="preserve">interest in a </w:t>
      </w:r>
      <w:r w:rsidR="00182462">
        <w:t>strata scheme</w:t>
      </w:r>
      <w:r w:rsidR="00945349">
        <w:t xml:space="preserve"> that appears to be covered by section 5</w:t>
      </w:r>
      <w:r w:rsidR="001150EC" w:rsidRPr="002C4FE0">
        <w:t>.</w:t>
      </w:r>
    </w:p>
    <w:p w14:paraId="3A74C85F" w14:textId="358B1323" w:rsidR="00C62CB5" w:rsidRPr="008F23A0" w:rsidRDefault="00587EA7" w:rsidP="000A1B0B">
      <w:pPr>
        <w:pStyle w:val="LI-Heading2"/>
        <w:rPr>
          <w:szCs w:val="24"/>
        </w:rPr>
      </w:pPr>
      <w:bookmarkStart w:id="16" w:name="_Toc462049851"/>
      <w:r w:rsidRPr="007626F5">
        <w:rPr>
          <w:szCs w:val="24"/>
        </w:rPr>
        <w:t>10</w:t>
      </w:r>
      <w:r w:rsidR="00F04E01" w:rsidRPr="00020AD2">
        <w:rPr>
          <w:szCs w:val="24"/>
        </w:rPr>
        <w:tab/>
      </w:r>
      <w:r w:rsidR="00C62CB5" w:rsidRPr="008F23A0">
        <w:rPr>
          <w:szCs w:val="24"/>
        </w:rPr>
        <w:t>P</w:t>
      </w:r>
      <w:r w:rsidR="00B759F0" w:rsidRPr="008F23A0">
        <w:rPr>
          <w:szCs w:val="24"/>
        </w:rPr>
        <w:t>rocedures for transferring management rights</w:t>
      </w:r>
      <w:bookmarkEnd w:id="16"/>
      <w:r w:rsidR="00B759F0" w:rsidRPr="008F23A0">
        <w:rPr>
          <w:szCs w:val="24"/>
        </w:rPr>
        <w:t xml:space="preserve"> </w:t>
      </w:r>
    </w:p>
    <w:p w14:paraId="2D37C0AD" w14:textId="77777777" w:rsidR="00A10E36" w:rsidRDefault="007138FB" w:rsidP="000A1B0B">
      <w:pPr>
        <w:pStyle w:val="LI-BodyTextUnnumbered"/>
      </w:pPr>
      <w:r>
        <w:t>P</w:t>
      </w:r>
      <w:r w:rsidR="007D27DE">
        <w:t xml:space="preserve">rovisions </w:t>
      </w:r>
      <w:r>
        <w:t xml:space="preserve">to the following effect </w:t>
      </w:r>
      <w:r w:rsidR="007D27DE">
        <w:t>are required to be included in the agreement</w:t>
      </w:r>
      <w:r w:rsidR="00512DD9">
        <w:t xml:space="preserve"> referred to in paragraph </w:t>
      </w:r>
      <w:r w:rsidR="00945349">
        <w:t>5</w:t>
      </w:r>
      <w:r w:rsidR="00512DD9">
        <w:t>(2</w:t>
      </w:r>
      <w:proofErr w:type="gramStart"/>
      <w:r w:rsidR="00512DD9">
        <w:t>)(</w:t>
      </w:r>
      <w:proofErr w:type="gramEnd"/>
      <w:r w:rsidR="005359E1">
        <w:t>h</w:t>
      </w:r>
      <w:r w:rsidR="00512DD9">
        <w:t>):</w:t>
      </w:r>
    </w:p>
    <w:p w14:paraId="4EE7705C" w14:textId="77777777" w:rsidR="00C62CB5" w:rsidRPr="00EB1EA7" w:rsidRDefault="00C62CB5" w:rsidP="000A1B0B">
      <w:pPr>
        <w:pStyle w:val="LI-Heading3"/>
        <w:rPr>
          <w:sz w:val="24"/>
          <w:szCs w:val="24"/>
        </w:rPr>
      </w:pPr>
      <w:r w:rsidRPr="00EB1EA7">
        <w:rPr>
          <w:sz w:val="24"/>
          <w:szCs w:val="24"/>
        </w:rPr>
        <w:t>Transfer of management rights</w:t>
      </w:r>
    </w:p>
    <w:p w14:paraId="1FCE4627" w14:textId="4608C505" w:rsidR="008F2DAC" w:rsidRDefault="00C62CB5" w:rsidP="000A1B0B">
      <w:pPr>
        <w:pStyle w:val="LI-BodyTextParaa"/>
      </w:pPr>
      <w:r w:rsidRPr="00C62CB5">
        <w:t>(a)</w:t>
      </w:r>
      <w:r w:rsidRPr="00C62CB5">
        <w:tab/>
        <w:t xml:space="preserve">If a majority of </w:t>
      </w:r>
      <w:r w:rsidR="0015436B">
        <w:t>s</w:t>
      </w:r>
      <w:r w:rsidR="0015436B" w:rsidRPr="00C62CB5">
        <w:t xml:space="preserve">cheme </w:t>
      </w:r>
      <w:r w:rsidRPr="00C62CB5">
        <w:t xml:space="preserve">members advise the </w:t>
      </w:r>
      <w:r w:rsidR="008F2DAC">
        <w:t>o</w:t>
      </w:r>
      <w:r w:rsidR="008F2DAC" w:rsidRPr="00C62CB5">
        <w:t xml:space="preserve">perator </w:t>
      </w:r>
      <w:r w:rsidRPr="00C62CB5">
        <w:t xml:space="preserve">in writing that they wish to terminate the </w:t>
      </w:r>
      <w:r w:rsidR="008F2DAC">
        <w:t>o</w:t>
      </w:r>
      <w:r w:rsidR="008F2DAC" w:rsidRPr="00C62CB5">
        <w:t>perator</w:t>
      </w:r>
      <w:r w:rsidR="00B85B95">
        <w:t>’</w:t>
      </w:r>
      <w:r w:rsidR="008F2DAC" w:rsidRPr="00C62CB5">
        <w:t xml:space="preserve">s </w:t>
      </w:r>
      <w:r w:rsidRPr="00C62CB5">
        <w:t xml:space="preserve">engagement, the </w:t>
      </w:r>
      <w:r w:rsidR="008F2DAC">
        <w:t>o</w:t>
      </w:r>
      <w:r w:rsidR="008F2DAC" w:rsidRPr="00C62CB5">
        <w:t xml:space="preserve">perator </w:t>
      </w:r>
      <w:r w:rsidRPr="00C62CB5">
        <w:t>must within 9 months transfer the management rights to a person</w:t>
      </w:r>
      <w:r w:rsidR="008F2DAC">
        <w:t>:</w:t>
      </w:r>
    </w:p>
    <w:p w14:paraId="4765F9A5" w14:textId="77777777" w:rsidR="008F2DAC" w:rsidRDefault="008F2DAC" w:rsidP="000A1B0B">
      <w:pPr>
        <w:pStyle w:val="LI-BodyTextSubparai"/>
      </w:pPr>
      <w:r>
        <w:lastRenderedPageBreak/>
        <w:t>(</w:t>
      </w:r>
      <w:proofErr w:type="spellStart"/>
      <w:r>
        <w:t>i</w:t>
      </w:r>
      <w:proofErr w:type="spellEnd"/>
      <w:r>
        <w:t>)</w:t>
      </w:r>
      <w:r>
        <w:tab/>
      </w:r>
      <w:proofErr w:type="gramStart"/>
      <w:r>
        <w:t>who</w:t>
      </w:r>
      <w:proofErr w:type="gramEnd"/>
      <w:r w:rsidRPr="00C62CB5">
        <w:t xml:space="preserve"> </w:t>
      </w:r>
      <w:r w:rsidR="00C62CB5" w:rsidRPr="00C62CB5">
        <w:t xml:space="preserve">is chosen by the </w:t>
      </w:r>
      <w:r>
        <w:t>o</w:t>
      </w:r>
      <w:r w:rsidRPr="00C62CB5">
        <w:t>perator</w:t>
      </w:r>
      <w:r>
        <w:t>; and</w:t>
      </w:r>
    </w:p>
    <w:p w14:paraId="2E27009D" w14:textId="77777777" w:rsidR="008F2DAC" w:rsidRDefault="008F2DAC" w:rsidP="000A1B0B">
      <w:pPr>
        <w:pStyle w:val="LI-BodyTextSubparai"/>
      </w:pPr>
      <w:r>
        <w:t>(ii)</w:t>
      </w:r>
      <w:r>
        <w:tab/>
      </w:r>
      <w:proofErr w:type="gramStart"/>
      <w:r w:rsidR="00C62CB5" w:rsidRPr="00C62CB5">
        <w:t>has</w:t>
      </w:r>
      <w:proofErr w:type="gramEnd"/>
      <w:r w:rsidR="00C62CB5" w:rsidRPr="00C62CB5">
        <w:t xml:space="preserve"> not been involved in the operation (including promotion) of the </w:t>
      </w:r>
      <w:r>
        <w:t>s</w:t>
      </w:r>
      <w:r w:rsidRPr="00C62CB5">
        <w:t>cheme</w:t>
      </w:r>
      <w:r>
        <w:t>;</w:t>
      </w:r>
      <w:r w:rsidR="00C62CB5" w:rsidRPr="00C62CB5">
        <w:t xml:space="preserve"> and</w:t>
      </w:r>
    </w:p>
    <w:p w14:paraId="294F606D" w14:textId="77777777" w:rsidR="00C62CB5" w:rsidRPr="00C62CB5" w:rsidRDefault="008F2DAC" w:rsidP="000A1B0B">
      <w:pPr>
        <w:pStyle w:val="LI-BodyTextSubparai"/>
      </w:pPr>
      <w:r>
        <w:t>(iii)</w:t>
      </w:r>
      <w:r>
        <w:tab/>
      </w:r>
      <w:proofErr w:type="gramStart"/>
      <w:r w:rsidR="00C62CB5" w:rsidRPr="00C62CB5">
        <w:t>is</w:t>
      </w:r>
      <w:proofErr w:type="gramEnd"/>
      <w:r w:rsidR="00C62CB5" w:rsidRPr="00C62CB5">
        <w:t xml:space="preserve"> not controlled by a person that has been involved in the operation (including promotion) of the </w:t>
      </w:r>
      <w:r>
        <w:t>s</w:t>
      </w:r>
      <w:r w:rsidRPr="00C62CB5">
        <w:t>cheme</w:t>
      </w:r>
      <w:r w:rsidR="00C62CB5" w:rsidRPr="00C62CB5">
        <w:t xml:space="preserve">. </w:t>
      </w:r>
    </w:p>
    <w:p w14:paraId="653303D2" w14:textId="77777777" w:rsidR="00C62CB5" w:rsidRPr="00C62CB5" w:rsidRDefault="00C62CB5" w:rsidP="000A1B0B">
      <w:pPr>
        <w:pStyle w:val="LI-BodyTextParaa"/>
      </w:pPr>
      <w:r w:rsidRPr="00C62CB5">
        <w:t>(b)</w:t>
      </w:r>
      <w:r w:rsidRPr="00C62CB5">
        <w:tab/>
        <w:t xml:space="preserve">If </w:t>
      </w:r>
      <w:r w:rsidR="008F2DAC">
        <w:t>the</w:t>
      </w:r>
      <w:r w:rsidR="008F2DAC" w:rsidRPr="00C62CB5">
        <w:t xml:space="preserve"> </w:t>
      </w:r>
      <w:r w:rsidR="008F2DAC">
        <w:t>o</w:t>
      </w:r>
      <w:r w:rsidR="008F2DAC" w:rsidRPr="00C62CB5">
        <w:t xml:space="preserve">perator </w:t>
      </w:r>
      <w:r w:rsidR="000C3DAA">
        <w:t>does not</w:t>
      </w:r>
      <w:r w:rsidRPr="00C62CB5">
        <w:t xml:space="preserve"> complete </w:t>
      </w:r>
      <w:r w:rsidR="008F2DAC">
        <w:t>the</w:t>
      </w:r>
      <w:r w:rsidR="008F2DAC" w:rsidRPr="00C62CB5">
        <w:t xml:space="preserve"> </w:t>
      </w:r>
      <w:r w:rsidRPr="00C62CB5">
        <w:t xml:space="preserve">transfer within the 9 month period, the </w:t>
      </w:r>
      <w:r w:rsidR="008F2DAC">
        <w:t>o</w:t>
      </w:r>
      <w:r w:rsidR="008F2DAC" w:rsidRPr="00C62CB5">
        <w:t xml:space="preserve">perator </w:t>
      </w:r>
      <w:r w:rsidRPr="00C62CB5">
        <w:t xml:space="preserve">must cause the transfer of the management rights to a replacement operator named in a written notice given by a majority of </w:t>
      </w:r>
      <w:r w:rsidR="0015436B">
        <w:t>s</w:t>
      </w:r>
      <w:r w:rsidR="0015436B" w:rsidRPr="00C62CB5">
        <w:t xml:space="preserve">cheme </w:t>
      </w:r>
      <w:r w:rsidRPr="00C62CB5">
        <w:t xml:space="preserve">members, at </w:t>
      </w:r>
      <w:r w:rsidR="000C3DAA">
        <w:t>the</w:t>
      </w:r>
      <w:r w:rsidR="000C3DAA" w:rsidRPr="00C62CB5">
        <w:t xml:space="preserve"> </w:t>
      </w:r>
      <w:r w:rsidRPr="00C62CB5">
        <w:t xml:space="preserve">price </w:t>
      </w:r>
      <w:r w:rsidR="000C3DAA">
        <w:t>set out</w:t>
      </w:r>
      <w:r w:rsidR="000C3DAA" w:rsidRPr="00C62CB5">
        <w:t xml:space="preserve"> </w:t>
      </w:r>
      <w:r w:rsidRPr="00C62CB5">
        <w:t xml:space="preserve">in the notice.  </w:t>
      </w:r>
    </w:p>
    <w:p w14:paraId="71268167" w14:textId="77777777" w:rsidR="00C62CB5" w:rsidRDefault="00C62CB5" w:rsidP="000A1B0B">
      <w:pPr>
        <w:pStyle w:val="LI-BodyTextParaa"/>
      </w:pPr>
      <w:r w:rsidRPr="00C62CB5">
        <w:t>(c)</w:t>
      </w:r>
      <w:r w:rsidRPr="00C62CB5">
        <w:tab/>
        <w:t xml:space="preserve">A transfer referred to in paragraphs (a) or (b) must be done as soon as practicable, but if there is a body corporate for the real property to which the </w:t>
      </w:r>
      <w:r w:rsidR="008F2DAC">
        <w:t>s</w:t>
      </w:r>
      <w:r w:rsidRPr="00C62CB5">
        <w:t xml:space="preserve">cheme relates, there must be a reasonable time for members of the body corporate to consider whether to make a decision referred to in paragraph </w:t>
      </w:r>
      <w:r w:rsidR="00F42ED2">
        <w:t>(f</w:t>
      </w:r>
      <w:r w:rsidRPr="00C62CB5">
        <w:t xml:space="preserve">) unless the body corporate has consented to the transfer. </w:t>
      </w:r>
    </w:p>
    <w:p w14:paraId="6D3F3EC2" w14:textId="77777777" w:rsidR="00C62CB5" w:rsidRPr="00EB1EA7" w:rsidRDefault="00C62CB5" w:rsidP="000A1B0B">
      <w:pPr>
        <w:pStyle w:val="LI-Heading3"/>
        <w:rPr>
          <w:rFonts w:cs="Times"/>
          <w:sz w:val="24"/>
          <w:szCs w:val="24"/>
        </w:rPr>
      </w:pPr>
      <w:r w:rsidRPr="00EB1EA7">
        <w:rPr>
          <w:sz w:val="24"/>
          <w:szCs w:val="24"/>
        </w:rPr>
        <w:t>Consent of body corporate to new caretaking arrangements</w:t>
      </w:r>
    </w:p>
    <w:p w14:paraId="2E577983" w14:textId="77777777" w:rsidR="00C62CB5" w:rsidRPr="00C62CB5" w:rsidRDefault="00C62CB5" w:rsidP="000A1B0B">
      <w:pPr>
        <w:pStyle w:val="LI-BodyTextParaa"/>
      </w:pPr>
      <w:r w:rsidRPr="00C62CB5">
        <w:t>(</w:t>
      </w:r>
      <w:r w:rsidR="003D7C0C">
        <w:t>e</w:t>
      </w:r>
      <w:r w:rsidRPr="00C62CB5">
        <w:t>)</w:t>
      </w:r>
      <w:r w:rsidRPr="00C62CB5">
        <w:tab/>
        <w:t xml:space="preserve">If </w:t>
      </w:r>
      <w:r w:rsidR="00F42ED2">
        <w:t>the</w:t>
      </w:r>
      <w:r w:rsidR="00F42ED2" w:rsidRPr="00C62CB5">
        <w:t xml:space="preserve"> </w:t>
      </w:r>
      <w:r w:rsidR="00F42ED2">
        <w:t>o</w:t>
      </w:r>
      <w:r w:rsidR="00F42ED2" w:rsidRPr="00C62CB5">
        <w:t xml:space="preserve">perator </w:t>
      </w:r>
      <w:r w:rsidRPr="00C62CB5">
        <w:t>receives a notice under</w:t>
      </w:r>
      <w:r>
        <w:t xml:space="preserve"> paragraph (b)</w:t>
      </w:r>
      <w:r w:rsidRPr="00C62CB5">
        <w:t xml:space="preserve">, the </w:t>
      </w:r>
      <w:r w:rsidR="00F42ED2">
        <w:t>o</w:t>
      </w:r>
      <w:r w:rsidRPr="00C62CB5">
        <w:t xml:space="preserve">perator must advise all body corporate members of the name of the person to whom the transfer is to be made. </w:t>
      </w:r>
    </w:p>
    <w:p w14:paraId="6CDD52C1" w14:textId="77777777" w:rsidR="00C62CB5" w:rsidRPr="00C62CB5" w:rsidRDefault="00C62CB5" w:rsidP="000A1B0B">
      <w:pPr>
        <w:pStyle w:val="LI-BodyTextParaa"/>
      </w:pPr>
      <w:r w:rsidRPr="00C62CB5">
        <w:t>(</w:t>
      </w:r>
      <w:r w:rsidR="003D7C0C">
        <w:t>f</w:t>
      </w:r>
      <w:r w:rsidRPr="00C62CB5">
        <w:t>)</w:t>
      </w:r>
      <w:r w:rsidRPr="00C62CB5">
        <w:tab/>
        <w:t xml:space="preserve">Unless the body corporate has consented to the transfer, an </w:t>
      </w:r>
      <w:r w:rsidR="00F42ED2">
        <w:t>o</w:t>
      </w:r>
      <w:r w:rsidRPr="00C62CB5">
        <w:t>perator does not have to transfer the management rights to the person named in the notice</w:t>
      </w:r>
      <w:r>
        <w:t xml:space="preserve"> </w:t>
      </w:r>
      <w:r w:rsidR="00F42ED2">
        <w:t>given under</w:t>
      </w:r>
      <w:r>
        <w:t xml:space="preserve"> paragraph (b) </w:t>
      </w:r>
      <w:r w:rsidRPr="00C62CB5">
        <w:t xml:space="preserve">if a majority of body corporate members state in writing to the </w:t>
      </w:r>
      <w:r w:rsidR="00F42ED2">
        <w:t>o</w:t>
      </w:r>
      <w:r w:rsidRPr="00C62CB5">
        <w:t xml:space="preserve">perator that the person should not be engaged by the body corporate to perform caretaking functions. </w:t>
      </w:r>
    </w:p>
    <w:p w14:paraId="01BCB0DA" w14:textId="77777777" w:rsidR="00C62CB5" w:rsidRPr="00C62CB5" w:rsidRDefault="00C62CB5" w:rsidP="000A1B0B">
      <w:pPr>
        <w:pStyle w:val="LI-BodyTextParaa"/>
      </w:pPr>
      <w:r w:rsidRPr="00C62CB5">
        <w:t>(</w:t>
      </w:r>
      <w:r w:rsidR="003D7C0C">
        <w:t>g</w:t>
      </w:r>
      <w:r w:rsidRPr="00C62CB5">
        <w:t>)</w:t>
      </w:r>
      <w:r w:rsidRPr="00C62CB5">
        <w:tab/>
        <w:t xml:space="preserve">If a majority of body corporate members make a decision referred to in paragraph </w:t>
      </w:r>
      <w:r w:rsidR="00F42ED2">
        <w:t>(f</w:t>
      </w:r>
      <w:r w:rsidRPr="00C62CB5">
        <w:t xml:space="preserve">), a majority of </w:t>
      </w:r>
      <w:r w:rsidR="0015436B">
        <w:t>s</w:t>
      </w:r>
      <w:r w:rsidR="0015436B" w:rsidRPr="00C62CB5">
        <w:t xml:space="preserve">cheme </w:t>
      </w:r>
      <w:r w:rsidRPr="00C62CB5">
        <w:t xml:space="preserve">members may then at any time name a replacement operator by a written notice, to whom the </w:t>
      </w:r>
      <w:r w:rsidR="00F42ED2">
        <w:t>o</w:t>
      </w:r>
      <w:r w:rsidR="00F42ED2" w:rsidRPr="00C62CB5">
        <w:t xml:space="preserve">perator </w:t>
      </w:r>
      <w:r w:rsidRPr="00C62CB5">
        <w:t xml:space="preserve">must transfer the management rights at a price </w:t>
      </w:r>
      <w:r w:rsidR="003955BF">
        <w:t>set out</w:t>
      </w:r>
      <w:r w:rsidR="003955BF" w:rsidRPr="00C62CB5">
        <w:t xml:space="preserve"> </w:t>
      </w:r>
      <w:r w:rsidRPr="00C62CB5">
        <w:t xml:space="preserve">in the notice and the notice will be taken to be given in accordance with paragraph (b). </w:t>
      </w:r>
    </w:p>
    <w:p w14:paraId="3ED93CB0" w14:textId="77777777" w:rsidR="00C62CB5" w:rsidRPr="00C62CB5" w:rsidRDefault="00C62CB5" w:rsidP="000A1B0B">
      <w:pPr>
        <w:pStyle w:val="LI-BodyTextParaa"/>
      </w:pPr>
      <w:r w:rsidRPr="00C62CB5">
        <w:t>(</w:t>
      </w:r>
      <w:r w:rsidR="003D7C0C">
        <w:t>h</w:t>
      </w:r>
      <w:r w:rsidRPr="00C62CB5">
        <w:t>)</w:t>
      </w:r>
      <w:r w:rsidRPr="00C62CB5">
        <w:tab/>
      </w:r>
      <w:r w:rsidR="00F42ED2">
        <w:t>P</w:t>
      </w:r>
      <w:r w:rsidRPr="00C62CB5">
        <w:t>aragraph</w:t>
      </w:r>
      <w:r w:rsidR="00F42ED2">
        <w:t>s</w:t>
      </w:r>
      <w:r w:rsidRPr="00C62CB5">
        <w:t xml:space="preserve"> </w:t>
      </w:r>
      <w:r w:rsidR="00F42ED2">
        <w:t>(e) to (g)</w:t>
      </w:r>
      <w:r w:rsidR="00F42ED2" w:rsidRPr="00C62CB5">
        <w:t xml:space="preserve"> </w:t>
      </w:r>
      <w:r w:rsidRPr="00C62CB5">
        <w:t>do not apply if the body corporate or a majority of body corporate members agree in writing to the transfer to the person named in a notice under paragraph (b) or (</w:t>
      </w:r>
      <w:r w:rsidR="00F42ED2">
        <w:t>g</w:t>
      </w:r>
      <w:r w:rsidRPr="00C62CB5">
        <w:t xml:space="preserve">) before that notice is given to the </w:t>
      </w:r>
      <w:r w:rsidR="00F42ED2">
        <w:t>o</w:t>
      </w:r>
      <w:r w:rsidR="00F42ED2" w:rsidRPr="00C62CB5">
        <w:t>perator</w:t>
      </w:r>
      <w:r w:rsidRPr="00C62CB5">
        <w:t xml:space="preserve">. </w:t>
      </w:r>
    </w:p>
    <w:p w14:paraId="2EFA0D33" w14:textId="77777777" w:rsidR="00C62CB5" w:rsidRPr="00C62CB5" w:rsidRDefault="00C62CB5" w:rsidP="00C62CB5">
      <w:pPr>
        <w:overflowPunct w:val="0"/>
        <w:autoSpaceDE w:val="0"/>
        <w:autoSpaceDN w:val="0"/>
        <w:adjustRightInd w:val="0"/>
        <w:spacing w:before="240" w:line="240" w:lineRule="auto"/>
        <w:textAlignment w:val="baseline"/>
        <w:rPr>
          <w:rFonts w:eastAsia="Times New Roman"/>
          <w:i/>
          <w:iCs/>
          <w:color w:val="000000"/>
          <w:sz w:val="24"/>
        </w:rPr>
      </w:pPr>
      <w:r w:rsidRPr="00C62CB5">
        <w:rPr>
          <w:rFonts w:eastAsia="Times New Roman"/>
          <w:i/>
          <w:iCs/>
          <w:color w:val="000000"/>
          <w:sz w:val="24"/>
        </w:rPr>
        <w:t>Price payable on transfer</w:t>
      </w:r>
    </w:p>
    <w:p w14:paraId="49D91F2A" w14:textId="77777777" w:rsidR="00C62CB5" w:rsidRPr="00C62CB5" w:rsidRDefault="003D7C0C" w:rsidP="000A1B0B">
      <w:pPr>
        <w:pStyle w:val="LI-BodyTextParaa"/>
      </w:pPr>
      <w:r>
        <w:t>(</w:t>
      </w:r>
      <w:proofErr w:type="spellStart"/>
      <w:r>
        <w:t>i</w:t>
      </w:r>
      <w:proofErr w:type="spellEnd"/>
      <w:r>
        <w:t>)</w:t>
      </w:r>
      <w:r>
        <w:tab/>
      </w:r>
      <w:r w:rsidR="00C62CB5" w:rsidRPr="00C62CB5">
        <w:t xml:space="preserve">The price specified by </w:t>
      </w:r>
      <w:r w:rsidR="0015436B">
        <w:t>s</w:t>
      </w:r>
      <w:r w:rsidR="0015436B" w:rsidRPr="00C62CB5">
        <w:t xml:space="preserve">cheme </w:t>
      </w:r>
      <w:r w:rsidR="00C62CB5" w:rsidRPr="00C62CB5">
        <w:t>members in a notice under paragraph (b) must be one of the following:</w:t>
      </w:r>
    </w:p>
    <w:p w14:paraId="298D6C98" w14:textId="54B44C6B" w:rsidR="00C62CB5" w:rsidRPr="00C62CB5" w:rsidRDefault="00C62CB5" w:rsidP="000A1B0B">
      <w:pPr>
        <w:pStyle w:val="LI-BodyTextSubparai"/>
      </w:pPr>
      <w:r w:rsidRPr="00C62CB5">
        <w:lastRenderedPageBreak/>
        <w:t>(</w:t>
      </w:r>
      <w:proofErr w:type="spellStart"/>
      <w:r w:rsidR="00B90004">
        <w:t>i</w:t>
      </w:r>
      <w:proofErr w:type="spellEnd"/>
      <w:r w:rsidRPr="00C62CB5">
        <w:t>)</w:t>
      </w:r>
      <w:r w:rsidRPr="00C62CB5">
        <w:tab/>
      </w:r>
      <w:proofErr w:type="gramStart"/>
      <w:r w:rsidRPr="00C62CB5">
        <w:t>the</w:t>
      </w:r>
      <w:proofErr w:type="gramEnd"/>
      <w:r w:rsidRPr="00C62CB5">
        <w:t xml:space="preserve"> average of two valuations of the management rights by independent qualified </w:t>
      </w:r>
      <w:proofErr w:type="spellStart"/>
      <w:r w:rsidRPr="00C62CB5">
        <w:t>valuers</w:t>
      </w:r>
      <w:proofErr w:type="spellEnd"/>
      <w:r w:rsidRPr="00C62CB5">
        <w:t xml:space="preserve"> nominated by the Australian Property Institute (or another relevant independent professional body approved by ASIC); or </w:t>
      </w:r>
    </w:p>
    <w:p w14:paraId="318BD0FF" w14:textId="1AC23D6B" w:rsidR="00C62CB5" w:rsidRPr="00C62CB5" w:rsidRDefault="00C62CB5" w:rsidP="000A1B0B">
      <w:pPr>
        <w:pStyle w:val="LI-BodyTextSubparai"/>
      </w:pPr>
      <w:r w:rsidRPr="00C62CB5">
        <w:t>(</w:t>
      </w:r>
      <w:r w:rsidR="00B90004">
        <w:t>ii</w:t>
      </w:r>
      <w:r w:rsidRPr="00C62CB5">
        <w:t>)</w:t>
      </w:r>
      <w:r w:rsidRPr="00C62CB5">
        <w:tab/>
        <w:t xml:space="preserve">the highest bona fide bid for the management rights (excluding a bid by the </w:t>
      </w:r>
      <w:r w:rsidR="00F42ED2">
        <w:t>o</w:t>
      </w:r>
      <w:r w:rsidR="00F42ED2" w:rsidRPr="00C62CB5">
        <w:t xml:space="preserve">perator </w:t>
      </w:r>
      <w:r w:rsidRPr="00C62CB5">
        <w:t xml:space="preserve">or its associates) at </w:t>
      </w:r>
      <w:r w:rsidR="00237935">
        <w:t xml:space="preserve">an auction of which at least 60 </w:t>
      </w:r>
      <w:r w:rsidRPr="00C62CB5">
        <w:t>days</w:t>
      </w:r>
      <w:r w:rsidR="00B85B95">
        <w:t>’</w:t>
      </w:r>
      <w:r w:rsidRPr="00C62CB5">
        <w:t xml:space="preserve"> notice had been given; or </w:t>
      </w:r>
    </w:p>
    <w:p w14:paraId="5BDD8EF1" w14:textId="673772E8" w:rsidR="00C62CB5" w:rsidRPr="00C62CB5" w:rsidRDefault="00C62CB5" w:rsidP="000A1B0B">
      <w:pPr>
        <w:pStyle w:val="LI-BodyTextSubparai"/>
      </w:pPr>
      <w:r w:rsidRPr="00C62CB5">
        <w:t>(</w:t>
      </w:r>
      <w:r w:rsidR="00B90004">
        <w:t>iii</w:t>
      </w:r>
      <w:r w:rsidRPr="00C62CB5">
        <w:t>)</w:t>
      </w:r>
      <w:r w:rsidRPr="00C62CB5">
        <w:tab/>
      </w:r>
      <w:proofErr w:type="gramStart"/>
      <w:r w:rsidRPr="00C62CB5">
        <w:t>the</w:t>
      </w:r>
      <w:proofErr w:type="gramEnd"/>
      <w:r w:rsidRPr="00C62CB5">
        <w:t xml:space="preserve"> highest bona fide amount tendered (excluding any tender by the </w:t>
      </w:r>
      <w:r w:rsidR="00F42ED2">
        <w:t>o</w:t>
      </w:r>
      <w:r w:rsidR="00F42ED2" w:rsidRPr="00C62CB5">
        <w:t xml:space="preserve">perator </w:t>
      </w:r>
      <w:r w:rsidRPr="00C62CB5">
        <w:t>or its associates) for the management rights following reasonable efforts to market the property for at least 60 days.</w:t>
      </w:r>
    </w:p>
    <w:p w14:paraId="5DC19841" w14:textId="77777777" w:rsidR="00C62CB5" w:rsidRPr="00C62CB5" w:rsidRDefault="00C62CB5" w:rsidP="00C62CB5">
      <w:pPr>
        <w:overflowPunct w:val="0"/>
        <w:autoSpaceDE w:val="0"/>
        <w:autoSpaceDN w:val="0"/>
        <w:adjustRightInd w:val="0"/>
        <w:spacing w:before="40" w:line="240" w:lineRule="auto"/>
        <w:textAlignment w:val="baseline"/>
        <w:rPr>
          <w:rFonts w:eastAsia="Times New Roman"/>
          <w:i/>
          <w:iCs/>
          <w:color w:val="000000"/>
          <w:sz w:val="24"/>
        </w:rPr>
      </w:pPr>
      <w:r w:rsidRPr="00C62CB5">
        <w:rPr>
          <w:rFonts w:eastAsia="Times New Roman"/>
          <w:i/>
          <w:iCs/>
          <w:color w:val="000000"/>
          <w:sz w:val="24"/>
        </w:rPr>
        <w:t xml:space="preserve">Voting </w:t>
      </w:r>
    </w:p>
    <w:p w14:paraId="66FAD43F" w14:textId="77777777" w:rsidR="00C62CB5" w:rsidRPr="00C62CB5" w:rsidRDefault="00C62CB5" w:rsidP="000A1B0B">
      <w:pPr>
        <w:pStyle w:val="LI-BodyTextParaa"/>
      </w:pPr>
      <w:r w:rsidRPr="00C62CB5">
        <w:t>(</w:t>
      </w:r>
      <w:r w:rsidR="003D7C0C">
        <w:t>j</w:t>
      </w:r>
      <w:r w:rsidRPr="00C62CB5">
        <w:t>)</w:t>
      </w:r>
      <w:r w:rsidRPr="00C62CB5">
        <w:tab/>
        <w:t xml:space="preserve">In </w:t>
      </w:r>
      <w:r w:rsidR="000C3DAA">
        <w:t>working out</w:t>
      </w:r>
      <w:r w:rsidR="000C3DAA" w:rsidRPr="00C62CB5">
        <w:t xml:space="preserve"> </w:t>
      </w:r>
      <w:r w:rsidRPr="00C62CB5">
        <w:t xml:space="preserve">if there is a majority of </w:t>
      </w:r>
      <w:r w:rsidR="0015436B">
        <w:t>s</w:t>
      </w:r>
      <w:r w:rsidR="0015436B" w:rsidRPr="00C62CB5">
        <w:t xml:space="preserve">cheme </w:t>
      </w:r>
      <w:r w:rsidRPr="00C62CB5">
        <w:t xml:space="preserve">members or body corporate members, the </w:t>
      </w:r>
      <w:r w:rsidR="0015436B">
        <w:t>o</w:t>
      </w:r>
      <w:r w:rsidR="0015436B" w:rsidRPr="00C62CB5">
        <w:t xml:space="preserve">perator </w:t>
      </w:r>
      <w:r w:rsidRPr="00C62CB5">
        <w:t xml:space="preserve">and its associates and any person nominated as a replacement operator and associates of that person must not be counted. </w:t>
      </w:r>
    </w:p>
    <w:p w14:paraId="3FAD5E89" w14:textId="77777777" w:rsidR="00C62CB5" w:rsidRPr="00C62CB5" w:rsidRDefault="00C62CB5" w:rsidP="000A1B0B">
      <w:pPr>
        <w:pStyle w:val="LI-BodyTextParaa"/>
      </w:pPr>
      <w:r w:rsidRPr="00C62CB5">
        <w:t>(</w:t>
      </w:r>
      <w:r w:rsidR="003D7C0C">
        <w:t>k</w:t>
      </w:r>
      <w:r w:rsidRPr="00C62CB5">
        <w:t>)</w:t>
      </w:r>
      <w:r w:rsidRPr="00C62CB5">
        <w:tab/>
        <w:t xml:space="preserve">For </w:t>
      </w:r>
      <w:r w:rsidR="0015436B">
        <w:t>s</w:t>
      </w:r>
      <w:r w:rsidR="0015436B" w:rsidRPr="00C62CB5">
        <w:t xml:space="preserve">cheme </w:t>
      </w:r>
      <w:r w:rsidRPr="00C62CB5">
        <w:t xml:space="preserve">members, a majority is based on their entitlement to vote at body corporate meetings if there is a body corporate for the property to which the </w:t>
      </w:r>
      <w:r w:rsidR="0015436B">
        <w:t>s</w:t>
      </w:r>
      <w:r w:rsidR="0015436B" w:rsidRPr="00C62CB5">
        <w:t xml:space="preserve">cheme </w:t>
      </w:r>
      <w:r w:rsidRPr="00C62CB5">
        <w:t xml:space="preserve">relates, and otherwise each member shall have one vote. </w:t>
      </w:r>
    </w:p>
    <w:p w14:paraId="79108BF4" w14:textId="77777777" w:rsidR="00C62CB5" w:rsidRPr="00C62CB5" w:rsidRDefault="00C62CB5" w:rsidP="000A1B0B">
      <w:pPr>
        <w:pStyle w:val="LI-BodyTextParaa"/>
      </w:pPr>
      <w:r w:rsidRPr="00C62CB5">
        <w:t>(</w:t>
      </w:r>
      <w:r w:rsidR="003D7C0C">
        <w:t>l</w:t>
      </w:r>
      <w:r w:rsidRPr="00C62CB5">
        <w:t>)</w:t>
      </w:r>
      <w:r w:rsidRPr="00C62CB5">
        <w:tab/>
        <w:t xml:space="preserve">For body corporate members, a majority is based on their entitlement to vote at body corporate meetings. </w:t>
      </w:r>
    </w:p>
    <w:p w14:paraId="0AD5F5D9" w14:textId="77777777" w:rsidR="00C62CB5" w:rsidRPr="00C62CB5" w:rsidRDefault="00C62CB5" w:rsidP="000A1B0B">
      <w:pPr>
        <w:pStyle w:val="LI-BodyTextParaa"/>
      </w:pPr>
      <w:r w:rsidRPr="00C62CB5">
        <w:t>(</w:t>
      </w:r>
      <w:r w:rsidR="003D7C0C">
        <w:t>m</w:t>
      </w:r>
      <w:r w:rsidRPr="00C62CB5">
        <w:t>)</w:t>
      </w:r>
      <w:r w:rsidRPr="00C62CB5">
        <w:tab/>
        <w:t xml:space="preserve">A </w:t>
      </w:r>
      <w:r w:rsidR="0015436B">
        <w:t>s</w:t>
      </w:r>
      <w:r w:rsidR="0015436B" w:rsidRPr="00C62CB5">
        <w:t xml:space="preserve">cheme </w:t>
      </w:r>
      <w:r w:rsidRPr="00C62CB5">
        <w:t xml:space="preserve">member or a body corporate member makes a decision by signing a document that sets out the decision. </w:t>
      </w:r>
    </w:p>
    <w:p w14:paraId="4D453004" w14:textId="77777777" w:rsidR="00C62CB5" w:rsidRPr="00C62CB5" w:rsidRDefault="00C62CB5" w:rsidP="00C62CB5">
      <w:pPr>
        <w:overflowPunct w:val="0"/>
        <w:autoSpaceDE w:val="0"/>
        <w:autoSpaceDN w:val="0"/>
        <w:adjustRightInd w:val="0"/>
        <w:spacing w:before="240" w:line="240" w:lineRule="auto"/>
        <w:textAlignment w:val="baseline"/>
        <w:rPr>
          <w:rFonts w:eastAsia="Times New Roman"/>
          <w:i/>
          <w:iCs/>
          <w:color w:val="000000"/>
          <w:sz w:val="24"/>
        </w:rPr>
      </w:pPr>
      <w:r w:rsidRPr="00C62CB5">
        <w:rPr>
          <w:rFonts w:eastAsia="Times New Roman"/>
          <w:i/>
          <w:iCs/>
          <w:color w:val="000000"/>
          <w:sz w:val="24"/>
        </w:rPr>
        <w:t>Costs</w:t>
      </w:r>
    </w:p>
    <w:p w14:paraId="724FED68" w14:textId="77777777" w:rsidR="00C62CB5" w:rsidRPr="00C62CB5" w:rsidRDefault="00C62CB5" w:rsidP="000A1B0B">
      <w:pPr>
        <w:pStyle w:val="LI-BodyTextParaa"/>
      </w:pPr>
      <w:r w:rsidRPr="00C62CB5">
        <w:t>(</w:t>
      </w:r>
      <w:r w:rsidR="003D7C0C">
        <w:t>n</w:t>
      </w:r>
      <w:r w:rsidRPr="00C62CB5">
        <w:t>)</w:t>
      </w:r>
      <w:r w:rsidRPr="00C62CB5">
        <w:tab/>
        <w:t xml:space="preserve">Any member may arrange a valuation or auction of, or may market, the management rights before or after the expiration of the 9 month period referred to in paragraph (a) for the purposes of </w:t>
      </w:r>
      <w:r w:rsidR="000C3DAA">
        <w:t>setting</w:t>
      </w:r>
      <w:r w:rsidR="000C3DAA" w:rsidRPr="00C62CB5">
        <w:t xml:space="preserve"> </w:t>
      </w:r>
      <w:r w:rsidRPr="00C62CB5">
        <w:t xml:space="preserve">a price to be specified in a notice under paragraph (b). </w:t>
      </w:r>
    </w:p>
    <w:p w14:paraId="7F539475" w14:textId="77777777" w:rsidR="00C62CB5" w:rsidRPr="00C62CB5" w:rsidRDefault="00C62CB5" w:rsidP="000A1B0B">
      <w:pPr>
        <w:pStyle w:val="LI-BodyTextParaa"/>
      </w:pPr>
      <w:r w:rsidRPr="00C62CB5">
        <w:t>(</w:t>
      </w:r>
      <w:r w:rsidR="003D7C0C">
        <w:t>o</w:t>
      </w:r>
      <w:r w:rsidRPr="00C62CB5">
        <w:t>)</w:t>
      </w:r>
      <w:r w:rsidRPr="00C62CB5">
        <w:tab/>
        <w:t>If a member incurs any reasonable valuation, auction or marketing costs under paragraph (</w:t>
      </w:r>
      <w:r w:rsidR="00235BAE">
        <w:t>n</w:t>
      </w:r>
      <w:r w:rsidRPr="00C62CB5">
        <w:t xml:space="preserve">) that member is entitled to be reimbursed out of the price payable by any person nominated by the members as transferee of the management rights when the price is paid to the </w:t>
      </w:r>
      <w:r w:rsidR="00235BAE">
        <w:t>o</w:t>
      </w:r>
      <w:r w:rsidR="00235BAE" w:rsidRPr="00C62CB5">
        <w:t>perator</w:t>
      </w:r>
      <w:r w:rsidRPr="00C62CB5">
        <w:t xml:space="preserve">. </w:t>
      </w:r>
    </w:p>
    <w:p w14:paraId="44733913" w14:textId="77777777" w:rsidR="00C62CB5" w:rsidRPr="00C62CB5" w:rsidRDefault="00C62CB5" w:rsidP="00C62CB5">
      <w:pPr>
        <w:overflowPunct w:val="0"/>
        <w:autoSpaceDE w:val="0"/>
        <w:autoSpaceDN w:val="0"/>
        <w:adjustRightInd w:val="0"/>
        <w:spacing w:before="240" w:line="240" w:lineRule="auto"/>
        <w:textAlignment w:val="baseline"/>
        <w:rPr>
          <w:rFonts w:eastAsia="Times New Roman"/>
          <w:i/>
          <w:iCs/>
          <w:color w:val="000000"/>
          <w:sz w:val="24"/>
        </w:rPr>
      </w:pPr>
      <w:r w:rsidRPr="00C62CB5">
        <w:rPr>
          <w:rFonts w:eastAsia="Times New Roman"/>
          <w:i/>
          <w:iCs/>
          <w:color w:val="000000"/>
          <w:sz w:val="24"/>
        </w:rPr>
        <w:t>Assistance</w:t>
      </w:r>
    </w:p>
    <w:p w14:paraId="13616F63" w14:textId="77777777" w:rsidR="00C62CB5" w:rsidRDefault="003D7C0C" w:rsidP="000A1B0B">
      <w:pPr>
        <w:pStyle w:val="LI-BodyTextParaa"/>
      </w:pPr>
      <w:r>
        <w:t>(p)</w:t>
      </w:r>
      <w:r>
        <w:tab/>
      </w:r>
      <w:r w:rsidR="00C62CB5" w:rsidRPr="00C62CB5">
        <w:t xml:space="preserve">The </w:t>
      </w:r>
      <w:r w:rsidR="00235BAE">
        <w:t>o</w:t>
      </w:r>
      <w:r w:rsidR="00235BAE" w:rsidRPr="00C62CB5">
        <w:t xml:space="preserve">perator </w:t>
      </w:r>
      <w:r w:rsidR="00C62CB5" w:rsidRPr="00C62CB5">
        <w:t xml:space="preserve">must give reasonable assistance to enable the transferee to operate the resort, hotel, motel or serviced apartment complex including making available information </w:t>
      </w:r>
      <w:r w:rsidR="000C3DAA">
        <w:t>about</w:t>
      </w:r>
      <w:r w:rsidR="000C3DAA" w:rsidRPr="00C62CB5">
        <w:t xml:space="preserve"> </w:t>
      </w:r>
      <w:r w:rsidR="00C62CB5" w:rsidRPr="00C62CB5">
        <w:t xml:space="preserve">any </w:t>
      </w:r>
      <w:r w:rsidR="000C3DAA">
        <w:t>future</w:t>
      </w:r>
      <w:r w:rsidR="000C3DAA" w:rsidRPr="00C62CB5">
        <w:t xml:space="preserve"> </w:t>
      </w:r>
      <w:r w:rsidR="00C62CB5" w:rsidRPr="00C62CB5">
        <w:t>bookings.</w:t>
      </w:r>
    </w:p>
    <w:p w14:paraId="7F4A3532" w14:textId="77777777" w:rsidR="007975C2" w:rsidRPr="00370BC4" w:rsidRDefault="007975C2" w:rsidP="00532340">
      <w:pPr>
        <w:pStyle w:val="LI-Heading1"/>
      </w:pPr>
      <w:bookmarkStart w:id="17" w:name="_Toc462049852"/>
      <w:r w:rsidRPr="00370BC4">
        <w:lastRenderedPageBreak/>
        <w:t>Part 3—</w:t>
      </w:r>
      <w:r w:rsidR="008515DF" w:rsidRPr="00370BC4">
        <w:t xml:space="preserve">Relief for </w:t>
      </w:r>
      <w:r w:rsidRPr="00370BC4">
        <w:t>registered schemes</w:t>
      </w:r>
      <w:bookmarkEnd w:id="17"/>
    </w:p>
    <w:p w14:paraId="5CE7BCF8" w14:textId="60B922F5" w:rsidR="007975C2" w:rsidRDefault="00587EA7" w:rsidP="007975C2">
      <w:pPr>
        <w:pStyle w:val="LI-Heading2"/>
        <w:rPr>
          <w:szCs w:val="24"/>
        </w:rPr>
      </w:pPr>
      <w:bookmarkStart w:id="18" w:name="_Toc462049853"/>
      <w:r w:rsidRPr="007626F5">
        <w:rPr>
          <w:szCs w:val="24"/>
        </w:rPr>
        <w:t>11</w:t>
      </w:r>
      <w:r w:rsidR="007975C2">
        <w:rPr>
          <w:szCs w:val="24"/>
        </w:rPr>
        <w:tab/>
        <w:t>Valuation of property of registered serviced apartment schemes</w:t>
      </w:r>
      <w:bookmarkEnd w:id="18"/>
    </w:p>
    <w:p w14:paraId="41494F09" w14:textId="397F0DD6" w:rsidR="007975C2" w:rsidRDefault="008515DF" w:rsidP="008515DF">
      <w:pPr>
        <w:pStyle w:val="LI-BodyTextNumbered"/>
      </w:pPr>
      <w:r>
        <w:t>(1)</w:t>
      </w:r>
      <w:r>
        <w:tab/>
        <w:t xml:space="preserve">The responsible entity of a registered strata scheme does not have to comply with paragraph </w:t>
      </w:r>
      <w:proofErr w:type="gramStart"/>
      <w:r>
        <w:t>601FC(</w:t>
      </w:r>
      <w:proofErr w:type="gramEnd"/>
      <w:r>
        <w:t xml:space="preserve">1)(j) of the Act </w:t>
      </w:r>
      <w:r w:rsidR="00E9548E">
        <w:t>in relation to the scheme.</w:t>
      </w:r>
    </w:p>
    <w:p w14:paraId="3469D70D" w14:textId="77777777" w:rsidR="00E9548E" w:rsidRPr="00E9548E" w:rsidRDefault="00E9548E" w:rsidP="008515DF">
      <w:pPr>
        <w:pStyle w:val="LI-BodyTextNumbered"/>
        <w:rPr>
          <w:i/>
        </w:rPr>
      </w:pPr>
      <w:r w:rsidRPr="00E9548E">
        <w:rPr>
          <w:i/>
        </w:rPr>
        <w:t>Condition</w:t>
      </w:r>
    </w:p>
    <w:p w14:paraId="5B6BCBD6" w14:textId="77777777" w:rsidR="00E9548E" w:rsidRDefault="00E9548E" w:rsidP="00E9548E">
      <w:pPr>
        <w:pStyle w:val="LI-BodyTextNumbered"/>
      </w:pPr>
      <w:r>
        <w:t>(2)</w:t>
      </w:r>
      <w:r>
        <w:tab/>
        <w:t xml:space="preserve">A responsible entity that relies on the exemption in subsection (1) must ensure that an item of scheme property of the scheme is valued as soon as practicable after the responsible entity has reasonable grounds to believe that a valuation of the item is in the best interests of members or is needed </w:t>
      </w:r>
      <w:r w:rsidRPr="00DF6741">
        <w:t>for the scheme to operate in a manner that is fair to all members</w:t>
      </w:r>
      <w:r>
        <w:t>.</w:t>
      </w:r>
    </w:p>
    <w:p w14:paraId="5177C0D6" w14:textId="77777777" w:rsidR="00E9548E" w:rsidRDefault="00E9548E" w:rsidP="00E9548E">
      <w:pPr>
        <w:pStyle w:val="LI-BodyTextNumbered"/>
      </w:pPr>
      <w:r>
        <w:t>(3)</w:t>
      </w:r>
      <w:r>
        <w:tab/>
        <w:t>A responsible entity that has not complied with the condition in subsection (2) cannot rely on the exemption in subsection (1).</w:t>
      </w:r>
    </w:p>
    <w:p w14:paraId="7A2DA163" w14:textId="515EE083" w:rsidR="00E9548E" w:rsidRDefault="00587EA7" w:rsidP="00E9548E">
      <w:pPr>
        <w:pStyle w:val="LI-Heading2"/>
      </w:pPr>
      <w:bookmarkStart w:id="19" w:name="_Toc462049854"/>
      <w:r w:rsidRPr="007626F5">
        <w:t>12</w:t>
      </w:r>
      <w:r w:rsidR="00E9548E">
        <w:tab/>
        <w:t>Consequential modification of compliance plan requirements</w:t>
      </w:r>
      <w:bookmarkEnd w:id="19"/>
    </w:p>
    <w:p w14:paraId="43955664" w14:textId="3FD7D25D" w:rsidR="00DC7AC7" w:rsidRDefault="00DC7AC7" w:rsidP="00DC7AC7">
      <w:pPr>
        <w:pStyle w:val="LI-BodyTextUnnumbered"/>
        <w:sectPr w:rsidR="00DC7AC7" w:rsidSect="0040053F">
          <w:headerReference w:type="even" r:id="rId30"/>
          <w:headerReference w:type="default" r:id="rId31"/>
          <w:pgSz w:w="11907" w:h="16839" w:code="9"/>
          <w:pgMar w:top="1534" w:right="1797" w:bottom="1440" w:left="1797" w:header="720" w:footer="709" w:gutter="0"/>
          <w:cols w:space="708"/>
          <w:docGrid w:linePitch="360"/>
        </w:sectPr>
      </w:pPr>
      <w:r>
        <w:t xml:space="preserve">Chapter 5C of the Act applies to a </w:t>
      </w:r>
      <w:r w:rsidRPr="00DC7AC7">
        <w:t>responsible entity of a registered strata scheme</w:t>
      </w:r>
      <w:r>
        <w:t xml:space="preserve"> as if </w:t>
      </w:r>
      <w:r w:rsidRPr="00DC7AC7">
        <w:t xml:space="preserve">paragraph </w:t>
      </w:r>
      <w:proofErr w:type="gramStart"/>
      <w:r w:rsidRPr="00DC7AC7">
        <w:t>601HA(</w:t>
      </w:r>
      <w:proofErr w:type="gramEnd"/>
      <w:r w:rsidRPr="00DC7AC7">
        <w:t>1)(c)</w:t>
      </w:r>
      <w:r>
        <w:t xml:space="preserve"> we</w:t>
      </w:r>
      <w:r w:rsidR="00DF6741">
        <w:t>re modified or varied by after “</w:t>
      </w:r>
      <w:r>
        <w:t>valued</w:t>
      </w:r>
      <w:r w:rsidR="00DF6741">
        <w:t>”</w:t>
      </w:r>
      <w:r>
        <w:t xml:space="preserve"> inserting </w:t>
      </w:r>
      <w:r w:rsidR="00DF6741">
        <w:t>“</w:t>
      </w:r>
      <w:r>
        <w:t>in accordance with the conditions of any exemption under paragraph 601QA(1)(a) that exempts the responsible entity from paragraph 601FC(1)(j) or, if the responsible entity is not covered by such an exemption,</w:t>
      </w:r>
      <w:r w:rsidR="00DF6741">
        <w:t>”</w:t>
      </w:r>
      <w:r>
        <w:t>.</w:t>
      </w:r>
    </w:p>
    <w:p w14:paraId="532004E2" w14:textId="2A2D597D" w:rsidR="000F087E" w:rsidRDefault="000F087E" w:rsidP="000F087E">
      <w:pPr>
        <w:pStyle w:val="LI-Heading1"/>
      </w:pPr>
      <w:bookmarkStart w:id="20" w:name="_Toc462049855"/>
      <w:r>
        <w:lastRenderedPageBreak/>
        <w:t>Part 4—</w:t>
      </w:r>
      <w:r w:rsidR="00B211D7">
        <w:t>Relief for strata schemes</w:t>
      </w:r>
      <w:bookmarkEnd w:id="20"/>
    </w:p>
    <w:p w14:paraId="0E6821AE" w14:textId="2D6A8C37" w:rsidR="000F087E" w:rsidRDefault="00587EA7" w:rsidP="000F087E">
      <w:pPr>
        <w:pStyle w:val="LI-Heading2"/>
      </w:pPr>
      <w:bookmarkStart w:id="21" w:name="_Toc462049856"/>
      <w:r w:rsidRPr="007626F5">
        <w:t>13</w:t>
      </w:r>
      <w:r w:rsidR="000F087E">
        <w:tab/>
        <w:t>S</w:t>
      </w:r>
      <w:r w:rsidR="000F087E" w:rsidRPr="00476E02">
        <w:t xml:space="preserve">trata scheme where </w:t>
      </w:r>
      <w:r w:rsidR="000F087E">
        <w:t xml:space="preserve">all </w:t>
      </w:r>
      <w:r w:rsidR="000F087E" w:rsidRPr="00604E54">
        <w:rPr>
          <w:szCs w:val="24"/>
        </w:rPr>
        <w:t>strata units acquired for at least $500,000</w:t>
      </w:r>
      <w:bookmarkEnd w:id="21"/>
    </w:p>
    <w:p w14:paraId="4BE0BFF1" w14:textId="13707411" w:rsidR="000F087E" w:rsidRPr="000043B8" w:rsidRDefault="000F087E" w:rsidP="001F4C2F">
      <w:pPr>
        <w:pStyle w:val="LI-BodyTextNumbered"/>
      </w:pPr>
      <w:r>
        <w:t>(1)</w:t>
      </w:r>
      <w:r>
        <w:tab/>
        <w:t xml:space="preserve">Parts </w:t>
      </w:r>
      <w:r w:rsidRPr="00D251A5">
        <w:t>7.6 (</w:t>
      </w:r>
      <w:r>
        <w:t>other than</w:t>
      </w:r>
      <w:r w:rsidRPr="00D251A5">
        <w:t xml:space="preserve"> Div</w:t>
      </w:r>
      <w:r>
        <w:t>isions</w:t>
      </w:r>
      <w:r w:rsidRPr="00D251A5">
        <w:t xml:space="preserve"> 4 and 8), 7.7, 7.8 and 7.9</w:t>
      </w:r>
      <w:r>
        <w:t xml:space="preserve"> of the Act apply in relation to an interest in a strata scheme </w:t>
      </w:r>
      <w:r w:rsidR="009E70A7">
        <w:t xml:space="preserve">that is operated by a person who is not an excluded person </w:t>
      </w:r>
      <w:r>
        <w:t xml:space="preserve">as if </w:t>
      </w:r>
      <w:proofErr w:type="spellStart"/>
      <w:r w:rsidRPr="00476E02">
        <w:t>subregulation</w:t>
      </w:r>
      <w:proofErr w:type="spellEnd"/>
      <w:r w:rsidRPr="00476E02">
        <w:t xml:space="preserve"> </w:t>
      </w:r>
      <w:r w:rsidRPr="000043B8">
        <w:t xml:space="preserve">7.1.18(3) of the </w:t>
      </w:r>
      <w:r w:rsidRPr="000043B8">
        <w:rPr>
          <w:i/>
        </w:rPr>
        <w:t>Corporations Regulations 2001</w:t>
      </w:r>
      <w:r w:rsidRPr="00476E02">
        <w:t xml:space="preserve"> were modified or varied by, after paragraph (a), inserting</w:t>
      </w:r>
      <w:r w:rsidRPr="000043B8">
        <w:t xml:space="preserve">: </w:t>
      </w:r>
    </w:p>
    <w:p w14:paraId="14EBC2E5" w14:textId="09FEB4F5" w:rsidR="001F4C2F" w:rsidRDefault="000F087E" w:rsidP="00EB1EA7">
      <w:pPr>
        <w:pStyle w:val="LI-BodyTextSubparai"/>
        <w:ind w:left="1701"/>
      </w:pPr>
      <w:r>
        <w:t>“</w:t>
      </w:r>
      <w:r w:rsidRPr="000043B8">
        <w:t>(</w:t>
      </w:r>
      <w:proofErr w:type="gramStart"/>
      <w:r w:rsidRPr="000043B8">
        <w:t>aa</w:t>
      </w:r>
      <w:proofErr w:type="gramEnd"/>
      <w:r w:rsidRPr="000043B8">
        <w:t xml:space="preserve">) </w:t>
      </w:r>
      <w:r w:rsidRPr="000043B8">
        <w:tab/>
        <w:t xml:space="preserve">subject to paragraph (b) and </w:t>
      </w:r>
      <w:proofErr w:type="spellStart"/>
      <w:r w:rsidRPr="000043B8">
        <w:t>subregulation</w:t>
      </w:r>
      <w:proofErr w:type="spellEnd"/>
      <w:r w:rsidRPr="000043B8">
        <w:t xml:space="preserve"> (4), includes</w:t>
      </w:r>
      <w:r w:rsidR="001F4C2F">
        <w:t xml:space="preserve"> the higher of:</w:t>
      </w:r>
      <w:r w:rsidRPr="000043B8">
        <w:t xml:space="preserve"> </w:t>
      </w:r>
    </w:p>
    <w:p w14:paraId="0B70C7D1" w14:textId="5C217A94" w:rsidR="001F4C2F" w:rsidRDefault="001F4C2F" w:rsidP="00EB1EA7">
      <w:pPr>
        <w:pStyle w:val="LI-BodyTextSubparai"/>
      </w:pPr>
      <w:r>
        <w:t>(</w:t>
      </w:r>
      <w:proofErr w:type="spellStart"/>
      <w:r>
        <w:t>i</w:t>
      </w:r>
      <w:proofErr w:type="spellEnd"/>
      <w:r>
        <w:t>)</w:t>
      </w:r>
      <w:r>
        <w:tab/>
      </w:r>
      <w:r w:rsidR="000F087E" w:rsidRPr="000043B8">
        <w:t>any amount paid or payable for real property or furniture, fittings and equipment acquired or purchased with the investment-based financial product</w:t>
      </w:r>
      <w:r w:rsidR="000F087E">
        <w:t>; and</w:t>
      </w:r>
    </w:p>
    <w:p w14:paraId="0671C0CC" w14:textId="30AD2C9D" w:rsidR="00DA19A2" w:rsidRDefault="001F4C2F" w:rsidP="00EB1EA7">
      <w:pPr>
        <w:pStyle w:val="LI-BodyTextSubparai"/>
      </w:pPr>
      <w:r>
        <w:t>(ii)</w:t>
      </w:r>
      <w:r>
        <w:tab/>
      </w:r>
      <w:proofErr w:type="gramStart"/>
      <w:r w:rsidRPr="001F4C2F">
        <w:t>the</w:t>
      </w:r>
      <w:proofErr w:type="gramEnd"/>
      <w:r>
        <w:t xml:space="preserve"> highest amount paid or payable</w:t>
      </w:r>
      <w:r w:rsidRPr="001F4C2F">
        <w:t xml:space="preserve"> for that real property or furniture, fittings and equipment acquired or purchased with that real property on a </w:t>
      </w:r>
      <w:r>
        <w:t>previous</w:t>
      </w:r>
      <w:r w:rsidRPr="001F4C2F">
        <w:t xml:space="preserve"> acquisition or purchase of the real property by a person </w:t>
      </w:r>
      <w:r w:rsidR="00DA19A2">
        <w:t>who is not any of the following:</w:t>
      </w:r>
    </w:p>
    <w:p w14:paraId="54FDF639" w14:textId="0D2E3914" w:rsidR="00DA19A2" w:rsidRDefault="00DA19A2" w:rsidP="00DA19A2">
      <w:pPr>
        <w:pStyle w:val="LI-BodyTextSubsubparaA"/>
      </w:pPr>
      <w:r>
        <w:t>(A)</w:t>
      </w:r>
      <w:r>
        <w:tab/>
      </w:r>
      <w:proofErr w:type="gramStart"/>
      <w:r>
        <w:t>the</w:t>
      </w:r>
      <w:proofErr w:type="gramEnd"/>
      <w:r>
        <w:t xml:space="preserve"> issuer of the </w:t>
      </w:r>
      <w:r w:rsidRPr="001F4C2F">
        <w:t>investment-based financial product</w:t>
      </w:r>
      <w:r>
        <w:t>;</w:t>
      </w:r>
    </w:p>
    <w:p w14:paraId="78073A48" w14:textId="77777777" w:rsidR="00DA19A2" w:rsidRDefault="00DA19A2" w:rsidP="00DA19A2">
      <w:pPr>
        <w:pStyle w:val="LI-BodyTextSubsubparaA"/>
      </w:pPr>
      <w:r>
        <w:t xml:space="preserve">(B) </w:t>
      </w:r>
      <w:r>
        <w:tab/>
      </w:r>
      <w:proofErr w:type="gramStart"/>
      <w:r>
        <w:t>a</w:t>
      </w:r>
      <w:proofErr w:type="gramEnd"/>
      <w:r>
        <w:t xml:space="preserve"> promoter of a managed investment scheme </w:t>
      </w:r>
      <w:r w:rsidRPr="001F4C2F">
        <w:t>in which the investment-based financial product is an interest</w:t>
      </w:r>
      <w:r>
        <w:t>;</w:t>
      </w:r>
    </w:p>
    <w:p w14:paraId="1F5820FC" w14:textId="57D9A05B" w:rsidR="00DA19A2" w:rsidRDefault="00DA19A2" w:rsidP="00EB1EA7">
      <w:pPr>
        <w:pStyle w:val="LI-BodyTextSubsubparaA"/>
      </w:pPr>
      <w:r>
        <w:t>(C)</w:t>
      </w:r>
      <w:r>
        <w:tab/>
      </w:r>
      <w:proofErr w:type="gramStart"/>
      <w:r>
        <w:t>an</w:t>
      </w:r>
      <w:proofErr w:type="gramEnd"/>
      <w:r>
        <w:t xml:space="preserve"> associate of the issuer or promoter.</w:t>
      </w:r>
    </w:p>
    <w:p w14:paraId="40567387" w14:textId="14C9A74A" w:rsidR="000F087E" w:rsidRDefault="000F087E" w:rsidP="00DA19A2">
      <w:pPr>
        <w:pStyle w:val="LI-SectionNote"/>
        <w:ind w:left="1701"/>
      </w:pPr>
      <w:r>
        <w:t xml:space="preserve">Note: </w:t>
      </w:r>
      <w:r>
        <w:tab/>
      </w:r>
      <w:proofErr w:type="spellStart"/>
      <w:r>
        <w:t>Subregulation</w:t>
      </w:r>
      <w:proofErr w:type="spellEnd"/>
      <w:r>
        <w:t xml:space="preserve"> 7.1.18(3) </w:t>
      </w:r>
      <w:r w:rsidRPr="000043B8">
        <w:t xml:space="preserve">of the </w:t>
      </w:r>
      <w:r w:rsidRPr="000043B8">
        <w:rPr>
          <w:i/>
        </w:rPr>
        <w:t>Corporations Regulations 2001</w:t>
      </w:r>
      <w:r w:rsidRPr="00476E02">
        <w:t xml:space="preserve"> </w:t>
      </w:r>
      <w:r>
        <w:t xml:space="preserve">applies for the purposes of the definition of </w:t>
      </w:r>
      <w:r w:rsidRPr="005D011D">
        <w:rPr>
          <w:b/>
          <w:i/>
        </w:rPr>
        <w:t>retail client</w:t>
      </w:r>
      <w:r>
        <w:t xml:space="preserve"> in section 761A of the Act.</w:t>
      </w:r>
      <w:proofErr w:type="gramStart"/>
      <w:r w:rsidR="00DA19A2">
        <w:rPr>
          <w:sz w:val="24"/>
          <w:szCs w:val="24"/>
        </w:rPr>
        <w:t>”.</w:t>
      </w:r>
      <w:proofErr w:type="gramEnd"/>
    </w:p>
    <w:p w14:paraId="4F9AE3E6" w14:textId="1D36CE1D" w:rsidR="000F087E" w:rsidRDefault="000F087E" w:rsidP="00DA19A2">
      <w:pPr>
        <w:pStyle w:val="LI-BodyTextNumbered"/>
      </w:pPr>
      <w:r>
        <w:t>(2)</w:t>
      </w:r>
      <w:r>
        <w:tab/>
        <w:t>Subsection (1) applies in relation to a strata scheme where</w:t>
      </w:r>
      <w:r w:rsidRPr="00EA7C0D">
        <w:t xml:space="preserve"> </w:t>
      </w:r>
      <w:r>
        <w:t>the price for the provision of each interest in the scheme is at least $500,000.</w:t>
      </w:r>
    </w:p>
    <w:p w14:paraId="0425D0F1" w14:textId="122CA75B" w:rsidR="000F087E" w:rsidRPr="000043B8" w:rsidRDefault="000F087E" w:rsidP="000F087E">
      <w:pPr>
        <w:pStyle w:val="LI-BodyTextNumbered"/>
      </w:pPr>
      <w:r>
        <w:t>(3)</w:t>
      </w:r>
      <w:r>
        <w:tab/>
        <w:t>For subsection (2), the price for the provision of an interest in the scheme is the price that would be determined for the purposes of paragraph 761G(10</w:t>
      </w:r>
      <w:r w:rsidRPr="00476E02">
        <w:t xml:space="preserve">)(a) of the Act if </w:t>
      </w:r>
      <w:proofErr w:type="spellStart"/>
      <w:r w:rsidRPr="00476E02">
        <w:t>subregulation</w:t>
      </w:r>
      <w:proofErr w:type="spellEnd"/>
      <w:r w:rsidRPr="00476E02">
        <w:t xml:space="preserve"> </w:t>
      </w:r>
      <w:r w:rsidRPr="000043B8">
        <w:t xml:space="preserve">7.1.18(3) of the </w:t>
      </w:r>
      <w:r w:rsidRPr="000043B8">
        <w:rPr>
          <w:i/>
        </w:rPr>
        <w:t>Corporations Regulations 2001</w:t>
      </w:r>
      <w:r w:rsidRPr="00476E02">
        <w:t xml:space="preserve"> were modified or varied by, after paragraph (a), inserting</w:t>
      </w:r>
      <w:r w:rsidRPr="000043B8">
        <w:t xml:space="preserve">: </w:t>
      </w:r>
    </w:p>
    <w:p w14:paraId="6C41D870" w14:textId="77777777" w:rsidR="00DA19A2" w:rsidRDefault="000F087E" w:rsidP="000F087E">
      <w:pPr>
        <w:pStyle w:val="LI-BodyTextNumbered"/>
        <w:ind w:left="1701"/>
      </w:pPr>
      <w:r w:rsidRPr="000043B8">
        <w:t>“(</w:t>
      </w:r>
      <w:proofErr w:type="gramStart"/>
      <w:r w:rsidRPr="000043B8">
        <w:t>aa</w:t>
      </w:r>
      <w:proofErr w:type="gramEnd"/>
      <w:r w:rsidRPr="000043B8">
        <w:t xml:space="preserve">) </w:t>
      </w:r>
      <w:r w:rsidRPr="000043B8">
        <w:tab/>
        <w:t xml:space="preserve">subject to paragraph (b) and </w:t>
      </w:r>
      <w:proofErr w:type="spellStart"/>
      <w:r w:rsidRPr="000043B8">
        <w:t>subregulation</w:t>
      </w:r>
      <w:proofErr w:type="spellEnd"/>
      <w:r w:rsidRPr="000043B8">
        <w:t xml:space="preserve"> (4), includes </w:t>
      </w:r>
      <w:r w:rsidR="00DA19A2">
        <w:t>the higher of:</w:t>
      </w:r>
    </w:p>
    <w:p w14:paraId="1604F2CB" w14:textId="77777777" w:rsidR="00DA19A2" w:rsidRDefault="00DA19A2" w:rsidP="00EB1EA7">
      <w:pPr>
        <w:pStyle w:val="LI-BodyTextSubparai"/>
      </w:pPr>
      <w:r>
        <w:t>(</w:t>
      </w:r>
      <w:proofErr w:type="spellStart"/>
      <w:r>
        <w:t>i</w:t>
      </w:r>
      <w:proofErr w:type="spellEnd"/>
      <w:r>
        <w:t>)</w:t>
      </w:r>
      <w:r>
        <w:tab/>
      </w:r>
      <w:r w:rsidR="000F087E" w:rsidRPr="000043B8">
        <w:t>any amount paid or payable for real property or furniture, fittings and equipment acquired or purchased with the investment-based financial product; and</w:t>
      </w:r>
    </w:p>
    <w:p w14:paraId="324073F2" w14:textId="77777777" w:rsidR="00DA19A2" w:rsidRDefault="00DA19A2" w:rsidP="00DA19A2">
      <w:pPr>
        <w:pStyle w:val="LI-BodyTextSubparai"/>
      </w:pPr>
      <w:r>
        <w:t>(ii)</w:t>
      </w:r>
      <w:r>
        <w:tab/>
      </w:r>
      <w:proofErr w:type="gramStart"/>
      <w:r w:rsidRPr="001F4C2F">
        <w:t>the</w:t>
      </w:r>
      <w:proofErr w:type="gramEnd"/>
      <w:r>
        <w:t xml:space="preserve"> highest amount paid or payable</w:t>
      </w:r>
      <w:r w:rsidRPr="001F4C2F">
        <w:t xml:space="preserve"> for that real property or furniture, fittings and equipment acquired or purchased with </w:t>
      </w:r>
      <w:r w:rsidRPr="001F4C2F">
        <w:lastRenderedPageBreak/>
        <w:t xml:space="preserve">that real property on a </w:t>
      </w:r>
      <w:r>
        <w:t>previous</w:t>
      </w:r>
      <w:r w:rsidRPr="001F4C2F">
        <w:t xml:space="preserve"> acquisition or purchase of the real property by a person </w:t>
      </w:r>
      <w:r>
        <w:t>who is not any of the following:</w:t>
      </w:r>
    </w:p>
    <w:p w14:paraId="6DACEA25" w14:textId="77777777" w:rsidR="00DA19A2" w:rsidRDefault="00DA19A2" w:rsidP="00DA19A2">
      <w:pPr>
        <w:pStyle w:val="LI-BodyTextSubsubparaA"/>
      </w:pPr>
      <w:r>
        <w:t>(A)</w:t>
      </w:r>
      <w:r>
        <w:tab/>
      </w:r>
      <w:proofErr w:type="gramStart"/>
      <w:r>
        <w:t>the</w:t>
      </w:r>
      <w:proofErr w:type="gramEnd"/>
      <w:r>
        <w:t xml:space="preserve"> issuer of the </w:t>
      </w:r>
      <w:r w:rsidRPr="001F4C2F">
        <w:t>investment-based financial product</w:t>
      </w:r>
      <w:r>
        <w:t>;</w:t>
      </w:r>
    </w:p>
    <w:p w14:paraId="1D9F887A" w14:textId="77777777" w:rsidR="00DA19A2" w:rsidRDefault="00DA19A2" w:rsidP="00DA19A2">
      <w:pPr>
        <w:pStyle w:val="LI-BodyTextSubsubparaA"/>
      </w:pPr>
      <w:r>
        <w:t xml:space="preserve">(B) </w:t>
      </w:r>
      <w:r>
        <w:tab/>
      </w:r>
      <w:proofErr w:type="gramStart"/>
      <w:r>
        <w:t>a</w:t>
      </w:r>
      <w:proofErr w:type="gramEnd"/>
      <w:r>
        <w:t xml:space="preserve"> promoter of a managed investment scheme </w:t>
      </w:r>
      <w:r w:rsidRPr="001F4C2F">
        <w:t>in which the investment-based financial product is an interest</w:t>
      </w:r>
      <w:r>
        <w:t>;</w:t>
      </w:r>
    </w:p>
    <w:p w14:paraId="39CD4D9F" w14:textId="11D3C9B7" w:rsidR="000F087E" w:rsidRDefault="00DA19A2" w:rsidP="00EB1EA7">
      <w:pPr>
        <w:pStyle w:val="LI-BodyTextSubsubparaA"/>
      </w:pPr>
      <w:r>
        <w:t>(C)</w:t>
      </w:r>
      <w:r>
        <w:tab/>
      </w:r>
      <w:proofErr w:type="gramStart"/>
      <w:r>
        <w:t>an</w:t>
      </w:r>
      <w:proofErr w:type="gramEnd"/>
      <w:r>
        <w:t xml:space="preserve"> associate of the issuer or promoter.</w:t>
      </w:r>
      <w:r w:rsidR="000F087E" w:rsidRPr="000043B8">
        <w:t>”.</w:t>
      </w:r>
    </w:p>
    <w:p w14:paraId="14279CB7" w14:textId="77777777" w:rsidR="007A2BA1" w:rsidRDefault="007A2BA1" w:rsidP="00532340">
      <w:pPr>
        <w:pStyle w:val="LI-Heading1"/>
      </w:pPr>
    </w:p>
    <w:p w14:paraId="4EB3C4B0" w14:textId="77777777" w:rsidR="007A2BA1" w:rsidRDefault="007A2BA1">
      <w:pPr>
        <w:spacing w:line="240" w:lineRule="auto"/>
        <w:rPr>
          <w:rFonts w:eastAsia="Times New Roman"/>
          <w:b/>
          <w:kern w:val="28"/>
          <w:sz w:val="32"/>
          <w:lang w:eastAsia="en-AU"/>
        </w:rPr>
      </w:pPr>
      <w:r>
        <w:br w:type="page"/>
      </w:r>
    </w:p>
    <w:p w14:paraId="618D7438" w14:textId="0923D087" w:rsidR="00220E89" w:rsidRPr="00370BC4" w:rsidRDefault="00220E89" w:rsidP="00532340">
      <w:pPr>
        <w:pStyle w:val="LI-Heading1"/>
      </w:pPr>
      <w:bookmarkStart w:id="22" w:name="_Toc462049857"/>
      <w:r w:rsidRPr="00370BC4">
        <w:lastRenderedPageBreak/>
        <w:t xml:space="preserve">Part </w:t>
      </w:r>
      <w:r w:rsidR="007A2BA1">
        <w:t>5</w:t>
      </w:r>
      <w:r w:rsidRPr="00370BC4">
        <w:t>—</w:t>
      </w:r>
      <w:r w:rsidRPr="00532340">
        <w:t>Transitional</w:t>
      </w:r>
      <w:bookmarkEnd w:id="22"/>
    </w:p>
    <w:p w14:paraId="0AB071D9" w14:textId="08390697" w:rsidR="00D87133" w:rsidRPr="008F23A0" w:rsidRDefault="00587EA7" w:rsidP="000A1B0B">
      <w:pPr>
        <w:pStyle w:val="LI-Heading2"/>
        <w:rPr>
          <w:szCs w:val="24"/>
        </w:rPr>
      </w:pPr>
      <w:bookmarkStart w:id="23" w:name="_Toc462049858"/>
      <w:r w:rsidRPr="00EB1EA7">
        <w:rPr>
          <w:szCs w:val="24"/>
        </w:rPr>
        <w:t>14</w:t>
      </w:r>
      <w:r w:rsidR="00A318DD" w:rsidRPr="00564D7D">
        <w:rPr>
          <w:szCs w:val="24"/>
        </w:rPr>
        <w:tab/>
        <w:t>Schemes cov</w:t>
      </w:r>
      <w:r w:rsidR="00060870" w:rsidRPr="00020AD2">
        <w:rPr>
          <w:szCs w:val="24"/>
        </w:rPr>
        <w:t>ered by ASIC Class</w:t>
      </w:r>
      <w:r w:rsidR="00060870" w:rsidRPr="008F23A0">
        <w:rPr>
          <w:szCs w:val="24"/>
        </w:rPr>
        <w:t xml:space="preserve"> Order</w:t>
      </w:r>
      <w:r w:rsidR="00A25C9E" w:rsidRPr="008F23A0">
        <w:rPr>
          <w:szCs w:val="24"/>
        </w:rPr>
        <w:t>s</w:t>
      </w:r>
      <w:r w:rsidR="00060870" w:rsidRPr="008F23A0">
        <w:rPr>
          <w:szCs w:val="24"/>
        </w:rPr>
        <w:t xml:space="preserve"> </w:t>
      </w:r>
      <w:r w:rsidR="004C2B61">
        <w:rPr>
          <w:szCs w:val="24"/>
        </w:rPr>
        <w:t xml:space="preserve">[CO 02/245], </w:t>
      </w:r>
      <w:r w:rsidR="00A318DD" w:rsidRPr="008F23A0">
        <w:rPr>
          <w:szCs w:val="24"/>
        </w:rPr>
        <w:t>[CO 02/30</w:t>
      </w:r>
      <w:r w:rsidR="00060870" w:rsidRPr="008F23A0">
        <w:rPr>
          <w:szCs w:val="24"/>
        </w:rPr>
        <w:t>3</w:t>
      </w:r>
      <w:r w:rsidR="00A318DD" w:rsidRPr="008F23A0">
        <w:rPr>
          <w:szCs w:val="24"/>
        </w:rPr>
        <w:t>]</w:t>
      </w:r>
      <w:r w:rsidR="00A25C9E" w:rsidRPr="008F23A0">
        <w:rPr>
          <w:szCs w:val="24"/>
        </w:rPr>
        <w:t xml:space="preserve"> and [CO</w:t>
      </w:r>
      <w:r w:rsidR="00516612">
        <w:rPr>
          <w:szCs w:val="24"/>
        </w:rPr>
        <w:t> </w:t>
      </w:r>
      <w:r w:rsidR="00A25C9E" w:rsidRPr="008F23A0">
        <w:rPr>
          <w:szCs w:val="24"/>
        </w:rPr>
        <w:t>02/304]</w:t>
      </w:r>
      <w:bookmarkEnd w:id="23"/>
    </w:p>
    <w:p w14:paraId="2E0C3BB8" w14:textId="77777777" w:rsidR="00A318DD" w:rsidRDefault="00A318DD" w:rsidP="000A1B0B">
      <w:pPr>
        <w:pStyle w:val="LI-BodyTextNumbered"/>
      </w:pPr>
      <w:r>
        <w:t>(1)</w:t>
      </w:r>
      <w:r>
        <w:tab/>
        <w:t>This section applies in relation to a strata scheme that was operated or purported</w:t>
      </w:r>
      <w:r w:rsidR="004C2B61">
        <w:t>ly</w:t>
      </w:r>
      <w:r w:rsidR="00060870">
        <w:t xml:space="preserve"> </w:t>
      </w:r>
      <w:r w:rsidR="00384EB4">
        <w:t xml:space="preserve">was operated </w:t>
      </w:r>
      <w:r w:rsidR="004C2B61">
        <w:t>in reliance on</w:t>
      </w:r>
      <w:r w:rsidR="00384EB4">
        <w:t xml:space="preserve"> </w:t>
      </w:r>
      <w:r w:rsidR="00060870">
        <w:t xml:space="preserve">ASIC Class Order </w:t>
      </w:r>
      <w:r w:rsidR="004C2B61">
        <w:t xml:space="preserve">[CO 02/245] (the </w:t>
      </w:r>
      <w:r w:rsidR="004C2B61" w:rsidRPr="000A1B0B">
        <w:rPr>
          <w:b/>
          <w:i/>
        </w:rPr>
        <w:t>old class order</w:t>
      </w:r>
      <w:r w:rsidR="004C2B61">
        <w:t xml:space="preserve">), </w:t>
      </w:r>
      <w:r w:rsidR="00060870">
        <w:t>[CO 02/303</w:t>
      </w:r>
      <w:r>
        <w:t xml:space="preserve">] </w:t>
      </w:r>
      <w:r w:rsidR="00A25C9E">
        <w:t xml:space="preserve">(the </w:t>
      </w:r>
      <w:r w:rsidR="00A25C9E" w:rsidRPr="000A1B0B">
        <w:rPr>
          <w:b/>
          <w:i/>
        </w:rPr>
        <w:t>old class order</w:t>
      </w:r>
      <w:r w:rsidR="00A25C9E">
        <w:t xml:space="preserve">) or ASIC Class Order [CO 02/304] (the </w:t>
      </w:r>
      <w:r w:rsidR="00A25C9E" w:rsidRPr="000A1B0B">
        <w:rPr>
          <w:b/>
          <w:i/>
        </w:rPr>
        <w:t>old class order</w:t>
      </w:r>
      <w:r w:rsidR="00A25C9E">
        <w:t xml:space="preserve">) </w:t>
      </w:r>
      <w:r>
        <w:t>immediately before the</w:t>
      </w:r>
      <w:r w:rsidR="00254C0B">
        <w:t>ir</w:t>
      </w:r>
      <w:r>
        <w:t xml:space="preserve"> repeal.</w:t>
      </w:r>
    </w:p>
    <w:p w14:paraId="265BC9ED" w14:textId="77777777" w:rsidR="00A318DD" w:rsidRDefault="00A318DD" w:rsidP="000A1B0B">
      <w:pPr>
        <w:pStyle w:val="LI-BodyTextNumbered"/>
      </w:pPr>
      <w:r>
        <w:t>(2)</w:t>
      </w:r>
      <w:r>
        <w:tab/>
      </w:r>
      <w:r w:rsidR="00A25C9E">
        <w:t xml:space="preserve">The relevant old class order </w:t>
      </w:r>
      <w:r w:rsidR="00254C0B">
        <w:t xml:space="preserve">as in force immediately before its repeal </w:t>
      </w:r>
      <w:r>
        <w:t>continues to apply in relation to the scheme</w:t>
      </w:r>
      <w:r w:rsidR="00FB3225">
        <w:t xml:space="preserve">.  The exemption </w:t>
      </w:r>
      <w:r w:rsidR="00384EB4" w:rsidRPr="00384EB4">
        <w:t xml:space="preserve">(including any related conditions) </w:t>
      </w:r>
      <w:r w:rsidR="00FB3225">
        <w:t>in the relevant old class from the requirement to hold a</w:t>
      </w:r>
      <w:r w:rsidR="00467418">
        <w:t>n Australian</w:t>
      </w:r>
      <w:r w:rsidR="00FB3225">
        <w:t xml:space="preserve"> financial services licence</w:t>
      </w:r>
      <w:r w:rsidR="00384EB4">
        <w:t xml:space="preserve"> </w:t>
      </w:r>
      <w:r w:rsidR="00384EB4" w:rsidRPr="00384EB4">
        <w:t>that is expressed to be made under paragraph 911A(2)(l)</w:t>
      </w:r>
      <w:r w:rsidR="00FB3225">
        <w:t xml:space="preserve"> has effect under section 926A of the Act</w:t>
      </w:r>
      <w:r w:rsidR="00467418">
        <w:t xml:space="preserve"> instead</w:t>
      </w:r>
      <w:r w:rsidR="00FB3225">
        <w:t>.</w:t>
      </w:r>
    </w:p>
    <w:p w14:paraId="099F1C94" w14:textId="03F9E892" w:rsidR="00D12746" w:rsidRPr="00EB1EA7" w:rsidRDefault="00D12746" w:rsidP="00EB1EA7">
      <w:pPr>
        <w:pStyle w:val="ListA"/>
        <w:spacing w:before="240"/>
        <w:ind w:left="1701" w:hanging="567"/>
        <w:rPr>
          <w:rFonts w:cs="Times"/>
          <w:color w:val="000000"/>
        </w:rPr>
      </w:pPr>
      <w:r w:rsidRPr="007626F5">
        <w:rPr>
          <w:sz w:val="18"/>
          <w:szCs w:val="18"/>
        </w:rPr>
        <w:t xml:space="preserve">Note: </w:t>
      </w:r>
      <w:r w:rsidRPr="007626F5">
        <w:rPr>
          <w:sz w:val="18"/>
          <w:szCs w:val="18"/>
        </w:rPr>
        <w:tab/>
      </w:r>
      <w:r w:rsidRPr="007626F5">
        <w:rPr>
          <w:i/>
          <w:iCs/>
          <w:sz w:val="18"/>
          <w:szCs w:val="18"/>
        </w:rPr>
        <w:t>ASIC Corporations (Effect of Licensing Exemptions) Instrument 2015/1115</w:t>
      </w:r>
      <w:r w:rsidRPr="007626F5">
        <w:rPr>
          <w:iCs/>
          <w:sz w:val="18"/>
          <w:szCs w:val="18"/>
        </w:rPr>
        <w:t xml:space="preserve"> provides relief from subsection 911B(1) of the Act to a </w:t>
      </w:r>
      <w:r w:rsidRPr="007626F5">
        <w:rPr>
          <w:sz w:val="18"/>
          <w:szCs w:val="18"/>
        </w:rPr>
        <w:t>person who provides financial services on behalf of a person who does not need an Australian financial services licence because of an exemption under section 926A of the Act.</w:t>
      </w:r>
    </w:p>
    <w:p w14:paraId="2A5E58E6" w14:textId="77777777" w:rsidR="00DC0F34" w:rsidRPr="00DC0F34" w:rsidRDefault="00A25C9E" w:rsidP="000A1B0B">
      <w:pPr>
        <w:pStyle w:val="LI-BodyTextNumbered"/>
      </w:pPr>
      <w:r w:rsidRPr="009D3F17">
        <w:t>(3)</w:t>
      </w:r>
      <w:r w:rsidRPr="009D3F17">
        <w:tab/>
        <w:t xml:space="preserve">Part </w:t>
      </w:r>
      <w:r w:rsidR="0028563C" w:rsidRPr="009D3F17">
        <w:t>2</w:t>
      </w:r>
      <w:r w:rsidRPr="009D3F17">
        <w:t xml:space="preserve"> does not apply in relation to the scheme.</w:t>
      </w:r>
    </w:p>
    <w:p w14:paraId="00853431" w14:textId="0CE0FEE6" w:rsidR="00B73E7B" w:rsidRDefault="00587EA7" w:rsidP="000A1B0B">
      <w:pPr>
        <w:pStyle w:val="LI-Heading2"/>
      </w:pPr>
      <w:bookmarkStart w:id="24" w:name="_Toc462049859"/>
      <w:r w:rsidRPr="007626F5">
        <w:t>15</w:t>
      </w:r>
      <w:r w:rsidR="00B73E7B">
        <w:tab/>
        <w:t>Schemes covered by ASIC Class Order [CO 07/189]</w:t>
      </w:r>
      <w:bookmarkEnd w:id="24"/>
    </w:p>
    <w:p w14:paraId="112FFDF7" w14:textId="77777777" w:rsidR="00B73E7B" w:rsidRDefault="00B73E7B" w:rsidP="000A1B0B">
      <w:pPr>
        <w:pStyle w:val="LI-BodyTextNumbered"/>
      </w:pPr>
      <w:r>
        <w:t>(1)</w:t>
      </w:r>
      <w:r>
        <w:tab/>
      </w:r>
      <w:r w:rsidRPr="00B73E7B">
        <w:t>This section applies in relation to a strata scheme that</w:t>
      </w:r>
      <w:r w:rsidR="00CC15ED">
        <w:t xml:space="preserve"> </w:t>
      </w:r>
      <w:r w:rsidRPr="00B73E7B">
        <w:t>was operated or purportedly was operated in relianc</w:t>
      </w:r>
      <w:r>
        <w:t>e on ASIC Class Order [CO 07/189</w:t>
      </w:r>
      <w:r w:rsidRPr="00B73E7B">
        <w:t xml:space="preserve">] </w:t>
      </w:r>
      <w:r>
        <w:t xml:space="preserve">(the </w:t>
      </w:r>
      <w:r w:rsidRPr="000A1B0B">
        <w:rPr>
          <w:b/>
          <w:i/>
        </w:rPr>
        <w:t>old class order</w:t>
      </w:r>
      <w:r>
        <w:t xml:space="preserve">) </w:t>
      </w:r>
      <w:r w:rsidR="0087121A">
        <w:t xml:space="preserve">and </w:t>
      </w:r>
      <w:r w:rsidR="0087121A" w:rsidRPr="0087121A">
        <w:t xml:space="preserve">an instrument </w:t>
      </w:r>
      <w:r w:rsidR="00254C0B">
        <w:t xml:space="preserve">(the </w:t>
      </w:r>
      <w:r w:rsidR="00254C0B" w:rsidRPr="000A1B0B">
        <w:rPr>
          <w:b/>
          <w:i/>
        </w:rPr>
        <w:t>old pro forma</w:t>
      </w:r>
      <w:r w:rsidR="00254C0B">
        <w:t xml:space="preserve">) </w:t>
      </w:r>
      <w:r w:rsidR="0087121A" w:rsidRPr="0087121A">
        <w:t>in substantially the same terms as ASIC Pro Forma 187 (as at the date the instrument was made)</w:t>
      </w:r>
      <w:r w:rsidR="0087121A">
        <w:t xml:space="preserve"> </w:t>
      </w:r>
      <w:r w:rsidRPr="00B73E7B">
        <w:t xml:space="preserve">immediately before the repeal of that </w:t>
      </w:r>
      <w:r w:rsidR="00254C0B">
        <w:t>class order</w:t>
      </w:r>
      <w:r w:rsidR="00CC15ED">
        <w:t>.</w:t>
      </w:r>
    </w:p>
    <w:p w14:paraId="792EAF1D" w14:textId="77777777" w:rsidR="00B73E7B" w:rsidRDefault="0087121A" w:rsidP="000A1B0B">
      <w:pPr>
        <w:pStyle w:val="LI-BodyTextNumbered"/>
      </w:pPr>
      <w:r>
        <w:t>(2)</w:t>
      </w:r>
      <w:r>
        <w:tab/>
        <w:t>The old</w:t>
      </w:r>
      <w:r w:rsidR="00B73E7B">
        <w:t xml:space="preserve"> class order </w:t>
      </w:r>
      <w:r w:rsidR="00254C0B">
        <w:t xml:space="preserve">as in force immediately before its repeal </w:t>
      </w:r>
      <w:r w:rsidR="00B73E7B" w:rsidRPr="00B73E7B">
        <w:t>continues to apply in relation t</w:t>
      </w:r>
      <w:r w:rsidR="00B73E7B">
        <w:t>o the scheme despite its repeal</w:t>
      </w:r>
      <w:r w:rsidR="00CC15ED">
        <w:t>.</w:t>
      </w:r>
    </w:p>
    <w:p w14:paraId="0F00F4B2" w14:textId="77777777" w:rsidR="0087121A" w:rsidRDefault="0087121A" w:rsidP="000A1B0B">
      <w:pPr>
        <w:pStyle w:val="LI-BodyTextNumbered"/>
      </w:pPr>
      <w:r w:rsidRPr="009D3F17">
        <w:t>(3)</w:t>
      </w:r>
      <w:r w:rsidRPr="009D3F17">
        <w:tab/>
        <w:t>Part 2 does not apply in relation to the scheme.</w:t>
      </w:r>
    </w:p>
    <w:p w14:paraId="32B803FE" w14:textId="5E072442" w:rsidR="0087121A" w:rsidRDefault="0087121A" w:rsidP="000A1B0B">
      <w:pPr>
        <w:pStyle w:val="LI-BodyTextNote"/>
      </w:pPr>
      <w:r>
        <w:t>Note:</w:t>
      </w:r>
      <w:r>
        <w:tab/>
        <w:t xml:space="preserve">The old class order continues to apply in accordance with its terms.  If the </w:t>
      </w:r>
      <w:r w:rsidR="0089021D">
        <w:t xml:space="preserve">operator of the </w:t>
      </w:r>
      <w:r>
        <w:t xml:space="preserve">scheme ceases to be </w:t>
      </w:r>
      <w:r w:rsidR="0089021D">
        <w:t xml:space="preserve">able to rely on the </w:t>
      </w:r>
      <w:r w:rsidR="0089021D" w:rsidRPr="00EB1EA7">
        <w:t xml:space="preserve">instrument </w:t>
      </w:r>
      <w:r w:rsidR="00B359B4" w:rsidRPr="007626F5">
        <w:t>in</w:t>
      </w:r>
      <w:r w:rsidR="00B359B4" w:rsidRPr="00EB1EA7">
        <w:t xml:space="preserve"> </w:t>
      </w:r>
      <w:r w:rsidR="0089021D" w:rsidRPr="00EB1EA7">
        <w:t>substantially</w:t>
      </w:r>
      <w:r w:rsidR="0089021D" w:rsidRPr="0089021D">
        <w:t xml:space="preserve"> the same terms as ASIC Pro Forma 187</w:t>
      </w:r>
      <w:r w:rsidR="0089021D">
        <w:t>, they will also cease to be able to rely on the old class order.</w:t>
      </w:r>
    </w:p>
    <w:p w14:paraId="587DEB02" w14:textId="59BB1397" w:rsidR="00A25C9E" w:rsidRDefault="00587EA7" w:rsidP="000A1B0B">
      <w:pPr>
        <w:pStyle w:val="LI-Heading2"/>
      </w:pPr>
      <w:bookmarkStart w:id="25" w:name="_Toc462049860"/>
      <w:r w:rsidRPr="007626F5">
        <w:t>16</w:t>
      </w:r>
      <w:r w:rsidR="00A05CA9" w:rsidRPr="00EB1EA7">
        <w:tab/>
        <w:t>Schemes</w:t>
      </w:r>
      <w:r w:rsidR="00A05CA9">
        <w:t xml:space="preserve"> covered by </w:t>
      </w:r>
      <w:r w:rsidR="00B73E7B">
        <w:t>ASIC Pro Forma 186</w:t>
      </w:r>
      <w:bookmarkEnd w:id="25"/>
    </w:p>
    <w:p w14:paraId="71AD8D5B" w14:textId="77777777" w:rsidR="00B73E7B" w:rsidRDefault="00B73E7B" w:rsidP="000A1B0B">
      <w:pPr>
        <w:pStyle w:val="LI-BodyTextNumbered"/>
      </w:pPr>
      <w:r>
        <w:t>(1)</w:t>
      </w:r>
      <w:r>
        <w:tab/>
        <w:t>This section applies in relation to a strata scheme that was operated or purported</w:t>
      </w:r>
      <w:r w:rsidR="00CC15ED">
        <w:t>ly</w:t>
      </w:r>
      <w:r>
        <w:t xml:space="preserve"> was operated </w:t>
      </w:r>
      <w:r w:rsidRPr="00B73E7B">
        <w:t xml:space="preserve">in </w:t>
      </w:r>
      <w:r w:rsidR="00CC15ED">
        <w:t>reliance</w:t>
      </w:r>
      <w:r w:rsidRPr="00B73E7B">
        <w:t xml:space="preserve"> </w:t>
      </w:r>
      <w:r>
        <w:t>on</w:t>
      </w:r>
      <w:r w:rsidRPr="00B73E7B">
        <w:t xml:space="preserve"> an instrument </w:t>
      </w:r>
      <w:r w:rsidR="00CC15ED">
        <w:t xml:space="preserve">(the </w:t>
      </w:r>
      <w:r w:rsidR="00CC15ED" w:rsidRPr="000A1B0B">
        <w:rPr>
          <w:b/>
          <w:i/>
        </w:rPr>
        <w:t>old instrument</w:t>
      </w:r>
      <w:r w:rsidR="00CC15ED">
        <w:t xml:space="preserve">) </w:t>
      </w:r>
      <w:r w:rsidRPr="00B73E7B">
        <w:t>in substantially the same terms as ASIC Pro Forma 186 (as at the date the instrument was made)</w:t>
      </w:r>
      <w:r>
        <w:t xml:space="preserve"> immediately before the commencement of this instrument.</w:t>
      </w:r>
    </w:p>
    <w:p w14:paraId="2A14CFE6" w14:textId="2CE36779" w:rsidR="00B73E7B" w:rsidRPr="00B73E7B" w:rsidRDefault="00B73E7B" w:rsidP="000A1B0B">
      <w:pPr>
        <w:pStyle w:val="LI-BodyTextNumbered"/>
      </w:pPr>
      <w:r>
        <w:t>(2)</w:t>
      </w:r>
      <w:r>
        <w:tab/>
      </w:r>
      <w:r w:rsidR="00CC15ED">
        <w:t>A</w:t>
      </w:r>
      <w:r>
        <w:t xml:space="preserve"> person operating the scheme does n</w:t>
      </w:r>
      <w:r w:rsidR="0089021D">
        <w:t xml:space="preserve">ot have to comply with </w:t>
      </w:r>
      <w:r w:rsidR="00254C0B" w:rsidRPr="00254C0B">
        <w:t>section 1017G of the Act</w:t>
      </w:r>
      <w:r w:rsidR="00CC15ED">
        <w:t xml:space="preserve"> </w:t>
      </w:r>
      <w:r w:rsidR="003E7E29">
        <w:t>where</w:t>
      </w:r>
      <w:r w:rsidR="00CC15ED">
        <w:t xml:space="preserve"> </w:t>
      </w:r>
      <w:r w:rsidR="00CC15ED" w:rsidRPr="00CC15ED">
        <w:t xml:space="preserve">the person is exempt from section 601ED of the </w:t>
      </w:r>
      <w:r w:rsidR="00CC15ED" w:rsidRPr="00CC15ED">
        <w:lastRenderedPageBreak/>
        <w:t>Act in relation to the operation of the sche</w:t>
      </w:r>
      <w:r w:rsidR="00CC15ED" w:rsidRPr="00EB1EA7">
        <w:t xml:space="preserve">me </w:t>
      </w:r>
      <w:r w:rsidR="00F47F1E" w:rsidRPr="007626F5">
        <w:t xml:space="preserve">because </w:t>
      </w:r>
      <w:r w:rsidR="00CC15ED" w:rsidRPr="00CC15ED">
        <w:t xml:space="preserve">of </w:t>
      </w:r>
      <w:r w:rsidR="00CC15ED">
        <w:t>the old</w:t>
      </w:r>
      <w:r w:rsidR="00CC15ED" w:rsidRPr="00CC15ED">
        <w:t xml:space="preserve"> </w:t>
      </w:r>
      <w:proofErr w:type="gramStart"/>
      <w:r w:rsidR="00CC15ED" w:rsidRPr="00CC15ED">
        <w:t>instrument</w:t>
      </w:r>
      <w:r w:rsidR="00CC15ED">
        <w:t>.</w:t>
      </w:r>
      <w:proofErr w:type="gramEnd"/>
    </w:p>
    <w:sectPr w:rsidR="00B73E7B" w:rsidRPr="00B73E7B" w:rsidSect="0040053F">
      <w:pgSz w:w="11907" w:h="16839" w:code="9"/>
      <w:pgMar w:top="1534"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6FA6A3" w14:textId="77777777" w:rsidR="00587EA7" w:rsidRDefault="00587EA7" w:rsidP="00715914">
      <w:pPr>
        <w:spacing w:line="240" w:lineRule="auto"/>
      </w:pPr>
      <w:r>
        <w:separator/>
      </w:r>
    </w:p>
  </w:endnote>
  <w:endnote w:type="continuationSeparator" w:id="0">
    <w:p w14:paraId="3B6F2ADA" w14:textId="77777777" w:rsidR="00587EA7" w:rsidRDefault="00587EA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472"/>
    </w:tblGrid>
    <w:tr w:rsidR="00587EA7" w:rsidRPr="00081794" w14:paraId="623304B4" w14:textId="77777777" w:rsidTr="00081794">
      <w:tc>
        <w:tcPr>
          <w:tcW w:w="8472" w:type="dxa"/>
          <w:shd w:val="clear" w:color="auto" w:fill="auto"/>
        </w:tcPr>
        <w:p w14:paraId="53A453E3" w14:textId="77777777" w:rsidR="00587EA7" w:rsidRPr="00081794" w:rsidRDefault="00587EA7" w:rsidP="00081794">
          <w:pPr>
            <w:jc w:val="right"/>
            <w:rPr>
              <w:sz w:val="18"/>
            </w:rPr>
          </w:pPr>
          <w:r>
            <w:rPr>
              <w:noProof/>
              <w:lang w:eastAsia="en-AU"/>
            </w:rPr>
            <mc:AlternateContent>
              <mc:Choice Requires="wps">
                <w:drawing>
                  <wp:anchor distT="0" distB="0" distL="114300" distR="114300" simplePos="0" relativeHeight="251659264" behindDoc="1" locked="0" layoutInCell="1" allowOverlap="1" wp14:anchorId="5C88FD6D" wp14:editId="0E6F1358">
                    <wp:simplePos x="0" y="0"/>
                    <wp:positionH relativeFrom="column">
                      <wp:align>center</wp:align>
                    </wp:positionH>
                    <wp:positionV relativeFrom="page">
                      <wp:posOffset>10079990</wp:posOffset>
                    </wp:positionV>
                    <wp:extent cx="4410075" cy="40005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77B439B6" w14:textId="77777777" w:rsidR="00587EA7" w:rsidRPr="00284719" w:rsidRDefault="00587EA7"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0A4D51">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E19RTcHAwAAygYAAA4AAAAAAAAAAAAAAAAALgIAAGRycy9lMm9Eb2Mu&#10;eG1sUEsBAi0AFAAGAAgAAAAhADwCUpLfAAAACgEAAA8AAAAAAAAAAAAAAAAAYQUAAGRycy9kb3du&#10;cmV2LnhtbFBLBQYAAAAABAAEAPMAAABtBgAAAAA=&#10;" stroked="f">
                    <v:stroke joinstyle="round"/>
                    <v:path arrowok="t"/>
                    <v:textbox>
                      <w:txbxContent>
                        <w:p w14:paraId="77B439B6" w14:textId="77777777" w:rsidR="00587EA7" w:rsidRPr="00284719" w:rsidRDefault="00587EA7"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0A4D51">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r w:rsidRPr="00081794">
            <w:rPr>
              <w:i/>
              <w:noProof/>
              <w:sz w:val="18"/>
            </w:rPr>
            <w:t>I14KE197.v07.docx</w:t>
          </w:r>
          <w:r w:rsidRPr="00081794">
            <w:rPr>
              <w:i/>
              <w:sz w:val="18"/>
            </w:rPr>
            <w:t xml:space="preserve"> </w:t>
          </w:r>
          <w:r w:rsidRPr="00081794">
            <w:rPr>
              <w:i/>
              <w:noProof/>
              <w:sz w:val="18"/>
            </w:rPr>
            <w:t>25/6/2014 3:37 PM</w:t>
          </w:r>
        </w:p>
      </w:tc>
    </w:tr>
  </w:tbl>
  <w:p w14:paraId="5A48540B" w14:textId="77777777" w:rsidR="00587EA7" w:rsidRPr="007500C8" w:rsidRDefault="00587EA7" w:rsidP="00335B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8C481" w14:textId="77777777" w:rsidR="00587EA7" w:rsidRDefault="00587EA7" w:rsidP="007500C8">
    <w:pPr>
      <w:pStyle w:val="Footer"/>
    </w:pPr>
    <w:r>
      <w:rPr>
        <w:noProof/>
      </w:rPr>
      <mc:AlternateContent>
        <mc:Choice Requires="wps">
          <w:drawing>
            <wp:anchor distT="0" distB="0" distL="114300" distR="114300" simplePos="0" relativeHeight="251658240" behindDoc="1" locked="0" layoutInCell="1" allowOverlap="1" wp14:anchorId="5645DB27" wp14:editId="50F54C3F">
              <wp:simplePos x="0" y="0"/>
              <wp:positionH relativeFrom="column">
                <wp:align>center</wp:align>
              </wp:positionH>
              <wp:positionV relativeFrom="page">
                <wp:posOffset>10079990</wp:posOffset>
              </wp:positionV>
              <wp:extent cx="4410075" cy="400050"/>
              <wp:effectExtent l="0" t="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01EE4A69" w14:textId="77777777" w:rsidR="00587EA7" w:rsidRPr="00284719" w:rsidRDefault="00587EA7"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9" type="#_x0000_t202" style="position:absolute;margin-left:0;margin-top:793.7pt;width:347.25pt;height: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" stroked="f">
              <v:stroke joinstyle="round"/>
              <v:path arrowok="t"/>
              <v:textbox>
                <w:txbxContent>
                  <w:p w14:paraId="01EE4A69" w14:textId="77777777" w:rsidR="00587EA7" w:rsidRPr="00284719" w:rsidRDefault="00587EA7" w:rsidP="00284719">
                    <w:pPr>
                      <w:jc w:val="center"/>
                      <w:rPr>
                        <w:rFonts w:ascii="Arial" w:hAnsi="Arial" w:cs="Arial"/>
                        <w:b/>
                        <w:sz w:val="40"/>
                      </w:rPr>
                    </w:pPr>
                  </w:p>
                </w:txbxContent>
              </v:textbox>
              <w10:wrap anchory="page"/>
            </v:shape>
          </w:pict>
        </mc:Fallback>
      </mc:AlternateContent>
    </w:r>
  </w:p>
  <w:tbl>
    <w:tblPr>
      <w:tblW w:w="0" w:type="auto"/>
      <w:tblLook w:val="04A0" w:firstRow="1" w:lastRow="0" w:firstColumn="1" w:lastColumn="0" w:noHBand="0" w:noVBand="1"/>
    </w:tblPr>
    <w:tblGrid>
      <w:gridCol w:w="8472"/>
    </w:tblGrid>
    <w:tr w:rsidR="00587EA7" w:rsidRPr="00081794" w14:paraId="644F0EF6" w14:textId="77777777" w:rsidTr="00081794">
      <w:tc>
        <w:tcPr>
          <w:tcW w:w="8472" w:type="dxa"/>
          <w:shd w:val="clear" w:color="auto" w:fill="auto"/>
        </w:tcPr>
        <w:p w14:paraId="3ED74A6D" w14:textId="77777777" w:rsidR="00587EA7" w:rsidRPr="00081794" w:rsidRDefault="00587EA7" w:rsidP="00102CA6">
          <w:pPr>
            <w:rPr>
              <w:sz w:val="18"/>
            </w:rPr>
          </w:pPr>
        </w:p>
      </w:tc>
    </w:tr>
  </w:tbl>
  <w:p w14:paraId="47FDEBA0" w14:textId="77777777" w:rsidR="00587EA7" w:rsidRPr="007500C8" w:rsidRDefault="00587EA7" w:rsidP="007500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199A7" w14:textId="77777777" w:rsidR="00587EA7" w:rsidRPr="00ED79B6" w:rsidRDefault="00587EA7"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4A97C" w14:textId="77777777" w:rsidR="00587EA7" w:rsidRPr="00E2168B" w:rsidRDefault="00587EA7" w:rsidP="00E2168B">
    <w:pPr>
      <w:pStyle w:val="LI-Footer"/>
    </w:pPr>
    <w:r w:rsidRPr="00A52B0F">
      <w:fldChar w:fldCharType="begin"/>
    </w:r>
    <w:r w:rsidRPr="00A52B0F">
      <w:instrText xml:space="preserve"> PAGE  \* Arabic  \* MERGEFORMAT </w:instrText>
    </w:r>
    <w:r w:rsidRPr="00A52B0F">
      <w:fldChar w:fldCharType="separate"/>
    </w:r>
    <w:r>
      <w:rPr>
        <w:noProof/>
      </w:rPr>
      <w:t>8</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84C66" w14:textId="77777777" w:rsidR="00587EA7" w:rsidRPr="00E33C1C" w:rsidRDefault="00587EA7" w:rsidP="00243EC0">
    <w:pPr>
      <w:pStyle w:val="LI-Footer"/>
      <w:rPr>
        <w:sz w:val="16"/>
        <w:szCs w:val="16"/>
      </w:rPr>
    </w:pPr>
    <w:r w:rsidRPr="00A52B0F">
      <w:tab/>
    </w:r>
    <w:r>
      <w:t xml:space="preserve">Page </w:t>
    </w:r>
    <w:r w:rsidRPr="00A52B0F">
      <w:fldChar w:fldCharType="begin"/>
    </w:r>
    <w:r w:rsidRPr="00A52B0F">
      <w:instrText xml:space="preserve"> PAGE  \* Arabic  \* MERGEFORMAT </w:instrText>
    </w:r>
    <w:r w:rsidRPr="00A52B0F">
      <w:fldChar w:fldCharType="separate"/>
    </w:r>
    <w:r w:rsidR="00194D32">
      <w:rPr>
        <w:noProof/>
      </w:rPr>
      <w:t>17</w:t>
    </w:r>
    <w:r w:rsidRPr="00A52B0F">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F0894" w14:textId="77777777" w:rsidR="00587EA7" w:rsidRPr="00243EC0" w:rsidRDefault="00587EA7" w:rsidP="00E2168B">
    <w:pPr>
      <w:pStyle w:val="LI-Footer"/>
    </w:pPr>
    <w:r w:rsidRPr="00A52B0F">
      <w:fldChar w:fldCharType="begin"/>
    </w:r>
    <w:r w:rsidRPr="00A52B0F">
      <w:instrText xml:space="preserve"> PAGE  \* Arabic  \* MERGEFORMAT </w:instrText>
    </w:r>
    <w:r w:rsidRPr="00A52B0F">
      <w:fldChar w:fldCharType="separate"/>
    </w:r>
    <w:r>
      <w:rPr>
        <w:noProof/>
      </w:rPr>
      <w:t>8</w:t>
    </w:r>
    <w:r w:rsidRPr="00A52B0F">
      <w:fldChar w:fldCharType="end"/>
    </w:r>
    <w:r>
      <w:t xml:space="preserve"> </w:t>
    </w:r>
    <w:r w:rsidRPr="00A52B0F">
      <w:tab/>
    </w:r>
    <w:r>
      <w:t xml:space="preserve">No. </w:t>
    </w:r>
    <w:r w:rsidRPr="00E2168B">
      <w:rPr>
        <w:highlight w:val="yellow"/>
      </w:rPr>
      <w:t>XX</w:t>
    </w:r>
    <w:r>
      <w:t>, 201</w:t>
    </w:r>
    <w:r w:rsidRPr="00E2168B">
      <w:rPr>
        <w:highlight w:val="yellow"/>
      </w:rPr>
      <w:t>XX</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5F98E" w14:textId="77777777" w:rsidR="00587EA7" w:rsidRPr="00E33C1C" w:rsidRDefault="00587EA7" w:rsidP="007500C8">
    <w:pPr>
      <w:pBdr>
        <w:top w:val="single" w:sz="6" w:space="1" w:color="auto"/>
      </w:pBdr>
      <w:spacing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6379"/>
      <w:gridCol w:w="709"/>
    </w:tblGrid>
    <w:tr w:rsidR="00587EA7" w:rsidRPr="00081794" w14:paraId="441A12EB" w14:textId="77777777" w:rsidTr="00081794">
      <w:tc>
        <w:tcPr>
          <w:tcW w:w="1384" w:type="dxa"/>
          <w:tcBorders>
            <w:top w:val="nil"/>
            <w:left w:val="nil"/>
            <w:bottom w:val="nil"/>
            <w:right w:val="nil"/>
          </w:tcBorders>
          <w:shd w:val="clear" w:color="auto" w:fill="auto"/>
        </w:tcPr>
        <w:p w14:paraId="1DF39621" w14:textId="77777777" w:rsidR="00587EA7" w:rsidRPr="00081794" w:rsidRDefault="00587EA7" w:rsidP="00081794">
          <w:pPr>
            <w:spacing w:line="0" w:lineRule="atLeast"/>
            <w:rPr>
              <w:sz w:val="18"/>
            </w:rPr>
          </w:pPr>
        </w:p>
      </w:tc>
      <w:tc>
        <w:tcPr>
          <w:tcW w:w="6379" w:type="dxa"/>
          <w:tcBorders>
            <w:top w:val="nil"/>
            <w:left w:val="nil"/>
            <w:bottom w:val="nil"/>
            <w:right w:val="nil"/>
          </w:tcBorders>
          <w:shd w:val="clear" w:color="auto" w:fill="auto"/>
        </w:tcPr>
        <w:p w14:paraId="24D325CA" w14:textId="77777777" w:rsidR="00587EA7" w:rsidRPr="00081794" w:rsidRDefault="00587EA7" w:rsidP="00081794">
          <w:pPr>
            <w:spacing w:line="0" w:lineRule="atLeast"/>
            <w:jc w:val="center"/>
            <w:rPr>
              <w:sz w:val="18"/>
            </w:rPr>
          </w:pPr>
          <w:r w:rsidRPr="00081794">
            <w:rPr>
              <w:i/>
              <w:sz w:val="18"/>
            </w:rPr>
            <w:fldChar w:fldCharType="begin"/>
          </w:r>
          <w:r w:rsidRPr="00081794">
            <w:rPr>
              <w:i/>
              <w:sz w:val="18"/>
            </w:rPr>
            <w:instrText xml:space="preserve"> DOCPROPERTY ShortT </w:instrText>
          </w:r>
          <w:r w:rsidRPr="00081794">
            <w:rPr>
              <w:i/>
              <w:sz w:val="18"/>
            </w:rPr>
            <w:fldChar w:fldCharType="separate"/>
          </w:r>
          <w:r w:rsidR="000A4D51">
            <w:rPr>
              <w:i/>
              <w:sz w:val="18"/>
            </w:rPr>
            <w:t>Australian Securities and Investments Commission Class Order 13/1050</w:t>
          </w:r>
          <w:r w:rsidRPr="00081794">
            <w:rPr>
              <w:i/>
              <w:sz w:val="18"/>
            </w:rPr>
            <w:fldChar w:fldCharType="end"/>
          </w:r>
        </w:p>
      </w:tc>
      <w:tc>
        <w:tcPr>
          <w:tcW w:w="709" w:type="dxa"/>
          <w:tcBorders>
            <w:top w:val="nil"/>
            <w:left w:val="nil"/>
            <w:bottom w:val="nil"/>
            <w:right w:val="nil"/>
          </w:tcBorders>
          <w:shd w:val="clear" w:color="auto" w:fill="auto"/>
        </w:tcPr>
        <w:p w14:paraId="535D79E4" w14:textId="77777777" w:rsidR="00587EA7" w:rsidRPr="00081794" w:rsidRDefault="00587EA7" w:rsidP="00081794">
          <w:pPr>
            <w:spacing w:line="0" w:lineRule="atLeast"/>
            <w:jc w:val="right"/>
            <w:rPr>
              <w:sz w:val="18"/>
            </w:rPr>
          </w:pPr>
          <w:r w:rsidRPr="00081794">
            <w:rPr>
              <w:i/>
              <w:sz w:val="18"/>
            </w:rPr>
            <w:fldChar w:fldCharType="begin"/>
          </w:r>
          <w:r w:rsidRPr="00081794">
            <w:rPr>
              <w:i/>
              <w:sz w:val="18"/>
            </w:rPr>
            <w:instrText xml:space="preserve"> PAGE </w:instrText>
          </w:r>
          <w:r w:rsidRPr="00081794">
            <w:rPr>
              <w:i/>
              <w:sz w:val="18"/>
            </w:rPr>
            <w:fldChar w:fldCharType="separate"/>
          </w:r>
          <w:r>
            <w:rPr>
              <w:i/>
              <w:noProof/>
              <w:sz w:val="18"/>
            </w:rPr>
            <w:t>8</w:t>
          </w:r>
          <w:r w:rsidRPr="00081794">
            <w:rPr>
              <w:i/>
              <w:sz w:val="18"/>
            </w:rPr>
            <w:fldChar w:fldCharType="end"/>
          </w:r>
        </w:p>
      </w:tc>
    </w:tr>
    <w:tr w:rsidR="00587EA7" w:rsidRPr="00081794" w14:paraId="43D3384A" w14:textId="77777777" w:rsidTr="000817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37549B36" w14:textId="77777777" w:rsidR="00587EA7" w:rsidRPr="00081794" w:rsidRDefault="00587EA7" w:rsidP="00102CA6">
          <w:pPr>
            <w:rPr>
              <w:sz w:val="18"/>
            </w:rPr>
          </w:pPr>
          <w:r w:rsidRPr="00081794">
            <w:rPr>
              <w:i/>
              <w:noProof/>
              <w:sz w:val="18"/>
            </w:rPr>
            <w:t>I14KE197.v01.docx</w:t>
          </w:r>
          <w:r w:rsidRPr="00081794">
            <w:rPr>
              <w:i/>
              <w:sz w:val="18"/>
            </w:rPr>
            <w:t xml:space="preserve"> </w:t>
          </w:r>
          <w:r w:rsidRPr="00081794">
            <w:rPr>
              <w:i/>
              <w:noProof/>
              <w:sz w:val="18"/>
            </w:rPr>
            <w:t>13/6/2014 3:07 PM</w:t>
          </w:r>
        </w:p>
      </w:tc>
    </w:tr>
  </w:tbl>
  <w:p w14:paraId="19234846" w14:textId="77777777" w:rsidR="00587EA7" w:rsidRPr="00ED79B6" w:rsidRDefault="00587EA7" w:rsidP="007500C8">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00362" w14:textId="77777777" w:rsidR="00587EA7" w:rsidRDefault="00587EA7" w:rsidP="00715914">
      <w:pPr>
        <w:spacing w:line="240" w:lineRule="auto"/>
      </w:pPr>
      <w:r>
        <w:separator/>
      </w:r>
    </w:p>
  </w:footnote>
  <w:footnote w:type="continuationSeparator" w:id="0">
    <w:p w14:paraId="1CDC75FE" w14:textId="77777777" w:rsidR="00587EA7" w:rsidRDefault="00587EA7"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B464B" w14:textId="77777777" w:rsidR="00587EA7" w:rsidRPr="005F1388" w:rsidRDefault="00587EA7" w:rsidP="00715914">
    <w:pPr>
      <w:pStyle w:val="Header"/>
      <w:tabs>
        <w:tab w:val="clear" w:pos="4150"/>
        <w:tab w:val="clear" w:pos="8307"/>
      </w:tabs>
    </w:pPr>
    <w:r>
      <w:rPr>
        <w:noProof/>
      </w:rPr>
      <mc:AlternateContent>
        <mc:Choice Requires="wps">
          <w:drawing>
            <wp:anchor distT="0" distB="0" distL="114300" distR="114300" simplePos="0" relativeHeight="251657216" behindDoc="1" locked="0" layoutInCell="1" allowOverlap="1" wp14:anchorId="0E478DA8" wp14:editId="6A122C16">
              <wp:simplePos x="0" y="0"/>
              <wp:positionH relativeFrom="column">
                <wp:align>center</wp:align>
              </wp:positionH>
              <wp:positionV relativeFrom="page">
                <wp:posOffset>143510</wp:posOffset>
              </wp:positionV>
              <wp:extent cx="4410075" cy="4000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D7AE7FF" w14:textId="77777777" w:rsidR="00587EA7" w:rsidRPr="00284719" w:rsidRDefault="00587EA7"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0A4D51">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0;margin-top:11.3pt;width:347.25pt;height:3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" stroked="f">
              <v:stroke joinstyle="round"/>
              <v:path arrowok="t"/>
              <v:textbox>
                <w:txbxContent>
                  <w:p w14:paraId="6D7AE7FF" w14:textId="77777777" w:rsidR="00587EA7" w:rsidRPr="00284719" w:rsidRDefault="00587EA7" w:rsidP="00284719">
                    <w:pPr>
                      <w:jc w:val="center"/>
                      <w:rPr>
                        <w:rFonts w:ascii="Arial" w:hAnsi="Arial" w:cs="Arial"/>
                        <w:b/>
                        <w:sz w:val="40"/>
                      </w:rPr>
                    </w:pPr>
                    <w:r w:rsidRPr="00284719">
                      <w:rPr>
                        <w:rFonts w:ascii="Arial" w:hAnsi="Arial" w:cs="Arial"/>
                        <w:b/>
                        <w:sz w:val="40"/>
                      </w:rPr>
                      <w:fldChar w:fldCharType="begin"/>
                    </w:r>
                    <w:r w:rsidRPr="00284719">
                      <w:rPr>
                        <w:rFonts w:ascii="Arial" w:hAnsi="Arial" w:cs="Arial"/>
                        <w:b/>
                        <w:sz w:val="40"/>
                      </w:rPr>
                      <w:instrText xml:space="preserve"> DOCPROPERTY  DLM  </w:instrText>
                    </w:r>
                    <w:r w:rsidRPr="00284719">
                      <w:rPr>
                        <w:rFonts w:ascii="Arial" w:hAnsi="Arial" w:cs="Arial"/>
                        <w:b/>
                        <w:sz w:val="40"/>
                      </w:rPr>
                      <w:fldChar w:fldCharType="separate"/>
                    </w:r>
                    <w:r w:rsidR="000A4D51">
                      <w:rPr>
                        <w:rFonts w:ascii="Arial" w:hAnsi="Arial" w:cs="Arial"/>
                        <w:b/>
                        <w:sz w:val="40"/>
                      </w:rPr>
                      <w:t>Sensitive: Legal</w:t>
                    </w:r>
                    <w:r w:rsidRPr="00284719">
                      <w:rPr>
                        <w:rFonts w:ascii="Arial" w:hAnsi="Arial" w:cs="Arial"/>
                        <w:b/>
                        <w:sz w:val="40"/>
                      </w:rPr>
                      <w:fldChar w:fldCharType="end"/>
                    </w:r>
                    <w:r w:rsidRPr="00284719">
                      <w:rPr>
                        <w:rFonts w:ascii="Arial" w:hAnsi="Arial" w:cs="Arial"/>
                        <w:b/>
                        <w:sz w:val="40"/>
                      </w:rPr>
                      <w:t xml:space="preserve"> </w:t>
                    </w:r>
                  </w:p>
                </w:txbxContent>
              </v:textbox>
              <w10:wrap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9BFC8" w14:textId="77777777" w:rsidR="00587EA7" w:rsidRPr="00243EC0" w:rsidRDefault="00587EA7"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587EA7" w:rsidRPr="00E40FF8" w14:paraId="204E0168" w14:textId="77777777" w:rsidTr="00BF75C9">
      <w:tc>
        <w:tcPr>
          <w:tcW w:w="6804" w:type="dxa"/>
          <w:shd w:val="clear" w:color="auto" w:fill="auto"/>
        </w:tcPr>
        <w:p w14:paraId="7C42F063" w14:textId="77777777" w:rsidR="00587EA7" w:rsidRDefault="00194D32" w:rsidP="00E40FF8">
          <w:pPr>
            <w:pStyle w:val="LI-Header"/>
            <w:pBdr>
              <w:bottom w:val="none" w:sz="0" w:space="0" w:color="auto"/>
            </w:pBdr>
            <w:jc w:val="left"/>
          </w:pPr>
          <w:r>
            <w:fldChar w:fldCharType="begin"/>
          </w:r>
          <w:r>
            <w:instrText xml:space="preserve"> STYLEREF  "LI - Title" </w:instrText>
          </w:r>
          <w:r>
            <w:fldChar w:fldCharType="separate"/>
          </w:r>
          <w:r>
            <w:rPr>
              <w:noProof/>
            </w:rPr>
            <w:t>ASIC Corporations (Serviced Apartment and Like Schemes) Instrument 2016/869</w:t>
          </w:r>
          <w:r>
            <w:rPr>
              <w:noProof/>
            </w:rPr>
            <w:fldChar w:fldCharType="end"/>
          </w:r>
        </w:p>
      </w:tc>
      <w:tc>
        <w:tcPr>
          <w:tcW w:w="1509" w:type="dxa"/>
          <w:shd w:val="clear" w:color="auto" w:fill="auto"/>
        </w:tcPr>
        <w:p w14:paraId="2F0CFCE1" w14:textId="77777777" w:rsidR="00587EA7" w:rsidRDefault="00194D32" w:rsidP="00E40FF8">
          <w:pPr>
            <w:pStyle w:val="LI-Header"/>
            <w:pBdr>
              <w:bottom w:val="none" w:sz="0" w:space="0" w:color="auto"/>
            </w:pBdr>
          </w:pPr>
          <w:r>
            <w:fldChar w:fldCharType="begin"/>
          </w:r>
          <w:r>
            <w:instrText xml:space="preserve"> STYLEREF  "LI - Heading 1" </w:instrText>
          </w:r>
          <w:r>
            <w:fldChar w:fldCharType="separate"/>
          </w:r>
          <w:r>
            <w:rPr>
              <w:noProof/>
            </w:rPr>
            <w:t>Part 5—Transitional</w:t>
          </w:r>
          <w:r>
            <w:rPr>
              <w:noProof/>
            </w:rPr>
            <w:fldChar w:fldCharType="end"/>
          </w:r>
        </w:p>
      </w:tc>
    </w:tr>
  </w:tbl>
  <w:p w14:paraId="6B98B910" w14:textId="77777777" w:rsidR="00587EA7" w:rsidRPr="00F4215A" w:rsidRDefault="00587EA7" w:rsidP="00F421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40F50" w14:textId="77777777" w:rsidR="00587EA7" w:rsidRPr="005F1388" w:rsidRDefault="00587EA7" w:rsidP="00715914">
    <w:pPr>
      <w:pStyle w:val="Header"/>
      <w:tabs>
        <w:tab w:val="clear" w:pos="4150"/>
        <w:tab w:val="clear" w:pos="8307"/>
      </w:tabs>
    </w:pPr>
    <w:r>
      <w:rPr>
        <w:noProof/>
      </w:rPr>
      <mc:AlternateContent>
        <mc:Choice Requires="wps">
          <w:drawing>
            <wp:anchor distT="0" distB="0" distL="114300" distR="114300" simplePos="0" relativeHeight="251656192" behindDoc="1" locked="0" layoutInCell="1" allowOverlap="1" wp14:anchorId="563241D3" wp14:editId="611422D4">
              <wp:simplePos x="0" y="0"/>
              <wp:positionH relativeFrom="column">
                <wp:align>center</wp:align>
              </wp:positionH>
              <wp:positionV relativeFrom="page">
                <wp:posOffset>143510</wp:posOffset>
              </wp:positionV>
              <wp:extent cx="4410075" cy="40005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11E0F22" w14:textId="77777777" w:rsidR="00587EA7" w:rsidRPr="00284719" w:rsidRDefault="00587EA7" w:rsidP="00284719">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0;margin-top:11.3pt;width:347.25pt;height:31.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" stroked="f">
              <v:stroke joinstyle="round"/>
              <v:path arrowok="t"/>
              <v:textbox>
                <w:txbxContent>
                  <w:p w14:paraId="211E0F22" w14:textId="77777777" w:rsidR="00587EA7" w:rsidRPr="00284719" w:rsidRDefault="00587EA7" w:rsidP="00284719">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1BC19" w14:textId="77777777" w:rsidR="00587EA7" w:rsidRPr="005F1388" w:rsidRDefault="00587EA7"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53155" w14:textId="77777777" w:rsidR="00587EA7" w:rsidRDefault="00587EA7" w:rsidP="00E2168B">
    <w:pPr>
      <w:pStyle w:val="LI-Heade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587EA7" w:rsidRPr="00E40FF8" w14:paraId="6CC303E1" w14:textId="77777777" w:rsidTr="00BF75C9">
      <w:tc>
        <w:tcPr>
          <w:tcW w:w="6804" w:type="dxa"/>
          <w:shd w:val="clear" w:color="auto" w:fill="auto"/>
        </w:tcPr>
        <w:p w14:paraId="07F53FA9" w14:textId="77777777" w:rsidR="00587EA7" w:rsidRDefault="00194D32" w:rsidP="00E40FF8">
          <w:pPr>
            <w:pStyle w:val="LI-Header"/>
            <w:pBdr>
              <w:bottom w:val="none" w:sz="0" w:space="0" w:color="auto"/>
            </w:pBdr>
            <w:jc w:val="left"/>
          </w:pPr>
          <w:r>
            <w:fldChar w:fldCharType="begin"/>
          </w:r>
          <w:r>
            <w:instrText xml:space="preserve"> STYLEREF  "LI - Title" </w:instrText>
          </w:r>
          <w:r>
            <w:fldChar w:fldCharType="separate"/>
          </w:r>
          <w:r>
            <w:rPr>
              <w:noProof/>
            </w:rPr>
            <w:t>ASIC Corporations (Serviced Apartment and Like Schemes) Instrument 2016/869</w:t>
          </w:r>
          <w:r>
            <w:rPr>
              <w:noProof/>
            </w:rPr>
            <w:fldChar w:fldCharType="end"/>
          </w:r>
        </w:p>
      </w:tc>
      <w:tc>
        <w:tcPr>
          <w:tcW w:w="1509" w:type="dxa"/>
          <w:shd w:val="clear" w:color="auto" w:fill="auto"/>
        </w:tcPr>
        <w:p w14:paraId="6697E898" w14:textId="77777777" w:rsidR="00587EA7" w:rsidRDefault="00587EA7" w:rsidP="00E40FF8">
          <w:pPr>
            <w:pStyle w:val="LI-Header"/>
            <w:pBdr>
              <w:bottom w:val="none" w:sz="0" w:space="0" w:color="auto"/>
            </w:pBdr>
          </w:pPr>
        </w:p>
      </w:tc>
    </w:tr>
  </w:tbl>
  <w:p w14:paraId="1078C7D3" w14:textId="77777777" w:rsidR="00587EA7" w:rsidRPr="008945E0" w:rsidRDefault="00587EA7" w:rsidP="00F4215A">
    <w:pPr>
      <w:pStyle w:val="LI-Header"/>
      <w:pBdr>
        <w:bottom w:val="none" w:sz="0" w:space="0" w:color="auto"/>
      </w:pBdr>
      <w:spacing w:befor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4BF1B" w14:textId="77777777" w:rsidR="00587EA7" w:rsidRPr="00ED79B6" w:rsidRDefault="00587EA7"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FFB32" w14:textId="77777777" w:rsidR="00587EA7" w:rsidRPr="00243EC0" w:rsidRDefault="00587EA7"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2—Exemption</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6804"/>
      <w:gridCol w:w="1509"/>
    </w:tblGrid>
    <w:tr w:rsidR="00587EA7" w14:paraId="7F73526A" w14:textId="77777777" w:rsidTr="00BF75C9">
      <w:tc>
        <w:tcPr>
          <w:tcW w:w="6804" w:type="dxa"/>
          <w:shd w:val="clear" w:color="auto" w:fill="auto"/>
        </w:tcPr>
        <w:p w14:paraId="64A8E719" w14:textId="77777777" w:rsidR="00587EA7" w:rsidRDefault="00194D32" w:rsidP="00E40FF8">
          <w:pPr>
            <w:pStyle w:val="LI-Header"/>
            <w:pBdr>
              <w:bottom w:val="none" w:sz="0" w:space="0" w:color="auto"/>
            </w:pBdr>
            <w:jc w:val="left"/>
          </w:pPr>
          <w:r>
            <w:fldChar w:fldCharType="begin"/>
          </w:r>
          <w:r>
            <w:instrText xml:space="preserve"> STYLEREF  "LI - Title" </w:instrText>
          </w:r>
          <w:r>
            <w:fldChar w:fldCharType="separate"/>
          </w:r>
          <w:r>
            <w:rPr>
              <w:noProof/>
            </w:rPr>
            <w:t>ASIC Corporations (Serviced Apartment and Like Schemes) Instrument 2016/869</w:t>
          </w:r>
          <w:r>
            <w:rPr>
              <w:noProof/>
            </w:rPr>
            <w:fldChar w:fldCharType="end"/>
          </w:r>
        </w:p>
      </w:tc>
      <w:tc>
        <w:tcPr>
          <w:tcW w:w="1509" w:type="dxa"/>
          <w:shd w:val="clear" w:color="auto" w:fill="auto"/>
        </w:tcPr>
        <w:p w14:paraId="3EB6A20B" w14:textId="77777777" w:rsidR="00587EA7" w:rsidRDefault="00194D32" w:rsidP="00E40FF8">
          <w:pPr>
            <w:pStyle w:val="LI-Header"/>
            <w:pBdr>
              <w:bottom w:val="none" w:sz="0" w:space="0" w:color="auto"/>
            </w:pBdr>
          </w:pPr>
          <w:r>
            <w:fldChar w:fldCharType="begin"/>
          </w:r>
          <w:r>
            <w:instrText xml:space="preserve"> STYLEREF  "LI - Heading 1" </w:instrText>
          </w:r>
          <w:r>
            <w:fldChar w:fldCharType="separate"/>
          </w:r>
          <w:r>
            <w:rPr>
              <w:noProof/>
            </w:rPr>
            <w:t>Part 1—Preliminary</w:t>
          </w:r>
          <w:r>
            <w:rPr>
              <w:noProof/>
            </w:rPr>
            <w:fldChar w:fldCharType="end"/>
          </w:r>
        </w:p>
      </w:tc>
    </w:tr>
  </w:tbl>
  <w:p w14:paraId="062DA539" w14:textId="77777777" w:rsidR="00587EA7" w:rsidRPr="00F4215A" w:rsidRDefault="00587EA7" w:rsidP="00F4215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3B895" w14:textId="77777777" w:rsidR="00587EA7" w:rsidRPr="007A1328" w:rsidRDefault="00587EA7"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AAC640"/>
    <w:lvl w:ilvl="0">
      <w:start w:val="1"/>
      <w:numFmt w:val="decimal"/>
      <w:lvlText w:val="%1."/>
      <w:lvlJc w:val="left"/>
      <w:pPr>
        <w:tabs>
          <w:tab w:val="num" w:pos="1492"/>
        </w:tabs>
        <w:ind w:left="1492" w:hanging="360"/>
      </w:pPr>
    </w:lvl>
  </w:abstractNum>
  <w:abstractNum w:abstractNumId="1">
    <w:nsid w:val="FFFFFF7D"/>
    <w:multiLevelType w:val="singleLevel"/>
    <w:tmpl w:val="B41AFABE"/>
    <w:lvl w:ilvl="0">
      <w:start w:val="1"/>
      <w:numFmt w:val="decimal"/>
      <w:lvlText w:val="%1."/>
      <w:lvlJc w:val="left"/>
      <w:pPr>
        <w:tabs>
          <w:tab w:val="num" w:pos="1209"/>
        </w:tabs>
        <w:ind w:left="1209" w:hanging="360"/>
      </w:pPr>
    </w:lvl>
  </w:abstractNum>
  <w:abstractNum w:abstractNumId="2">
    <w:nsid w:val="FFFFFF7E"/>
    <w:multiLevelType w:val="singleLevel"/>
    <w:tmpl w:val="A5D0874A"/>
    <w:lvl w:ilvl="0">
      <w:start w:val="1"/>
      <w:numFmt w:val="decimal"/>
      <w:lvlText w:val="%1."/>
      <w:lvlJc w:val="left"/>
      <w:pPr>
        <w:tabs>
          <w:tab w:val="num" w:pos="926"/>
        </w:tabs>
        <w:ind w:left="926" w:hanging="360"/>
      </w:pPr>
    </w:lvl>
  </w:abstractNum>
  <w:abstractNum w:abstractNumId="3">
    <w:nsid w:val="FFFFFF7F"/>
    <w:multiLevelType w:val="singleLevel"/>
    <w:tmpl w:val="0AD6373E"/>
    <w:lvl w:ilvl="0">
      <w:start w:val="1"/>
      <w:numFmt w:val="decimal"/>
      <w:lvlText w:val="%1."/>
      <w:lvlJc w:val="left"/>
      <w:pPr>
        <w:tabs>
          <w:tab w:val="num" w:pos="643"/>
        </w:tabs>
        <w:ind w:left="643" w:hanging="360"/>
      </w:pPr>
    </w:lvl>
  </w:abstractNum>
  <w:abstractNum w:abstractNumId="4">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16A4DF2"/>
    <w:lvl w:ilvl="0">
      <w:start w:val="1"/>
      <w:numFmt w:val="decimal"/>
      <w:lvlText w:val="%1."/>
      <w:lvlJc w:val="left"/>
      <w:pPr>
        <w:tabs>
          <w:tab w:val="num" w:pos="360"/>
        </w:tabs>
        <w:ind w:left="360" w:hanging="360"/>
      </w:pPr>
    </w:lvl>
  </w:abstractNum>
  <w:abstractNum w:abstractNumId="9">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F9F4B13"/>
    <w:multiLevelType w:val="hybridMultilevel"/>
    <w:tmpl w:val="352E6C68"/>
    <w:lvl w:ilvl="0" w:tplc="0FF4842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4596519D"/>
    <w:multiLevelType w:val="hybridMultilevel"/>
    <w:tmpl w:val="27C2890E"/>
    <w:lvl w:ilvl="0" w:tplc="E8828970">
      <w:start w:val="1"/>
      <w:numFmt w:val="lowerLetter"/>
      <w:lvlText w:val="(%1)"/>
      <w:lvlJc w:val="left"/>
      <w:pPr>
        <w:ind w:left="1854" w:hanging="720"/>
      </w:pPr>
      <w:rPr>
        <w:rFonts w:hint="default"/>
        <w:b w:val="0"/>
        <w:i w:val="0"/>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5">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0934D96"/>
    <w:multiLevelType w:val="hybridMultilevel"/>
    <w:tmpl w:val="352E6C68"/>
    <w:lvl w:ilvl="0" w:tplc="0FF4842C">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7">
    <w:nsid w:val="72586769"/>
    <w:multiLevelType w:val="hybridMultilevel"/>
    <w:tmpl w:val="31329B32"/>
    <w:lvl w:ilvl="0" w:tplc="222416E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1"/>
  </w:num>
  <w:num w:numId="14">
    <w:abstractNumId w:val="15"/>
  </w:num>
  <w:num w:numId="15">
    <w:abstractNumId w:val="14"/>
  </w:num>
  <w:num w:numId="16">
    <w:abstractNumId w:val="12"/>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removePersonalInformation/>
  <w:embedTrueTypeFonts/>
  <w:saveSubsetFont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1A1"/>
    <w:rsid w:val="000043B8"/>
    <w:rsid w:val="00004470"/>
    <w:rsid w:val="00005446"/>
    <w:rsid w:val="0000645A"/>
    <w:rsid w:val="000136AF"/>
    <w:rsid w:val="00013B8D"/>
    <w:rsid w:val="00015B78"/>
    <w:rsid w:val="00017995"/>
    <w:rsid w:val="00020AD2"/>
    <w:rsid w:val="00023D53"/>
    <w:rsid w:val="00040517"/>
    <w:rsid w:val="000437C1"/>
    <w:rsid w:val="0004754F"/>
    <w:rsid w:val="0005198B"/>
    <w:rsid w:val="0005365D"/>
    <w:rsid w:val="00055F8C"/>
    <w:rsid w:val="00060870"/>
    <w:rsid w:val="000614BF"/>
    <w:rsid w:val="0006250C"/>
    <w:rsid w:val="00062D44"/>
    <w:rsid w:val="00063CE2"/>
    <w:rsid w:val="000652F8"/>
    <w:rsid w:val="000676DF"/>
    <w:rsid w:val="000756DF"/>
    <w:rsid w:val="00081794"/>
    <w:rsid w:val="00085323"/>
    <w:rsid w:val="00091424"/>
    <w:rsid w:val="00094CAE"/>
    <w:rsid w:val="000A142F"/>
    <w:rsid w:val="000A1B0B"/>
    <w:rsid w:val="000A2ADE"/>
    <w:rsid w:val="000A4D51"/>
    <w:rsid w:val="000A5083"/>
    <w:rsid w:val="000A6C39"/>
    <w:rsid w:val="000B58FA"/>
    <w:rsid w:val="000C3DAA"/>
    <w:rsid w:val="000C55A0"/>
    <w:rsid w:val="000D05EF"/>
    <w:rsid w:val="000D346C"/>
    <w:rsid w:val="000D74E4"/>
    <w:rsid w:val="000E2261"/>
    <w:rsid w:val="000E3C2E"/>
    <w:rsid w:val="000F087E"/>
    <w:rsid w:val="000F0BCD"/>
    <w:rsid w:val="000F21C1"/>
    <w:rsid w:val="000F3A82"/>
    <w:rsid w:val="000F6B72"/>
    <w:rsid w:val="0010298F"/>
    <w:rsid w:val="00102CA6"/>
    <w:rsid w:val="0010745C"/>
    <w:rsid w:val="0011025F"/>
    <w:rsid w:val="001108D0"/>
    <w:rsid w:val="00112597"/>
    <w:rsid w:val="001150EC"/>
    <w:rsid w:val="00115D30"/>
    <w:rsid w:val="001161B3"/>
    <w:rsid w:val="00117FB4"/>
    <w:rsid w:val="00121837"/>
    <w:rsid w:val="001220BA"/>
    <w:rsid w:val="00132CEB"/>
    <w:rsid w:val="00142291"/>
    <w:rsid w:val="00142B62"/>
    <w:rsid w:val="00153A05"/>
    <w:rsid w:val="0015436B"/>
    <w:rsid w:val="00157B8B"/>
    <w:rsid w:val="00160D51"/>
    <w:rsid w:val="00166C2F"/>
    <w:rsid w:val="00171A6E"/>
    <w:rsid w:val="001809D7"/>
    <w:rsid w:val="00182462"/>
    <w:rsid w:val="00182967"/>
    <w:rsid w:val="00182B41"/>
    <w:rsid w:val="00183638"/>
    <w:rsid w:val="00186BC4"/>
    <w:rsid w:val="00187613"/>
    <w:rsid w:val="00192EAD"/>
    <w:rsid w:val="001939E1"/>
    <w:rsid w:val="00194C3E"/>
    <w:rsid w:val="00194D32"/>
    <w:rsid w:val="00195382"/>
    <w:rsid w:val="00195BD4"/>
    <w:rsid w:val="001B3EA0"/>
    <w:rsid w:val="001C20DF"/>
    <w:rsid w:val="001C2CE2"/>
    <w:rsid w:val="001C5222"/>
    <w:rsid w:val="001C5DA2"/>
    <w:rsid w:val="001C61C5"/>
    <w:rsid w:val="001C69C4"/>
    <w:rsid w:val="001C7847"/>
    <w:rsid w:val="001D0DD9"/>
    <w:rsid w:val="001D37EF"/>
    <w:rsid w:val="001D56C0"/>
    <w:rsid w:val="001E3590"/>
    <w:rsid w:val="001E5EC7"/>
    <w:rsid w:val="001E7407"/>
    <w:rsid w:val="001F4C2F"/>
    <w:rsid w:val="001F5D5E"/>
    <w:rsid w:val="001F6219"/>
    <w:rsid w:val="001F6CD4"/>
    <w:rsid w:val="00201703"/>
    <w:rsid w:val="00201EF7"/>
    <w:rsid w:val="00206C4D"/>
    <w:rsid w:val="0021053C"/>
    <w:rsid w:val="00210F6B"/>
    <w:rsid w:val="00212FDF"/>
    <w:rsid w:val="00215AF1"/>
    <w:rsid w:val="00220E89"/>
    <w:rsid w:val="002321E8"/>
    <w:rsid w:val="00235BAE"/>
    <w:rsid w:val="00236EEC"/>
    <w:rsid w:val="00237935"/>
    <w:rsid w:val="0024010F"/>
    <w:rsid w:val="00240749"/>
    <w:rsid w:val="00243018"/>
    <w:rsid w:val="00243E0D"/>
    <w:rsid w:val="00243EC0"/>
    <w:rsid w:val="00244742"/>
    <w:rsid w:val="00247C3E"/>
    <w:rsid w:val="002515A3"/>
    <w:rsid w:val="00252E74"/>
    <w:rsid w:val="00254AB9"/>
    <w:rsid w:val="00254C0B"/>
    <w:rsid w:val="002564A4"/>
    <w:rsid w:val="00264C96"/>
    <w:rsid w:val="00266A41"/>
    <w:rsid w:val="0026736C"/>
    <w:rsid w:val="00280057"/>
    <w:rsid w:val="00281308"/>
    <w:rsid w:val="00281813"/>
    <w:rsid w:val="00281E0D"/>
    <w:rsid w:val="00282776"/>
    <w:rsid w:val="00284719"/>
    <w:rsid w:val="0028563C"/>
    <w:rsid w:val="00291AD3"/>
    <w:rsid w:val="00295FFE"/>
    <w:rsid w:val="00297ECB"/>
    <w:rsid w:val="002A7BCF"/>
    <w:rsid w:val="002B19F3"/>
    <w:rsid w:val="002B4A0D"/>
    <w:rsid w:val="002B6101"/>
    <w:rsid w:val="002B7BA5"/>
    <w:rsid w:val="002C4FE0"/>
    <w:rsid w:val="002C69CD"/>
    <w:rsid w:val="002D043A"/>
    <w:rsid w:val="002D1D28"/>
    <w:rsid w:val="002D376C"/>
    <w:rsid w:val="002D6224"/>
    <w:rsid w:val="002E13CD"/>
    <w:rsid w:val="002E3F4B"/>
    <w:rsid w:val="002F1C05"/>
    <w:rsid w:val="002F2B15"/>
    <w:rsid w:val="002F4846"/>
    <w:rsid w:val="002F57C7"/>
    <w:rsid w:val="003006BC"/>
    <w:rsid w:val="003020EC"/>
    <w:rsid w:val="00302A39"/>
    <w:rsid w:val="00303DD2"/>
    <w:rsid w:val="00304F8B"/>
    <w:rsid w:val="003266DF"/>
    <w:rsid w:val="00327DDF"/>
    <w:rsid w:val="003354D2"/>
    <w:rsid w:val="00335BC6"/>
    <w:rsid w:val="003415D3"/>
    <w:rsid w:val="00342319"/>
    <w:rsid w:val="00344701"/>
    <w:rsid w:val="003528DA"/>
    <w:rsid w:val="00352B0F"/>
    <w:rsid w:val="00355B3D"/>
    <w:rsid w:val="00356690"/>
    <w:rsid w:val="00360459"/>
    <w:rsid w:val="00365497"/>
    <w:rsid w:val="00370BC4"/>
    <w:rsid w:val="00383B6B"/>
    <w:rsid w:val="00384EB4"/>
    <w:rsid w:val="00387A96"/>
    <w:rsid w:val="003931A8"/>
    <w:rsid w:val="003955BF"/>
    <w:rsid w:val="00396F54"/>
    <w:rsid w:val="003A2823"/>
    <w:rsid w:val="003A2A48"/>
    <w:rsid w:val="003B3E2B"/>
    <w:rsid w:val="003B732F"/>
    <w:rsid w:val="003B7797"/>
    <w:rsid w:val="003C214D"/>
    <w:rsid w:val="003C6231"/>
    <w:rsid w:val="003D0BFE"/>
    <w:rsid w:val="003D5700"/>
    <w:rsid w:val="003D7C0C"/>
    <w:rsid w:val="003E0F99"/>
    <w:rsid w:val="003E1160"/>
    <w:rsid w:val="003E341B"/>
    <w:rsid w:val="003E4616"/>
    <w:rsid w:val="003E7E29"/>
    <w:rsid w:val="0040053F"/>
    <w:rsid w:val="004116CD"/>
    <w:rsid w:val="00413FAD"/>
    <w:rsid w:val="004144EC"/>
    <w:rsid w:val="00417EB9"/>
    <w:rsid w:val="00420EEE"/>
    <w:rsid w:val="00421629"/>
    <w:rsid w:val="00423352"/>
    <w:rsid w:val="00424CA9"/>
    <w:rsid w:val="00431E9B"/>
    <w:rsid w:val="00432999"/>
    <w:rsid w:val="00433045"/>
    <w:rsid w:val="004379E2"/>
    <w:rsid w:val="004379E3"/>
    <w:rsid w:val="0044015E"/>
    <w:rsid w:val="0044291A"/>
    <w:rsid w:val="00444ABD"/>
    <w:rsid w:val="00447DB4"/>
    <w:rsid w:val="00452DF6"/>
    <w:rsid w:val="00457720"/>
    <w:rsid w:val="004608EE"/>
    <w:rsid w:val="00460F1D"/>
    <w:rsid w:val="00467418"/>
    <w:rsid w:val="00467661"/>
    <w:rsid w:val="004705B7"/>
    <w:rsid w:val="00472DBE"/>
    <w:rsid w:val="00474A19"/>
    <w:rsid w:val="00476E02"/>
    <w:rsid w:val="004823C0"/>
    <w:rsid w:val="0048276B"/>
    <w:rsid w:val="00483B84"/>
    <w:rsid w:val="00487F7D"/>
    <w:rsid w:val="0049423A"/>
    <w:rsid w:val="00496B5F"/>
    <w:rsid w:val="00496F97"/>
    <w:rsid w:val="004A1F58"/>
    <w:rsid w:val="004A44FC"/>
    <w:rsid w:val="004B53E9"/>
    <w:rsid w:val="004B6643"/>
    <w:rsid w:val="004C0D5A"/>
    <w:rsid w:val="004C2983"/>
    <w:rsid w:val="004C2B61"/>
    <w:rsid w:val="004D1807"/>
    <w:rsid w:val="004D3C23"/>
    <w:rsid w:val="004E063A"/>
    <w:rsid w:val="004E209A"/>
    <w:rsid w:val="004E4CD5"/>
    <w:rsid w:val="004E7BEC"/>
    <w:rsid w:val="0050044F"/>
    <w:rsid w:val="005045C7"/>
    <w:rsid w:val="00505D3D"/>
    <w:rsid w:val="00506AF6"/>
    <w:rsid w:val="00506D73"/>
    <w:rsid w:val="00507335"/>
    <w:rsid w:val="00512DD9"/>
    <w:rsid w:val="00516433"/>
    <w:rsid w:val="00516612"/>
    <w:rsid w:val="0051695D"/>
    <w:rsid w:val="00516B8D"/>
    <w:rsid w:val="00517E56"/>
    <w:rsid w:val="00524386"/>
    <w:rsid w:val="00532049"/>
    <w:rsid w:val="00532340"/>
    <w:rsid w:val="005356A7"/>
    <w:rsid w:val="005359E1"/>
    <w:rsid w:val="00536E03"/>
    <w:rsid w:val="005377B0"/>
    <w:rsid w:val="00537FBC"/>
    <w:rsid w:val="005574D1"/>
    <w:rsid w:val="0056077E"/>
    <w:rsid w:val="00564D7D"/>
    <w:rsid w:val="005657FE"/>
    <w:rsid w:val="00567864"/>
    <w:rsid w:val="00572BB1"/>
    <w:rsid w:val="0057670F"/>
    <w:rsid w:val="005846C2"/>
    <w:rsid w:val="00584811"/>
    <w:rsid w:val="00585784"/>
    <w:rsid w:val="00587EA7"/>
    <w:rsid w:val="005930DA"/>
    <w:rsid w:val="00593AA6"/>
    <w:rsid w:val="00594161"/>
    <w:rsid w:val="00594749"/>
    <w:rsid w:val="005A18E9"/>
    <w:rsid w:val="005A23CC"/>
    <w:rsid w:val="005B07E9"/>
    <w:rsid w:val="005B1ED8"/>
    <w:rsid w:val="005B3F06"/>
    <w:rsid w:val="005B4067"/>
    <w:rsid w:val="005B780C"/>
    <w:rsid w:val="005C3F41"/>
    <w:rsid w:val="005C5738"/>
    <w:rsid w:val="005D0489"/>
    <w:rsid w:val="005D2D09"/>
    <w:rsid w:val="005D3D41"/>
    <w:rsid w:val="005D60E7"/>
    <w:rsid w:val="005D70E4"/>
    <w:rsid w:val="005E1061"/>
    <w:rsid w:val="005E4810"/>
    <w:rsid w:val="005F64EC"/>
    <w:rsid w:val="005F65CD"/>
    <w:rsid w:val="005F761E"/>
    <w:rsid w:val="00600219"/>
    <w:rsid w:val="00600FFA"/>
    <w:rsid w:val="00603DC4"/>
    <w:rsid w:val="00604A5B"/>
    <w:rsid w:val="00604E54"/>
    <w:rsid w:val="00607997"/>
    <w:rsid w:val="00607A71"/>
    <w:rsid w:val="00607D49"/>
    <w:rsid w:val="00610CEB"/>
    <w:rsid w:val="0061625A"/>
    <w:rsid w:val="00616AA9"/>
    <w:rsid w:val="00620076"/>
    <w:rsid w:val="006218DE"/>
    <w:rsid w:val="0062783B"/>
    <w:rsid w:val="0063139D"/>
    <w:rsid w:val="00634044"/>
    <w:rsid w:val="00640161"/>
    <w:rsid w:val="0064429D"/>
    <w:rsid w:val="00652769"/>
    <w:rsid w:val="0065542F"/>
    <w:rsid w:val="006554FF"/>
    <w:rsid w:val="00667960"/>
    <w:rsid w:val="006709A5"/>
    <w:rsid w:val="00670EA1"/>
    <w:rsid w:val="00677CC2"/>
    <w:rsid w:val="0069057A"/>
    <w:rsid w:val="006905DE"/>
    <w:rsid w:val="0069207B"/>
    <w:rsid w:val="00692F88"/>
    <w:rsid w:val="006942BC"/>
    <w:rsid w:val="006956B1"/>
    <w:rsid w:val="006958B6"/>
    <w:rsid w:val="00697E96"/>
    <w:rsid w:val="006A5CC7"/>
    <w:rsid w:val="006A6FE6"/>
    <w:rsid w:val="006A794D"/>
    <w:rsid w:val="006A7D10"/>
    <w:rsid w:val="006B5789"/>
    <w:rsid w:val="006C30C5"/>
    <w:rsid w:val="006C48FA"/>
    <w:rsid w:val="006C7F8C"/>
    <w:rsid w:val="006E5320"/>
    <w:rsid w:val="006E6246"/>
    <w:rsid w:val="006F318F"/>
    <w:rsid w:val="006F4226"/>
    <w:rsid w:val="006F46C5"/>
    <w:rsid w:val="0070017E"/>
    <w:rsid w:val="00700B2C"/>
    <w:rsid w:val="00704341"/>
    <w:rsid w:val="007050A2"/>
    <w:rsid w:val="00713084"/>
    <w:rsid w:val="007138FB"/>
    <w:rsid w:val="00714F20"/>
    <w:rsid w:val="0071590F"/>
    <w:rsid w:val="00715914"/>
    <w:rsid w:val="00723706"/>
    <w:rsid w:val="00730794"/>
    <w:rsid w:val="00731E00"/>
    <w:rsid w:val="00741EE8"/>
    <w:rsid w:val="007440B7"/>
    <w:rsid w:val="007500C8"/>
    <w:rsid w:val="0075179E"/>
    <w:rsid w:val="00752CD0"/>
    <w:rsid w:val="00756272"/>
    <w:rsid w:val="007626F5"/>
    <w:rsid w:val="00762A62"/>
    <w:rsid w:val="007654A3"/>
    <w:rsid w:val="007662B5"/>
    <w:rsid w:val="0076681A"/>
    <w:rsid w:val="007715C9"/>
    <w:rsid w:val="00771613"/>
    <w:rsid w:val="00772B7B"/>
    <w:rsid w:val="00774EDD"/>
    <w:rsid w:val="0077506D"/>
    <w:rsid w:val="007757EC"/>
    <w:rsid w:val="00783E89"/>
    <w:rsid w:val="00785A9E"/>
    <w:rsid w:val="00792897"/>
    <w:rsid w:val="00793915"/>
    <w:rsid w:val="007975C2"/>
    <w:rsid w:val="007A1A1F"/>
    <w:rsid w:val="007A2BA1"/>
    <w:rsid w:val="007A35FD"/>
    <w:rsid w:val="007B4C4F"/>
    <w:rsid w:val="007B655A"/>
    <w:rsid w:val="007C2253"/>
    <w:rsid w:val="007C64BD"/>
    <w:rsid w:val="007D230B"/>
    <w:rsid w:val="007D27DE"/>
    <w:rsid w:val="007D5BA3"/>
    <w:rsid w:val="007E163D"/>
    <w:rsid w:val="007E667A"/>
    <w:rsid w:val="007F28C9"/>
    <w:rsid w:val="0080312D"/>
    <w:rsid w:val="00803587"/>
    <w:rsid w:val="008117E9"/>
    <w:rsid w:val="00815FE9"/>
    <w:rsid w:val="00824498"/>
    <w:rsid w:val="00827038"/>
    <w:rsid w:val="008326F3"/>
    <w:rsid w:val="00836386"/>
    <w:rsid w:val="00840442"/>
    <w:rsid w:val="008515DF"/>
    <w:rsid w:val="008527C0"/>
    <w:rsid w:val="00854946"/>
    <w:rsid w:val="00856A31"/>
    <w:rsid w:val="00860B58"/>
    <w:rsid w:val="00861907"/>
    <w:rsid w:val="00867B37"/>
    <w:rsid w:val="0087121A"/>
    <w:rsid w:val="008718DD"/>
    <w:rsid w:val="008754D0"/>
    <w:rsid w:val="008756BC"/>
    <w:rsid w:val="0088307C"/>
    <w:rsid w:val="008855C9"/>
    <w:rsid w:val="00886456"/>
    <w:rsid w:val="008875BD"/>
    <w:rsid w:val="0089021D"/>
    <w:rsid w:val="008945E0"/>
    <w:rsid w:val="0089527F"/>
    <w:rsid w:val="008A362B"/>
    <w:rsid w:val="008A46E1"/>
    <w:rsid w:val="008A4F43"/>
    <w:rsid w:val="008B2706"/>
    <w:rsid w:val="008C0F29"/>
    <w:rsid w:val="008C7F1F"/>
    <w:rsid w:val="008D0EE0"/>
    <w:rsid w:val="008D3422"/>
    <w:rsid w:val="008D4B94"/>
    <w:rsid w:val="008E6067"/>
    <w:rsid w:val="008F23A0"/>
    <w:rsid w:val="008F28AE"/>
    <w:rsid w:val="008F2DAC"/>
    <w:rsid w:val="008F54E7"/>
    <w:rsid w:val="008F71A7"/>
    <w:rsid w:val="00903422"/>
    <w:rsid w:val="00906F40"/>
    <w:rsid w:val="00914B3A"/>
    <w:rsid w:val="009157B9"/>
    <w:rsid w:val="00915DF9"/>
    <w:rsid w:val="0092142C"/>
    <w:rsid w:val="009254C3"/>
    <w:rsid w:val="00930A0A"/>
    <w:rsid w:val="00932377"/>
    <w:rsid w:val="00940F03"/>
    <w:rsid w:val="009448D7"/>
    <w:rsid w:val="00945349"/>
    <w:rsid w:val="00947D5A"/>
    <w:rsid w:val="009532A5"/>
    <w:rsid w:val="0095467E"/>
    <w:rsid w:val="0095528E"/>
    <w:rsid w:val="00962DB6"/>
    <w:rsid w:val="00964EAA"/>
    <w:rsid w:val="0096753E"/>
    <w:rsid w:val="00970EA5"/>
    <w:rsid w:val="009739AA"/>
    <w:rsid w:val="00982242"/>
    <w:rsid w:val="00982B18"/>
    <w:rsid w:val="009868E9"/>
    <w:rsid w:val="009944E6"/>
    <w:rsid w:val="009A034C"/>
    <w:rsid w:val="009A49C9"/>
    <w:rsid w:val="009B2372"/>
    <w:rsid w:val="009C2DC6"/>
    <w:rsid w:val="009C61DF"/>
    <w:rsid w:val="009D1818"/>
    <w:rsid w:val="009D3F17"/>
    <w:rsid w:val="009E5CFC"/>
    <w:rsid w:val="009E70A7"/>
    <w:rsid w:val="009F2CE4"/>
    <w:rsid w:val="00A05CA9"/>
    <w:rsid w:val="00A079CB"/>
    <w:rsid w:val="00A07DAD"/>
    <w:rsid w:val="00A10E36"/>
    <w:rsid w:val="00A12128"/>
    <w:rsid w:val="00A12F48"/>
    <w:rsid w:val="00A14E5E"/>
    <w:rsid w:val="00A15512"/>
    <w:rsid w:val="00A22C98"/>
    <w:rsid w:val="00A231E2"/>
    <w:rsid w:val="00A25C9E"/>
    <w:rsid w:val="00A318DD"/>
    <w:rsid w:val="00A33D55"/>
    <w:rsid w:val="00A34412"/>
    <w:rsid w:val="00A40424"/>
    <w:rsid w:val="00A510EB"/>
    <w:rsid w:val="00A52B0F"/>
    <w:rsid w:val="00A5632E"/>
    <w:rsid w:val="00A56591"/>
    <w:rsid w:val="00A64912"/>
    <w:rsid w:val="00A70888"/>
    <w:rsid w:val="00A70A74"/>
    <w:rsid w:val="00A712B8"/>
    <w:rsid w:val="00A722AF"/>
    <w:rsid w:val="00A72514"/>
    <w:rsid w:val="00A771F7"/>
    <w:rsid w:val="00A825AF"/>
    <w:rsid w:val="00A85F5E"/>
    <w:rsid w:val="00A86CE8"/>
    <w:rsid w:val="00A91966"/>
    <w:rsid w:val="00A9418E"/>
    <w:rsid w:val="00A94A69"/>
    <w:rsid w:val="00A95C3F"/>
    <w:rsid w:val="00AA3B97"/>
    <w:rsid w:val="00AA3E33"/>
    <w:rsid w:val="00AA44E2"/>
    <w:rsid w:val="00AA66AC"/>
    <w:rsid w:val="00AB002C"/>
    <w:rsid w:val="00AB1DE8"/>
    <w:rsid w:val="00AB38B7"/>
    <w:rsid w:val="00AC0886"/>
    <w:rsid w:val="00AD1B90"/>
    <w:rsid w:val="00AD1F73"/>
    <w:rsid w:val="00AD4480"/>
    <w:rsid w:val="00AD5315"/>
    <w:rsid w:val="00AD5641"/>
    <w:rsid w:val="00AD7889"/>
    <w:rsid w:val="00AE3290"/>
    <w:rsid w:val="00AE6986"/>
    <w:rsid w:val="00AF021B"/>
    <w:rsid w:val="00AF06CF"/>
    <w:rsid w:val="00AF4997"/>
    <w:rsid w:val="00AF5144"/>
    <w:rsid w:val="00AF7F4E"/>
    <w:rsid w:val="00B07CDB"/>
    <w:rsid w:val="00B14BB7"/>
    <w:rsid w:val="00B16A31"/>
    <w:rsid w:val="00B17659"/>
    <w:rsid w:val="00B17DFD"/>
    <w:rsid w:val="00B211D7"/>
    <w:rsid w:val="00B22764"/>
    <w:rsid w:val="00B25A53"/>
    <w:rsid w:val="00B2605A"/>
    <w:rsid w:val="00B2799D"/>
    <w:rsid w:val="00B308FE"/>
    <w:rsid w:val="00B31AC3"/>
    <w:rsid w:val="00B33709"/>
    <w:rsid w:val="00B33B3C"/>
    <w:rsid w:val="00B359B4"/>
    <w:rsid w:val="00B41307"/>
    <w:rsid w:val="00B4213A"/>
    <w:rsid w:val="00B426A6"/>
    <w:rsid w:val="00B42980"/>
    <w:rsid w:val="00B50ADC"/>
    <w:rsid w:val="00B566B1"/>
    <w:rsid w:val="00B63834"/>
    <w:rsid w:val="00B6640B"/>
    <w:rsid w:val="00B72734"/>
    <w:rsid w:val="00B7314D"/>
    <w:rsid w:val="00B73E7B"/>
    <w:rsid w:val="00B759F0"/>
    <w:rsid w:val="00B76F01"/>
    <w:rsid w:val="00B80199"/>
    <w:rsid w:val="00B82D81"/>
    <w:rsid w:val="00B83204"/>
    <w:rsid w:val="00B83D68"/>
    <w:rsid w:val="00B85B95"/>
    <w:rsid w:val="00B90004"/>
    <w:rsid w:val="00BA220B"/>
    <w:rsid w:val="00BA3A43"/>
    <w:rsid w:val="00BA3A57"/>
    <w:rsid w:val="00BA3CC2"/>
    <w:rsid w:val="00BA3F15"/>
    <w:rsid w:val="00BA4AFD"/>
    <w:rsid w:val="00BB19C5"/>
    <w:rsid w:val="00BB42C6"/>
    <w:rsid w:val="00BB4E1A"/>
    <w:rsid w:val="00BB5C17"/>
    <w:rsid w:val="00BC015E"/>
    <w:rsid w:val="00BC0251"/>
    <w:rsid w:val="00BC7183"/>
    <w:rsid w:val="00BC76AC"/>
    <w:rsid w:val="00BD0ECB"/>
    <w:rsid w:val="00BE2155"/>
    <w:rsid w:val="00BE2213"/>
    <w:rsid w:val="00BE719A"/>
    <w:rsid w:val="00BE720A"/>
    <w:rsid w:val="00BF0D73"/>
    <w:rsid w:val="00BF2465"/>
    <w:rsid w:val="00BF5166"/>
    <w:rsid w:val="00BF62D3"/>
    <w:rsid w:val="00BF75A3"/>
    <w:rsid w:val="00BF75C9"/>
    <w:rsid w:val="00C0383A"/>
    <w:rsid w:val="00C0544A"/>
    <w:rsid w:val="00C07AE4"/>
    <w:rsid w:val="00C105B4"/>
    <w:rsid w:val="00C11452"/>
    <w:rsid w:val="00C12EEC"/>
    <w:rsid w:val="00C25E7F"/>
    <w:rsid w:val="00C2746F"/>
    <w:rsid w:val="00C324A0"/>
    <w:rsid w:val="00C3300F"/>
    <w:rsid w:val="00C34E77"/>
    <w:rsid w:val="00C35875"/>
    <w:rsid w:val="00C37E3C"/>
    <w:rsid w:val="00C42BF8"/>
    <w:rsid w:val="00C45171"/>
    <w:rsid w:val="00C454C2"/>
    <w:rsid w:val="00C47611"/>
    <w:rsid w:val="00C50043"/>
    <w:rsid w:val="00C50B97"/>
    <w:rsid w:val="00C60ACF"/>
    <w:rsid w:val="00C62CB5"/>
    <w:rsid w:val="00C6434E"/>
    <w:rsid w:val="00C70545"/>
    <w:rsid w:val="00C70CA8"/>
    <w:rsid w:val="00C7573B"/>
    <w:rsid w:val="00C75ADB"/>
    <w:rsid w:val="00C7761F"/>
    <w:rsid w:val="00C8388B"/>
    <w:rsid w:val="00C90D7F"/>
    <w:rsid w:val="00C93C03"/>
    <w:rsid w:val="00C94EC7"/>
    <w:rsid w:val="00C968D5"/>
    <w:rsid w:val="00CA66DC"/>
    <w:rsid w:val="00CA7388"/>
    <w:rsid w:val="00CB2C8E"/>
    <w:rsid w:val="00CB602E"/>
    <w:rsid w:val="00CB6DAC"/>
    <w:rsid w:val="00CC15ED"/>
    <w:rsid w:val="00CD0DCF"/>
    <w:rsid w:val="00CD2E90"/>
    <w:rsid w:val="00CE051D"/>
    <w:rsid w:val="00CE1335"/>
    <w:rsid w:val="00CE2ED8"/>
    <w:rsid w:val="00CE3AD9"/>
    <w:rsid w:val="00CE3D2A"/>
    <w:rsid w:val="00CE493D"/>
    <w:rsid w:val="00CE5C24"/>
    <w:rsid w:val="00CF0357"/>
    <w:rsid w:val="00CF07FA"/>
    <w:rsid w:val="00CF0BB2"/>
    <w:rsid w:val="00CF36D9"/>
    <w:rsid w:val="00CF3EE8"/>
    <w:rsid w:val="00CF4DC0"/>
    <w:rsid w:val="00D00986"/>
    <w:rsid w:val="00D050E6"/>
    <w:rsid w:val="00D12746"/>
    <w:rsid w:val="00D13441"/>
    <w:rsid w:val="00D150E7"/>
    <w:rsid w:val="00D1583B"/>
    <w:rsid w:val="00D21DA7"/>
    <w:rsid w:val="00D251A5"/>
    <w:rsid w:val="00D3163C"/>
    <w:rsid w:val="00D32F65"/>
    <w:rsid w:val="00D33669"/>
    <w:rsid w:val="00D341C4"/>
    <w:rsid w:val="00D40D03"/>
    <w:rsid w:val="00D52DC2"/>
    <w:rsid w:val="00D53492"/>
    <w:rsid w:val="00D53BCC"/>
    <w:rsid w:val="00D66C2C"/>
    <w:rsid w:val="00D702DE"/>
    <w:rsid w:val="00D70933"/>
    <w:rsid w:val="00D70DFB"/>
    <w:rsid w:val="00D72FF3"/>
    <w:rsid w:val="00D73C22"/>
    <w:rsid w:val="00D75550"/>
    <w:rsid w:val="00D766DF"/>
    <w:rsid w:val="00D76D49"/>
    <w:rsid w:val="00D800C0"/>
    <w:rsid w:val="00D87133"/>
    <w:rsid w:val="00D92EDA"/>
    <w:rsid w:val="00D93E19"/>
    <w:rsid w:val="00DA186E"/>
    <w:rsid w:val="00DA19A2"/>
    <w:rsid w:val="00DA2E40"/>
    <w:rsid w:val="00DA4116"/>
    <w:rsid w:val="00DA7D47"/>
    <w:rsid w:val="00DB251C"/>
    <w:rsid w:val="00DB38AD"/>
    <w:rsid w:val="00DB4630"/>
    <w:rsid w:val="00DB528F"/>
    <w:rsid w:val="00DC09C0"/>
    <w:rsid w:val="00DC0F34"/>
    <w:rsid w:val="00DC3693"/>
    <w:rsid w:val="00DC4445"/>
    <w:rsid w:val="00DC4F88"/>
    <w:rsid w:val="00DC7AC7"/>
    <w:rsid w:val="00DC7DB8"/>
    <w:rsid w:val="00DD2A3B"/>
    <w:rsid w:val="00DD4760"/>
    <w:rsid w:val="00DD66F6"/>
    <w:rsid w:val="00DE79F9"/>
    <w:rsid w:val="00DF6741"/>
    <w:rsid w:val="00E05704"/>
    <w:rsid w:val="00E06CC3"/>
    <w:rsid w:val="00E11E44"/>
    <w:rsid w:val="00E12931"/>
    <w:rsid w:val="00E13AFA"/>
    <w:rsid w:val="00E2155C"/>
    <w:rsid w:val="00E2168B"/>
    <w:rsid w:val="00E21F03"/>
    <w:rsid w:val="00E22021"/>
    <w:rsid w:val="00E25B38"/>
    <w:rsid w:val="00E26E84"/>
    <w:rsid w:val="00E312C1"/>
    <w:rsid w:val="00E338EF"/>
    <w:rsid w:val="00E40FF8"/>
    <w:rsid w:val="00E427E3"/>
    <w:rsid w:val="00E45EA9"/>
    <w:rsid w:val="00E544BB"/>
    <w:rsid w:val="00E578EC"/>
    <w:rsid w:val="00E60423"/>
    <w:rsid w:val="00E65DFF"/>
    <w:rsid w:val="00E662CB"/>
    <w:rsid w:val="00E672F9"/>
    <w:rsid w:val="00E72C5F"/>
    <w:rsid w:val="00E74DC7"/>
    <w:rsid w:val="00E8075A"/>
    <w:rsid w:val="00E818A6"/>
    <w:rsid w:val="00E94A31"/>
    <w:rsid w:val="00E94D5E"/>
    <w:rsid w:val="00E9548E"/>
    <w:rsid w:val="00EA7100"/>
    <w:rsid w:val="00EA7F9F"/>
    <w:rsid w:val="00EB0AA3"/>
    <w:rsid w:val="00EB0E70"/>
    <w:rsid w:val="00EB1274"/>
    <w:rsid w:val="00EB1EA7"/>
    <w:rsid w:val="00EB5406"/>
    <w:rsid w:val="00EC092E"/>
    <w:rsid w:val="00EC4757"/>
    <w:rsid w:val="00EC7EDB"/>
    <w:rsid w:val="00ED2BB6"/>
    <w:rsid w:val="00ED34E1"/>
    <w:rsid w:val="00ED3B8D"/>
    <w:rsid w:val="00EE238F"/>
    <w:rsid w:val="00EF2E3A"/>
    <w:rsid w:val="00EF68F2"/>
    <w:rsid w:val="00F019A7"/>
    <w:rsid w:val="00F02EF9"/>
    <w:rsid w:val="00F04E01"/>
    <w:rsid w:val="00F072A7"/>
    <w:rsid w:val="00F078DC"/>
    <w:rsid w:val="00F107F9"/>
    <w:rsid w:val="00F10DA4"/>
    <w:rsid w:val="00F12780"/>
    <w:rsid w:val="00F14593"/>
    <w:rsid w:val="00F158BA"/>
    <w:rsid w:val="00F15BBE"/>
    <w:rsid w:val="00F171A1"/>
    <w:rsid w:val="00F242D1"/>
    <w:rsid w:val="00F270F0"/>
    <w:rsid w:val="00F32BA8"/>
    <w:rsid w:val="00F349F1"/>
    <w:rsid w:val="00F4215A"/>
    <w:rsid w:val="00F42ED2"/>
    <w:rsid w:val="00F4350D"/>
    <w:rsid w:val="00F457AF"/>
    <w:rsid w:val="00F45CAC"/>
    <w:rsid w:val="00F4624D"/>
    <w:rsid w:val="00F46980"/>
    <w:rsid w:val="00F47F1E"/>
    <w:rsid w:val="00F50532"/>
    <w:rsid w:val="00F50C08"/>
    <w:rsid w:val="00F51710"/>
    <w:rsid w:val="00F53F31"/>
    <w:rsid w:val="00F567F7"/>
    <w:rsid w:val="00F61B09"/>
    <w:rsid w:val="00F62036"/>
    <w:rsid w:val="00F63762"/>
    <w:rsid w:val="00F64705"/>
    <w:rsid w:val="00F65B52"/>
    <w:rsid w:val="00F67BCA"/>
    <w:rsid w:val="00F73103"/>
    <w:rsid w:val="00F73BD6"/>
    <w:rsid w:val="00F83989"/>
    <w:rsid w:val="00F85099"/>
    <w:rsid w:val="00F86E71"/>
    <w:rsid w:val="00F9379C"/>
    <w:rsid w:val="00F94C2E"/>
    <w:rsid w:val="00F9632C"/>
    <w:rsid w:val="00FA1E52"/>
    <w:rsid w:val="00FA31DE"/>
    <w:rsid w:val="00FA7D17"/>
    <w:rsid w:val="00FB1984"/>
    <w:rsid w:val="00FB3225"/>
    <w:rsid w:val="00FC3EB8"/>
    <w:rsid w:val="00FC54D8"/>
    <w:rsid w:val="00FC743C"/>
    <w:rsid w:val="00FC7D25"/>
    <w:rsid w:val="00FE4688"/>
    <w:rsid w:val="00FE72D6"/>
    <w:rsid w:val="00FE79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7B6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5EA9"/>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customStyle="1" w:styleId="ListD">
    <w:name w:val="ListD"/>
    <w:rsid w:val="00C454C2"/>
    <w:pPr>
      <w:autoSpaceDE w:val="0"/>
      <w:autoSpaceDN w:val="0"/>
      <w:adjustRightInd w:val="0"/>
      <w:spacing w:before="60" w:after="60"/>
      <w:ind w:left="2268" w:hanging="567"/>
    </w:pPr>
    <w:rPr>
      <w:rFonts w:eastAsia="Times New Roman"/>
      <w:sz w:val="24"/>
      <w:szCs w:val="24"/>
      <w:lang w:val="en-US" w:eastAsia="en-US"/>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tA">
    <w:name w:val="ListA"/>
    <w:rsid w:val="00F86E71"/>
    <w:pPr>
      <w:overflowPunct w:val="0"/>
      <w:autoSpaceDE w:val="0"/>
      <w:autoSpaceDN w:val="0"/>
      <w:adjustRightInd w:val="0"/>
      <w:spacing w:before="120" w:after="120"/>
      <w:ind w:left="425" w:hanging="425"/>
      <w:textAlignment w:val="baseline"/>
    </w:pPr>
    <w:rPr>
      <w:rFonts w:eastAsia="Times New Roman"/>
      <w:sz w:val="24"/>
      <w:lang w:eastAsia="en-US"/>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paragraph" w:customStyle="1" w:styleId="abody">
    <w:name w:val="abody"/>
    <w:rsid w:val="00F12780"/>
    <w:pPr>
      <w:overflowPunct w:val="0"/>
      <w:autoSpaceDE w:val="0"/>
      <w:autoSpaceDN w:val="0"/>
      <w:adjustRightInd w:val="0"/>
      <w:spacing w:before="120" w:after="120"/>
      <w:textAlignment w:val="baseline"/>
    </w:pPr>
    <w:rPr>
      <w:rFonts w:eastAsia="Times New Roman"/>
      <w:noProof/>
      <w:sz w:val="24"/>
      <w:lang w:eastAsia="en-US"/>
    </w:rPr>
  </w:style>
  <w:style w:type="character" w:customStyle="1" w:styleId="LI-SubtitleChar">
    <w:name w:val="LI - Subtitle Char"/>
    <w:link w:val="LI-Subtitle"/>
    <w:rsid w:val="00243EC0"/>
    <w:rPr>
      <w:b/>
      <w:sz w:val="28"/>
      <w:szCs w:val="28"/>
    </w:rPr>
  </w:style>
  <w:style w:type="paragraph" w:customStyle="1" w:styleId="ListB">
    <w:name w:val="ListB"/>
    <w:rsid w:val="00A94A69"/>
    <w:pPr>
      <w:overflowPunct w:val="0"/>
      <w:autoSpaceDE w:val="0"/>
      <w:autoSpaceDN w:val="0"/>
      <w:adjustRightInd w:val="0"/>
      <w:spacing w:before="120" w:after="120"/>
      <w:ind w:left="850" w:hanging="425"/>
      <w:textAlignment w:val="baseline"/>
    </w:pPr>
    <w:rPr>
      <w:rFonts w:eastAsia="Times New Roman"/>
      <w:sz w:val="24"/>
      <w:lang w:eastAsia="en-US"/>
    </w:rPr>
  </w:style>
  <w:style w:type="paragraph" w:customStyle="1" w:styleId="ListC">
    <w:name w:val="ListC"/>
    <w:rsid w:val="00A94A69"/>
    <w:pPr>
      <w:widowControl w:val="0"/>
      <w:autoSpaceDE w:val="0"/>
      <w:autoSpaceDN w:val="0"/>
      <w:adjustRightInd w:val="0"/>
      <w:spacing w:before="120" w:after="120"/>
      <w:ind w:left="1418" w:hanging="567"/>
    </w:pPr>
    <w:rPr>
      <w:rFonts w:eastAsia="Times New Roman"/>
      <w:sz w:val="24"/>
      <w:szCs w:val="24"/>
      <w:lang w:val="en-US" w:eastAsia="en-US"/>
    </w:rPr>
  </w:style>
  <w:style w:type="paragraph" w:customStyle="1" w:styleId="aSCHED">
    <w:name w:val="aSCHED"/>
    <w:rsid w:val="00C62CB5"/>
    <w:pPr>
      <w:keepNext/>
      <w:overflowPunct w:val="0"/>
      <w:autoSpaceDE w:val="0"/>
      <w:autoSpaceDN w:val="0"/>
      <w:adjustRightInd w:val="0"/>
      <w:spacing w:before="240" w:after="120"/>
      <w:jc w:val="center"/>
      <w:textAlignment w:val="baseline"/>
    </w:pPr>
    <w:rPr>
      <w:rFonts w:eastAsia="Times New Roman"/>
      <w:noProof/>
      <w:sz w:val="24"/>
      <w:lang w:eastAsia="en-US"/>
    </w:rPr>
  </w:style>
  <w:style w:type="paragraph" w:styleId="Revision">
    <w:name w:val="Revision"/>
    <w:hidden/>
    <w:uiPriority w:val="99"/>
    <w:semiHidden/>
    <w:rsid w:val="008F23A0"/>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5EA9"/>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rsid w:val="00F61B09"/>
    <w:pPr>
      <w:tabs>
        <w:tab w:val="center" w:pos="4153"/>
        <w:tab w:val="right" w:pos="8306"/>
      </w:tabs>
    </w:pPr>
    <w:rPr>
      <w:rFonts w:eastAsia="Times New Roman"/>
      <w:sz w:val="22"/>
      <w:szCs w:val="24"/>
    </w:rPr>
  </w:style>
  <w:style w:type="character" w:customStyle="1" w:styleId="FooterChar">
    <w:name w:val="Footer Char"/>
    <w:link w:val="Footer"/>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paragraph" w:customStyle="1" w:styleId="ListD">
    <w:name w:val="ListD"/>
    <w:rsid w:val="00C454C2"/>
    <w:pPr>
      <w:autoSpaceDE w:val="0"/>
      <w:autoSpaceDN w:val="0"/>
      <w:adjustRightInd w:val="0"/>
      <w:spacing w:before="60" w:after="60"/>
      <w:ind w:left="2268" w:hanging="567"/>
    </w:pPr>
    <w:rPr>
      <w:rFonts w:eastAsia="Times New Roman"/>
      <w:sz w:val="24"/>
      <w:szCs w:val="24"/>
      <w:lang w:val="en-US" w:eastAsia="en-US"/>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tA">
    <w:name w:val="ListA"/>
    <w:rsid w:val="00F86E71"/>
    <w:pPr>
      <w:overflowPunct w:val="0"/>
      <w:autoSpaceDE w:val="0"/>
      <w:autoSpaceDN w:val="0"/>
      <w:adjustRightInd w:val="0"/>
      <w:spacing w:before="120" w:after="120"/>
      <w:ind w:left="425" w:hanging="425"/>
      <w:textAlignment w:val="baseline"/>
    </w:pPr>
    <w:rPr>
      <w:rFonts w:eastAsia="Times New Roman"/>
      <w:sz w:val="24"/>
      <w:lang w:eastAsia="en-US"/>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semiHidden/>
    <w:unhideWhenUsed/>
    <w:rsid w:val="00D702DE"/>
    <w:rPr>
      <w:sz w:val="20"/>
    </w:rPr>
  </w:style>
  <w:style w:type="character" w:customStyle="1" w:styleId="CommentTextChar">
    <w:name w:val="Comment Text Char"/>
    <w:link w:val="CommentText"/>
    <w:uiPriority w:val="99"/>
    <w:semiHidden/>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paragraph" w:customStyle="1" w:styleId="abody">
    <w:name w:val="abody"/>
    <w:rsid w:val="00F12780"/>
    <w:pPr>
      <w:overflowPunct w:val="0"/>
      <w:autoSpaceDE w:val="0"/>
      <w:autoSpaceDN w:val="0"/>
      <w:adjustRightInd w:val="0"/>
      <w:spacing w:before="120" w:after="120"/>
      <w:textAlignment w:val="baseline"/>
    </w:pPr>
    <w:rPr>
      <w:rFonts w:eastAsia="Times New Roman"/>
      <w:noProof/>
      <w:sz w:val="24"/>
      <w:lang w:eastAsia="en-US"/>
    </w:rPr>
  </w:style>
  <w:style w:type="character" w:customStyle="1" w:styleId="LI-SubtitleChar">
    <w:name w:val="LI - Subtitle Char"/>
    <w:link w:val="LI-Subtitle"/>
    <w:rsid w:val="00243EC0"/>
    <w:rPr>
      <w:b/>
      <w:sz w:val="28"/>
      <w:szCs w:val="28"/>
    </w:rPr>
  </w:style>
  <w:style w:type="paragraph" w:customStyle="1" w:styleId="ListB">
    <w:name w:val="ListB"/>
    <w:rsid w:val="00A94A69"/>
    <w:pPr>
      <w:overflowPunct w:val="0"/>
      <w:autoSpaceDE w:val="0"/>
      <w:autoSpaceDN w:val="0"/>
      <w:adjustRightInd w:val="0"/>
      <w:spacing w:before="120" w:after="120"/>
      <w:ind w:left="850" w:hanging="425"/>
      <w:textAlignment w:val="baseline"/>
    </w:pPr>
    <w:rPr>
      <w:rFonts w:eastAsia="Times New Roman"/>
      <w:sz w:val="24"/>
      <w:lang w:eastAsia="en-US"/>
    </w:rPr>
  </w:style>
  <w:style w:type="paragraph" w:customStyle="1" w:styleId="ListC">
    <w:name w:val="ListC"/>
    <w:rsid w:val="00A94A69"/>
    <w:pPr>
      <w:widowControl w:val="0"/>
      <w:autoSpaceDE w:val="0"/>
      <w:autoSpaceDN w:val="0"/>
      <w:adjustRightInd w:val="0"/>
      <w:spacing w:before="120" w:after="120"/>
      <w:ind w:left="1418" w:hanging="567"/>
    </w:pPr>
    <w:rPr>
      <w:rFonts w:eastAsia="Times New Roman"/>
      <w:sz w:val="24"/>
      <w:szCs w:val="24"/>
      <w:lang w:val="en-US" w:eastAsia="en-US"/>
    </w:rPr>
  </w:style>
  <w:style w:type="paragraph" w:customStyle="1" w:styleId="aSCHED">
    <w:name w:val="aSCHED"/>
    <w:rsid w:val="00C62CB5"/>
    <w:pPr>
      <w:keepNext/>
      <w:overflowPunct w:val="0"/>
      <w:autoSpaceDE w:val="0"/>
      <w:autoSpaceDN w:val="0"/>
      <w:adjustRightInd w:val="0"/>
      <w:spacing w:before="240" w:after="120"/>
      <w:jc w:val="center"/>
      <w:textAlignment w:val="baseline"/>
    </w:pPr>
    <w:rPr>
      <w:rFonts w:eastAsia="Times New Roman"/>
      <w:noProof/>
      <w:sz w:val="24"/>
      <w:lang w:eastAsia="en-US"/>
    </w:rPr>
  </w:style>
  <w:style w:type="paragraph" w:styleId="Revision">
    <w:name w:val="Revision"/>
    <w:hidden/>
    <w:uiPriority w:val="99"/>
    <w:semiHidden/>
    <w:rsid w:val="008F23A0"/>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60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legislation.gov.a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C Document" ma:contentTypeID="0x010100B5F685A1365F544391EF8C813B164F3A003FC3A1FB886AA841B1151906BEDCBCDF" ma:contentTypeVersion="26" ma:contentTypeDescription="" ma:contentTypeScope="" ma:versionID="2c50bc0ba5eb1e7d71b30fac59e76dca">
  <xsd:schema xmlns:xsd="http://www.w3.org/2001/XMLSchema" xmlns:xs="http://www.w3.org/2001/XMLSchema" xmlns:p="http://schemas.microsoft.com/office/2006/metadata/properties" xmlns:ns2="da7a9ac0-bc47-4684-84e6-3a8e9ac80c12" xmlns:ns3="6fdf923d-1605-456d-9034-49e4c2a6593d" xmlns:ns5="http://schemas.microsoft.com/sharepoint/v4" xmlns:ns6="17f478ab-373e-4295-9ff0-9b833ad01319" targetNamespace="http://schemas.microsoft.com/office/2006/metadata/properties" ma:root="true" ma:fieldsID="5d6006625e76890dfd6513a67b10bc85" ns2:_="" ns3:_="" ns5:_="" ns6:_="">
    <xsd:import namespace="da7a9ac0-bc47-4684-84e6-3a8e9ac80c12"/>
    <xsd:import namespace="6fdf923d-1605-456d-9034-49e4c2a6593d"/>
    <xsd:import namespace="http://schemas.microsoft.com/sharepoint/v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k274875fb6994245bc6e4e8c07243a23" minOccurs="0"/>
                <xsd:element ref="ns5:IconOverlay" minOccurs="0"/>
                <xsd:element ref="ns2:NotesLinks" minOccurs="0"/>
                <xsd:element ref="ns6:Reviewers" minOccurs="0"/>
                <xsd:element ref="ns6: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20"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f923d-1605-456d-9034-49e4c2a6593d"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a778175f-e3de-4e80-9ac7-d7a00e6f923a}" ma:internalName="TaxCatchAll" ma:showField="CatchAllData"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a778175f-e3de-4e80-9ac7-d7a00e6f923a}" ma:internalName="TaxCatchAllLabel" ma:readOnly="true" ma:showField="CatchAllDataLabel"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k274875fb6994245bc6e4e8c07243a23" ma:index="17" ma:taxonomy="true" ma:internalName="k274875fb6994245bc6e4e8c07243a23" ma:taxonomyFieldName="SecurityClassification" ma:displayName="Security Classification" ma:default="7;#Sensitive|19fd2cb8-3e97-4464-ae71-8c2c2095d028" ma:fieldId="{4274875f-b699-4245-bc6e-4e8c07243a23}"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1"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2"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cordNumber xmlns="da7a9ac0-bc47-4684-84e6-3a8e9ac80c12">R20160000048759</RecordNumber>
    <ObjectiveID xmlns="da7a9ac0-bc47-4684-84e6-3a8e9ac80c12" xsi:nil="true"/>
    <IconOverlay xmlns="http://schemas.microsoft.com/sharepoint/v4" xsi:nil="true"/>
    <TaxCatchAll xmlns="6fdf923d-1605-456d-9034-49e4c2a6593d">
      <Value>7</Value>
    </TaxCatchAll>
    <k274875fb6994245bc6e4e8c07243a23 xmlns="6fdf923d-1605-456d-9034-49e4c2a6593d">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k274875fb6994245bc6e4e8c07243a23>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DC506-E281-42D2-BDCC-969354C59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6fdf923d-1605-456d-9034-49e4c2a6593d"/>
    <ds:schemaRef ds:uri="http://schemas.microsoft.com/sharepoint/v4"/>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D93B7-BB2C-4637-90A5-0D2713B2B8A3}">
  <ds:schemaRefs>
    <ds:schemaRef ds:uri="http://schemas.microsoft.com/sharepoint/v3/contenttype/forms"/>
  </ds:schemaRefs>
</ds:datastoreItem>
</file>

<file path=customXml/itemProps3.xml><?xml version="1.0" encoding="utf-8"?>
<ds:datastoreItem xmlns:ds="http://schemas.openxmlformats.org/officeDocument/2006/customXml" ds:itemID="{8AA8C00E-5383-4E41-A4CE-04C52C39CD6B}">
  <ds:schemaRef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schemas.microsoft.com/sharepoint/v4"/>
    <ds:schemaRef ds:uri="da7a9ac0-bc47-4684-84e6-3a8e9ac80c12"/>
    <ds:schemaRef ds:uri="http://schemas.openxmlformats.org/package/2006/metadata/core-properties"/>
    <ds:schemaRef ds:uri="http://schemas.microsoft.com/office/infopath/2007/PartnerControls"/>
    <ds:schemaRef ds:uri="17f478ab-373e-4295-9ff0-9b833ad01319"/>
    <ds:schemaRef ds:uri="6fdf923d-1605-456d-9034-49e4c2a6593d"/>
    <ds:schemaRef ds:uri="http://purl.org/dc/terms/"/>
  </ds:schemaRefs>
</ds:datastoreItem>
</file>

<file path=customXml/itemProps4.xml><?xml version="1.0" encoding="utf-8"?>
<ds:datastoreItem xmlns:ds="http://schemas.openxmlformats.org/officeDocument/2006/customXml" ds:itemID="{4D0F060F-2E48-46E9-8E2C-342F160D7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17</Pages>
  <Words>3920</Words>
  <Characters>22348</Characters>
  <Application>Microsoft Office Word</Application>
  <DocSecurity>0</DocSecurity>
  <PresentationFormat/>
  <Lines>186</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2014-06-13T05:38:00Z</cp:lastPrinted>
  <dcterms:created xsi:type="dcterms:W3CDTF">2016-09-21T04:15:00Z</dcterms:created>
  <dcterms:modified xsi:type="dcterms:W3CDTF">2016-09-21T04:15:00Z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vt:lpwstr>
  </property>
  <property fmtid="{D5CDD505-2E9C-101B-9397-08002B2CF9AE}" pid="18" name="TrimID">
    <vt:lpwstr>PC:D14/8969</vt:lpwstr>
  </property>
  <property fmtid="{D5CDD505-2E9C-101B-9397-08002B2CF9AE}" pid="19" name="Objective-Id">
    <vt:lpwstr>A4620260</vt:lpwstr>
  </property>
  <property fmtid="{D5CDD505-2E9C-101B-9397-08002B2CF9AE}" pid="20" name="Objective-Title">
    <vt:lpwstr>ASIC Corporations (Serviced Apartments and Like Schemes) Instrument 2015-</vt:lpwstr>
  </property>
  <property fmtid="{D5CDD505-2E9C-101B-9397-08002B2CF9AE}" pid="21" name="Objective-Comment">
    <vt:lpwstr>
    </vt:lpwstr>
  </property>
  <property fmtid="{D5CDD505-2E9C-101B-9397-08002B2CF9AE}" pid="22" name="Objective-CreationStamp">
    <vt:filetime>2015-10-07T05:41:50Z</vt:filetime>
  </property>
  <property fmtid="{D5CDD505-2E9C-101B-9397-08002B2CF9AE}" pid="23" name="Objective-IsApproved">
    <vt:bool>false</vt:bool>
  </property>
  <property fmtid="{D5CDD505-2E9C-101B-9397-08002B2CF9AE}" pid="24" name="Objective-IsPublished">
    <vt:bool>true</vt:bool>
  </property>
  <property fmtid="{D5CDD505-2E9C-101B-9397-08002B2CF9AE}" pid="25" name="Objective-DatePublished">
    <vt:filetime>2016-01-22T17:16:24Z</vt:filetime>
  </property>
  <property fmtid="{D5CDD505-2E9C-101B-9397-08002B2CF9AE}" pid="26" name="Objective-ModificationStamp">
    <vt:filetime>2016-01-22T15:09:04Z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Instruments 2015:</vt:lpwstr>
  </property>
  <property fmtid="{D5CDD505-2E9C-101B-9397-08002B2CF9AE}" pid="29" name="Objective-Parent">
    <vt:lpwstr>Legislative Instruments 2015</vt:lpwstr>
  </property>
  <property fmtid="{D5CDD505-2E9C-101B-9397-08002B2CF9AE}" pid="30" name="Objective-State">
    <vt:lpwstr>Published</vt:lpwstr>
  </property>
  <property fmtid="{D5CDD505-2E9C-101B-9397-08002B2CF9AE}" pid="31" name="Objective-Version">
    <vt:lpwstr>1.0</vt:lpwstr>
  </property>
  <property fmtid="{D5CDD505-2E9C-101B-9397-08002B2CF9AE}" pid="32" name="Objective-VersionNumber">
    <vt:i4>15</vt:i4>
  </property>
  <property fmtid="{D5CDD505-2E9C-101B-9397-08002B2CF9AE}" pid="33" name="Objective-VersionComment">
    <vt:lpwstr>
    </vt:lpwstr>
  </property>
  <property fmtid="{D5CDD505-2E9C-101B-9397-08002B2CF9AE}" pid="34" name="Objective-FileNumber">
    <vt:lpwstr>
    </vt:lpwstr>
  </property>
  <property fmtid="{D5CDD505-2E9C-101B-9397-08002B2CF9AE}" pid="35" name="Objective-Classification">
    <vt:lpwstr>[Inherited - IN-CONFIDENCE]</vt:lpwstr>
  </property>
  <property fmtid="{D5CDD505-2E9C-101B-9397-08002B2CF9AE}" pid="36" name="Objective-Caveats">
    <vt:lpwstr>
    </vt:lpwstr>
  </property>
  <property fmtid="{D5CDD505-2E9C-101B-9397-08002B2CF9AE}" pid="37" name="Objective-Category [system]">
    <vt:lpwstr>
    </vt:lpwstr>
  </property>
  <property fmtid="{D5CDD505-2E9C-101B-9397-08002B2CF9AE}" pid="38" name="ContentTypeId">
    <vt:lpwstr>0x010100B5F685A1365F544391EF8C813B164F3A003FC3A1FB886AA841B1151906BEDCBCDF</vt:lpwstr>
  </property>
  <property fmtid="{D5CDD505-2E9C-101B-9397-08002B2CF9AE}" pid="39" name="SecurityClassification">
    <vt:lpwstr>7;#Sensitive|19fd2cb8-3e97-4464-ae71-8c2c2095d028</vt:lpwstr>
  </property>
  <property fmtid="{D5CDD505-2E9C-101B-9397-08002B2CF9AE}" pid="40" name="RecordPoint_WorkflowType">
    <vt:lpwstr>ActiveSubmitStub</vt:lpwstr>
  </property>
  <property fmtid="{D5CDD505-2E9C-101B-9397-08002B2CF9AE}" pid="41" name="RecordPoint_ActiveItemUniqueId">
    <vt:lpwstr>{672be911-a6aa-49ef-a5c9-bbe7bde10718}</vt:lpwstr>
  </property>
  <property fmtid="{D5CDD505-2E9C-101B-9397-08002B2CF9AE}" pid="42" name="RecordPoint_ActiveItemWebId">
    <vt:lpwstr>{6fdf923d-1605-456d-9034-49e4c2a6593d}</vt:lpwstr>
  </property>
  <property fmtid="{D5CDD505-2E9C-101B-9397-08002B2CF9AE}" pid="43" name="RecordPoint_ActiveItemSiteId">
    <vt:lpwstr>{fa96e6fb-4129-44b7-b105-10ec3844cb78}</vt:lpwstr>
  </property>
  <property fmtid="{D5CDD505-2E9C-101B-9397-08002B2CF9AE}" pid="44" name="RecordPoint_ActiveItemListId">
    <vt:lpwstr>{e8634c1b-1868-4a02-8de8-ef4b1316a551}</vt:lpwstr>
  </property>
  <property fmtid="{D5CDD505-2E9C-101B-9397-08002B2CF9AE}" pid="45" name="RecordPoint_RecordNumberSubmitted">
    <vt:lpwstr>R20160000048759</vt:lpwstr>
  </property>
  <property fmtid="{D5CDD505-2E9C-101B-9397-08002B2CF9AE}" pid="46" name="RecordPoint_SubmissionCompleted">
    <vt:lpwstr>2016-09-16T23:59:04.6139138+10:00</vt:lpwstr>
  </property>
</Properties>
</file>