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162C1" w14:textId="77777777" w:rsidR="001F520E" w:rsidRPr="000665CE" w:rsidRDefault="00FC2DEC" w:rsidP="00D954E8">
      <w:pPr>
        <w:rPr>
          <w:bCs/>
          <w:lang w:eastAsia="en-AU"/>
        </w:rPr>
      </w:pPr>
      <w:bookmarkStart w:id="0" w:name="_GoBack"/>
      <w:bookmarkEnd w:id="0"/>
      <w:r w:rsidRPr="000665CE">
        <w:rPr>
          <w:noProof/>
          <w:lang w:eastAsia="en-AU"/>
        </w:rPr>
        <w:drawing>
          <wp:inline distT="0" distB="0" distL="0" distR="0" wp14:anchorId="2636D0BA" wp14:editId="1FF23A93">
            <wp:extent cx="14097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09700" cy="1057275"/>
                    </a:xfrm>
                    <a:prstGeom prst="rect">
                      <a:avLst/>
                    </a:prstGeom>
                    <a:noFill/>
                    <a:ln w="9525">
                      <a:noFill/>
                      <a:miter lim="800000"/>
                      <a:headEnd/>
                      <a:tailEnd/>
                    </a:ln>
                  </pic:spPr>
                </pic:pic>
              </a:graphicData>
            </a:graphic>
          </wp:inline>
        </w:drawing>
      </w:r>
    </w:p>
    <w:p w14:paraId="75964EA4" w14:textId="77777777" w:rsidR="001F520E" w:rsidRPr="00F247D3" w:rsidRDefault="001F520E" w:rsidP="00F247D3"/>
    <w:p w14:paraId="2253E330" w14:textId="77777777" w:rsidR="001F520E" w:rsidRPr="000665CE" w:rsidRDefault="001F520E" w:rsidP="006C10FA">
      <w:pPr>
        <w:keepNext/>
        <w:spacing w:before="240" w:after="120"/>
        <w:jc w:val="both"/>
        <w:outlineLvl w:val="0"/>
        <w:rPr>
          <w:rFonts w:ascii="Times New Roman" w:eastAsia="Times New Roman" w:hAnsi="Times New Roman"/>
          <w:b/>
          <w:bCs/>
          <w:kern w:val="32"/>
          <w:sz w:val="40"/>
          <w:szCs w:val="40"/>
          <w:lang w:eastAsia="en-AU"/>
        </w:rPr>
      </w:pPr>
      <w:r w:rsidRPr="000665CE">
        <w:rPr>
          <w:rFonts w:ascii="Times New Roman" w:eastAsia="Times New Roman" w:hAnsi="Times New Roman"/>
          <w:b/>
          <w:bCs/>
          <w:kern w:val="32"/>
          <w:sz w:val="40"/>
          <w:szCs w:val="40"/>
          <w:lang w:eastAsia="en-AU"/>
        </w:rPr>
        <w:t>Regulation Impact Statement</w:t>
      </w:r>
    </w:p>
    <w:p w14:paraId="073F7ACA" w14:textId="77777777" w:rsidR="00E23D87" w:rsidRPr="000665CE" w:rsidRDefault="00E23D87" w:rsidP="006C10FA">
      <w:pPr>
        <w:pStyle w:val="Heading"/>
        <w:spacing w:after="120"/>
        <w:jc w:val="both"/>
        <w:rPr>
          <w:b/>
          <w:sz w:val="32"/>
          <w:szCs w:val="32"/>
        </w:rPr>
      </w:pPr>
    </w:p>
    <w:p w14:paraId="29563C66" w14:textId="77777777" w:rsidR="00E24C3F" w:rsidRPr="00513B54" w:rsidRDefault="00E347AE" w:rsidP="00F247D3">
      <w:pPr>
        <w:pStyle w:val="Heading2"/>
      </w:pPr>
      <w:r w:rsidRPr="00513B54">
        <w:t>Conglomerate supervision</w:t>
      </w:r>
      <w:r w:rsidR="003D2F04" w:rsidRPr="00513B54">
        <w:t xml:space="preserve"> (Level 3)</w:t>
      </w:r>
      <w:r w:rsidRPr="00513B54">
        <w:t xml:space="preserve"> framework</w:t>
      </w:r>
    </w:p>
    <w:p w14:paraId="6C57E48D" w14:textId="77777777" w:rsidR="00B853D0" w:rsidRPr="000665CE" w:rsidRDefault="00B853D0" w:rsidP="006C10FA">
      <w:pPr>
        <w:spacing w:after="120"/>
        <w:jc w:val="both"/>
        <w:rPr>
          <w:rFonts w:ascii="Times New Roman" w:hAnsi="Times New Roman"/>
          <w:b/>
          <w:sz w:val="24"/>
          <w:szCs w:val="24"/>
        </w:rPr>
      </w:pPr>
      <w:r w:rsidRPr="000665CE">
        <w:rPr>
          <w:rFonts w:ascii="Times New Roman" w:hAnsi="Times New Roman"/>
          <w:sz w:val="24"/>
          <w:szCs w:val="24"/>
        </w:rPr>
        <w:t>(OBPR ID: 2013/</w:t>
      </w:r>
      <w:r w:rsidR="00E1327F">
        <w:rPr>
          <w:rFonts w:ascii="Times New Roman" w:hAnsi="Times New Roman"/>
          <w:sz w:val="24"/>
          <w:szCs w:val="24"/>
        </w:rPr>
        <w:t>15337</w:t>
      </w:r>
      <w:r w:rsidRPr="000665CE">
        <w:rPr>
          <w:rFonts w:ascii="Times New Roman" w:hAnsi="Times New Roman"/>
          <w:sz w:val="24"/>
          <w:szCs w:val="24"/>
        </w:rPr>
        <w:t>)</w:t>
      </w:r>
    </w:p>
    <w:p w14:paraId="02E7EAB7" w14:textId="77777777" w:rsidR="001E646A" w:rsidRPr="000665CE" w:rsidRDefault="001E646A" w:rsidP="00861103">
      <w:pPr>
        <w:spacing w:after="240"/>
        <w:jc w:val="both"/>
        <w:rPr>
          <w:rFonts w:ascii="Times New Roman" w:hAnsi="Times New Roman"/>
          <w:sz w:val="24"/>
          <w:szCs w:val="24"/>
        </w:rPr>
      </w:pPr>
    </w:p>
    <w:p w14:paraId="16241AC4" w14:textId="77777777" w:rsidR="001E646A" w:rsidRPr="00513B54" w:rsidRDefault="001E646A" w:rsidP="00F247D3">
      <w:pPr>
        <w:pStyle w:val="Heading3"/>
      </w:pPr>
      <w:r w:rsidRPr="00513B54">
        <w:t>Background</w:t>
      </w:r>
    </w:p>
    <w:p w14:paraId="02239219" w14:textId="77777777" w:rsidR="008C3AF7" w:rsidRPr="000665CE" w:rsidRDefault="00F10436" w:rsidP="006C10FA">
      <w:pPr>
        <w:spacing w:after="240"/>
        <w:jc w:val="both"/>
        <w:rPr>
          <w:rFonts w:ascii="Times New Roman" w:hAnsi="Times New Roman"/>
          <w:sz w:val="24"/>
        </w:rPr>
      </w:pPr>
      <w:r w:rsidRPr="000665CE">
        <w:rPr>
          <w:rFonts w:ascii="Times New Roman" w:hAnsi="Times New Roman"/>
          <w:sz w:val="24"/>
        </w:rPr>
        <w:t xml:space="preserve">This Regulation Impact Statement (RIS) </w:t>
      </w:r>
      <w:bookmarkStart w:id="1" w:name="OLE_LINK2"/>
      <w:r w:rsidRPr="000665CE">
        <w:rPr>
          <w:rFonts w:ascii="Times New Roman" w:hAnsi="Times New Roman"/>
          <w:sz w:val="24"/>
        </w:rPr>
        <w:t>addresses</w:t>
      </w:r>
      <w:bookmarkEnd w:id="1"/>
      <w:r w:rsidRPr="000665CE">
        <w:rPr>
          <w:rFonts w:ascii="Times New Roman" w:hAnsi="Times New Roman"/>
          <w:sz w:val="24"/>
        </w:rPr>
        <w:t xml:space="preserve"> the Australian Prudential Regulation Authority’s (APRA’s) propos</w:t>
      </w:r>
      <w:r w:rsidR="008C3AF7" w:rsidRPr="000665CE">
        <w:rPr>
          <w:rFonts w:ascii="Times New Roman" w:hAnsi="Times New Roman"/>
          <w:sz w:val="24"/>
        </w:rPr>
        <w:t xml:space="preserve">al to introduce a </w:t>
      </w:r>
      <w:r w:rsidR="00E347AE" w:rsidRPr="000665CE">
        <w:rPr>
          <w:rFonts w:ascii="Times New Roman" w:hAnsi="Times New Roman"/>
          <w:sz w:val="24"/>
        </w:rPr>
        <w:t>conglomerate supervision framework (Level 3 framework) that would apply to APRA-defined conglomerate groups.</w:t>
      </w:r>
    </w:p>
    <w:p w14:paraId="29A878BD" w14:textId="3B89473B" w:rsidR="00583B7C" w:rsidRDefault="006916E5" w:rsidP="006C10FA">
      <w:pPr>
        <w:autoSpaceDE w:val="0"/>
        <w:autoSpaceDN w:val="0"/>
        <w:adjustRightInd w:val="0"/>
        <w:spacing w:after="240"/>
        <w:jc w:val="both"/>
        <w:rPr>
          <w:rFonts w:ascii="Times New Roman" w:hAnsi="Times New Roman"/>
          <w:sz w:val="24"/>
          <w:szCs w:val="24"/>
        </w:rPr>
      </w:pPr>
      <w:r w:rsidRPr="000665CE">
        <w:rPr>
          <w:rFonts w:ascii="Times New Roman" w:hAnsi="Times New Roman"/>
          <w:sz w:val="24"/>
          <w:szCs w:val="24"/>
        </w:rPr>
        <w:t xml:space="preserve">APRA’s mandate is to ensure the safety and soundness of prudentially regulated financial institutions so that they can </w:t>
      </w:r>
      <w:r w:rsidR="00833A4B" w:rsidRPr="000665CE">
        <w:rPr>
          <w:rFonts w:ascii="Times New Roman" w:hAnsi="Times New Roman"/>
          <w:sz w:val="24"/>
          <w:szCs w:val="24"/>
        </w:rPr>
        <w:t>in all reasonable circumstances</w:t>
      </w:r>
      <w:r w:rsidR="006731DA" w:rsidRPr="000665CE">
        <w:rPr>
          <w:rFonts w:ascii="Times New Roman" w:hAnsi="Times New Roman"/>
          <w:sz w:val="24"/>
          <w:szCs w:val="24"/>
        </w:rPr>
        <w:t xml:space="preserve"> meet</w:t>
      </w:r>
      <w:r w:rsidR="00833A4B" w:rsidRPr="000665CE">
        <w:rPr>
          <w:rFonts w:ascii="Times New Roman" w:hAnsi="Times New Roman"/>
          <w:sz w:val="24"/>
          <w:szCs w:val="24"/>
        </w:rPr>
        <w:t xml:space="preserve"> </w:t>
      </w:r>
      <w:r w:rsidRPr="000665CE">
        <w:rPr>
          <w:rFonts w:ascii="Times New Roman" w:hAnsi="Times New Roman"/>
          <w:sz w:val="24"/>
          <w:szCs w:val="24"/>
        </w:rPr>
        <w:t xml:space="preserve">their financial promises to depositors, policyholders and </w:t>
      </w:r>
      <w:r w:rsidR="000A1877" w:rsidRPr="000665CE">
        <w:rPr>
          <w:rFonts w:ascii="Times New Roman" w:hAnsi="Times New Roman"/>
          <w:sz w:val="24"/>
          <w:szCs w:val="24"/>
        </w:rPr>
        <w:t xml:space="preserve">superannuation </w:t>
      </w:r>
      <w:r w:rsidRPr="000665CE">
        <w:rPr>
          <w:rFonts w:ascii="Times New Roman" w:hAnsi="Times New Roman"/>
          <w:sz w:val="24"/>
          <w:szCs w:val="24"/>
        </w:rPr>
        <w:t>fun</w:t>
      </w:r>
      <w:r w:rsidR="004413E1" w:rsidRPr="000665CE">
        <w:rPr>
          <w:rFonts w:ascii="Times New Roman" w:hAnsi="Times New Roman"/>
          <w:sz w:val="24"/>
          <w:szCs w:val="24"/>
        </w:rPr>
        <w:t>d</w:t>
      </w:r>
      <w:r w:rsidRPr="000665CE">
        <w:rPr>
          <w:rFonts w:ascii="Times New Roman" w:hAnsi="Times New Roman"/>
          <w:sz w:val="24"/>
          <w:szCs w:val="24"/>
        </w:rPr>
        <w:t xml:space="preserve"> members within a stable, efficient and competitive financial system.</w:t>
      </w:r>
      <w:r w:rsidR="00530FC1">
        <w:rPr>
          <w:rFonts w:ascii="Times New Roman" w:hAnsi="Times New Roman"/>
          <w:sz w:val="24"/>
          <w:szCs w:val="24"/>
        </w:rPr>
        <w:t xml:space="preserve"> APRA’s mandate is also to promote financial system stability in Australia.</w:t>
      </w:r>
      <w:r w:rsidRPr="000665CE">
        <w:rPr>
          <w:rFonts w:ascii="Times New Roman" w:hAnsi="Times New Roman"/>
          <w:sz w:val="24"/>
          <w:szCs w:val="24"/>
        </w:rPr>
        <w:t xml:space="preserve"> APRA carries out this mandate through a multi-layered prudential framework that encompasses licensing and supervision of </w:t>
      </w:r>
      <w:r w:rsidR="00583B7C">
        <w:rPr>
          <w:rFonts w:ascii="Times New Roman" w:hAnsi="Times New Roman"/>
          <w:sz w:val="24"/>
          <w:szCs w:val="24"/>
        </w:rPr>
        <w:t xml:space="preserve">the </w:t>
      </w:r>
      <w:r w:rsidRPr="000665CE">
        <w:rPr>
          <w:rFonts w:ascii="Times New Roman" w:hAnsi="Times New Roman"/>
          <w:sz w:val="24"/>
          <w:szCs w:val="24"/>
        </w:rPr>
        <w:t>institutions</w:t>
      </w:r>
      <w:r w:rsidR="00583B7C">
        <w:rPr>
          <w:rFonts w:ascii="Times New Roman" w:hAnsi="Times New Roman"/>
          <w:sz w:val="24"/>
          <w:szCs w:val="24"/>
        </w:rPr>
        <w:t xml:space="preserve"> it regulates (APRA-regulated institutions)</w:t>
      </w:r>
      <w:r w:rsidRPr="000665CE">
        <w:rPr>
          <w:rFonts w:ascii="Times New Roman" w:hAnsi="Times New Roman"/>
          <w:sz w:val="24"/>
          <w:szCs w:val="24"/>
        </w:rPr>
        <w:t xml:space="preserve">. </w:t>
      </w:r>
    </w:p>
    <w:p w14:paraId="3F2CB238" w14:textId="6DF267B9" w:rsidR="008C3AF7" w:rsidRPr="000665CE" w:rsidRDefault="006916E5" w:rsidP="006C10FA">
      <w:pPr>
        <w:autoSpaceDE w:val="0"/>
        <w:autoSpaceDN w:val="0"/>
        <w:adjustRightInd w:val="0"/>
        <w:spacing w:after="240"/>
        <w:jc w:val="both"/>
        <w:rPr>
          <w:rFonts w:ascii="Times New Roman" w:hAnsi="Times New Roman"/>
          <w:b/>
          <w:sz w:val="24"/>
          <w:szCs w:val="24"/>
        </w:rPr>
      </w:pPr>
      <w:r w:rsidRPr="000665CE">
        <w:rPr>
          <w:rFonts w:ascii="Times New Roman" w:hAnsi="Times New Roman"/>
          <w:sz w:val="24"/>
          <w:szCs w:val="24"/>
        </w:rPr>
        <w:t xml:space="preserve">APRA is empowered to issue legally binding prudential standards that set out specific requirements with which </w:t>
      </w:r>
      <w:r w:rsidR="00583B7C">
        <w:rPr>
          <w:rFonts w:ascii="Times New Roman" w:hAnsi="Times New Roman"/>
          <w:sz w:val="24"/>
          <w:szCs w:val="24"/>
        </w:rPr>
        <w:t xml:space="preserve">APRA-regulated institutions — </w:t>
      </w:r>
      <w:r w:rsidR="0017476F" w:rsidRPr="000665CE">
        <w:rPr>
          <w:rFonts w:ascii="Times New Roman" w:hAnsi="Times New Roman"/>
          <w:sz w:val="24"/>
          <w:szCs w:val="24"/>
        </w:rPr>
        <w:t>authori</w:t>
      </w:r>
      <w:r w:rsidR="000665CE">
        <w:rPr>
          <w:rFonts w:ascii="Times New Roman" w:hAnsi="Times New Roman"/>
          <w:sz w:val="24"/>
          <w:szCs w:val="24"/>
        </w:rPr>
        <w:t>s</w:t>
      </w:r>
      <w:r w:rsidR="0017476F" w:rsidRPr="000665CE">
        <w:rPr>
          <w:rFonts w:ascii="Times New Roman" w:hAnsi="Times New Roman"/>
          <w:sz w:val="24"/>
          <w:szCs w:val="24"/>
        </w:rPr>
        <w:t>ed deposit-taking institutions (</w:t>
      </w:r>
      <w:r w:rsidRPr="000665CE">
        <w:rPr>
          <w:rFonts w:ascii="Times New Roman" w:hAnsi="Times New Roman"/>
          <w:sz w:val="24"/>
          <w:szCs w:val="24"/>
        </w:rPr>
        <w:t>ADIs</w:t>
      </w:r>
      <w:r w:rsidR="0017476F" w:rsidRPr="000665CE">
        <w:rPr>
          <w:rFonts w:ascii="Times New Roman" w:hAnsi="Times New Roman"/>
          <w:sz w:val="24"/>
          <w:szCs w:val="24"/>
        </w:rPr>
        <w:t>)</w:t>
      </w:r>
      <w:r w:rsidR="00034CE2" w:rsidRPr="000665CE">
        <w:rPr>
          <w:rFonts w:ascii="Times New Roman" w:hAnsi="Times New Roman"/>
          <w:sz w:val="24"/>
          <w:szCs w:val="24"/>
        </w:rPr>
        <w:t>, general insurers and life companies</w:t>
      </w:r>
      <w:r w:rsidRPr="000665CE">
        <w:rPr>
          <w:rFonts w:ascii="Times New Roman" w:hAnsi="Times New Roman"/>
          <w:sz w:val="24"/>
          <w:szCs w:val="24"/>
        </w:rPr>
        <w:t xml:space="preserve"> </w:t>
      </w:r>
      <w:r w:rsidR="00034CE2" w:rsidRPr="000665CE">
        <w:rPr>
          <w:rFonts w:ascii="Times New Roman" w:hAnsi="Times New Roman"/>
          <w:sz w:val="24"/>
          <w:szCs w:val="24"/>
        </w:rPr>
        <w:t>(</w:t>
      </w:r>
      <w:r w:rsidR="000E78A1">
        <w:rPr>
          <w:rFonts w:ascii="Times New Roman" w:hAnsi="Times New Roman"/>
          <w:sz w:val="24"/>
          <w:szCs w:val="24"/>
        </w:rPr>
        <w:t>collectively,</w:t>
      </w:r>
      <w:r w:rsidR="00034CE2" w:rsidRPr="000665CE">
        <w:rPr>
          <w:rFonts w:ascii="Times New Roman" w:hAnsi="Times New Roman"/>
          <w:sz w:val="24"/>
          <w:szCs w:val="24"/>
        </w:rPr>
        <w:t xml:space="preserve"> </w:t>
      </w:r>
      <w:r w:rsidR="00892586" w:rsidRPr="000665CE">
        <w:rPr>
          <w:rFonts w:ascii="Times New Roman" w:hAnsi="Times New Roman"/>
          <w:sz w:val="24"/>
          <w:szCs w:val="24"/>
        </w:rPr>
        <w:t>insurers</w:t>
      </w:r>
      <w:r w:rsidR="00034CE2" w:rsidRPr="000665CE">
        <w:rPr>
          <w:rFonts w:ascii="Times New Roman" w:hAnsi="Times New Roman"/>
          <w:sz w:val="24"/>
          <w:szCs w:val="24"/>
        </w:rPr>
        <w:t>)</w:t>
      </w:r>
      <w:r w:rsidR="002D73B6">
        <w:rPr>
          <w:rFonts w:ascii="Times New Roman" w:hAnsi="Times New Roman"/>
          <w:sz w:val="24"/>
          <w:szCs w:val="24"/>
        </w:rPr>
        <w:t xml:space="preserve"> and registrable superannuation entity licensees (RSE licensees)</w:t>
      </w:r>
      <w:r w:rsidR="00583B7C">
        <w:rPr>
          <w:rFonts w:ascii="Times New Roman" w:hAnsi="Times New Roman"/>
          <w:sz w:val="24"/>
          <w:szCs w:val="24"/>
        </w:rPr>
        <w:t xml:space="preserve"> —</w:t>
      </w:r>
      <w:r w:rsidR="00034CE2" w:rsidRPr="000665CE">
        <w:rPr>
          <w:rFonts w:ascii="Times New Roman" w:hAnsi="Times New Roman"/>
          <w:sz w:val="24"/>
          <w:szCs w:val="24"/>
        </w:rPr>
        <w:t xml:space="preserve"> </w:t>
      </w:r>
      <w:r w:rsidRPr="000665CE">
        <w:rPr>
          <w:rFonts w:ascii="Times New Roman" w:hAnsi="Times New Roman"/>
          <w:sz w:val="24"/>
          <w:szCs w:val="24"/>
        </w:rPr>
        <w:t>must comply</w:t>
      </w:r>
      <w:r w:rsidR="00E10B08" w:rsidRPr="00123EF1">
        <w:rPr>
          <w:rStyle w:val="StyleFootnoteReference12pt"/>
        </w:rPr>
        <w:footnoteReference w:id="2"/>
      </w:r>
      <w:r w:rsidRPr="000665CE">
        <w:rPr>
          <w:rFonts w:ascii="Times New Roman" w:hAnsi="Times New Roman"/>
          <w:sz w:val="24"/>
          <w:szCs w:val="24"/>
        </w:rPr>
        <w:t xml:space="preserve">. </w:t>
      </w:r>
      <w:r w:rsidR="00D313A8" w:rsidRPr="000665CE">
        <w:rPr>
          <w:rFonts w:ascii="Times New Roman" w:hAnsi="Times New Roman"/>
          <w:sz w:val="24"/>
          <w:szCs w:val="24"/>
        </w:rPr>
        <w:t xml:space="preserve">APRA </w:t>
      </w:r>
      <w:r w:rsidR="008F1C59" w:rsidRPr="000665CE">
        <w:rPr>
          <w:rFonts w:ascii="Times New Roman" w:hAnsi="Times New Roman"/>
          <w:sz w:val="24"/>
          <w:szCs w:val="24"/>
        </w:rPr>
        <w:t>also</w:t>
      </w:r>
      <w:r w:rsidR="00D313A8" w:rsidRPr="000665CE">
        <w:rPr>
          <w:rFonts w:ascii="Times New Roman" w:hAnsi="Times New Roman"/>
          <w:sz w:val="24"/>
          <w:szCs w:val="24"/>
        </w:rPr>
        <w:t xml:space="preserve"> publishes</w:t>
      </w:r>
      <w:r w:rsidRPr="000665CE">
        <w:rPr>
          <w:rFonts w:ascii="Times New Roman" w:hAnsi="Times New Roman"/>
          <w:sz w:val="24"/>
          <w:szCs w:val="24"/>
        </w:rPr>
        <w:t xml:space="preserve"> prudential practice guides (PPGs), which clarify APRA’s expectations with regard to prudential </w:t>
      </w:r>
      <w:r w:rsidR="00487EF0" w:rsidRPr="000665CE">
        <w:rPr>
          <w:rFonts w:ascii="Times New Roman" w:hAnsi="Times New Roman"/>
          <w:sz w:val="24"/>
          <w:szCs w:val="24"/>
        </w:rPr>
        <w:t>matter</w:t>
      </w:r>
      <w:r w:rsidR="00361F04" w:rsidRPr="000665CE">
        <w:rPr>
          <w:rFonts w:ascii="Times New Roman" w:hAnsi="Times New Roman"/>
          <w:sz w:val="24"/>
          <w:szCs w:val="24"/>
        </w:rPr>
        <w:t>s</w:t>
      </w:r>
      <w:r w:rsidRPr="000665CE">
        <w:rPr>
          <w:rFonts w:ascii="Times New Roman" w:hAnsi="Times New Roman"/>
          <w:sz w:val="24"/>
          <w:szCs w:val="24"/>
        </w:rPr>
        <w:t>.</w:t>
      </w:r>
      <w:r w:rsidR="000665CE" w:rsidRPr="000665CE">
        <w:t xml:space="preserve"> </w:t>
      </w:r>
      <w:r w:rsidR="000665CE" w:rsidRPr="000665CE">
        <w:rPr>
          <w:rFonts w:ascii="Times New Roman" w:hAnsi="Times New Roman"/>
          <w:sz w:val="24"/>
          <w:szCs w:val="24"/>
        </w:rPr>
        <w:t>PPGs frequently discuss legal requirements from legislation, regulations or APRA’s prudential standards, but do not themselves create enforceable requirements</w:t>
      </w:r>
      <w:r w:rsidR="000665CE">
        <w:rPr>
          <w:rFonts w:ascii="Times New Roman" w:hAnsi="Times New Roman"/>
          <w:sz w:val="24"/>
          <w:szCs w:val="24"/>
        </w:rPr>
        <w:t>.</w:t>
      </w:r>
    </w:p>
    <w:p w14:paraId="30BDEABB" w14:textId="09EF4378" w:rsidR="001411CF" w:rsidRPr="00513B54" w:rsidRDefault="0017476F" w:rsidP="001A1666">
      <w:pPr>
        <w:spacing w:after="240"/>
        <w:jc w:val="both"/>
      </w:pPr>
      <w:r w:rsidRPr="000665CE">
        <w:rPr>
          <w:rFonts w:ascii="Times New Roman" w:hAnsi="Times New Roman"/>
          <w:sz w:val="24"/>
          <w:szCs w:val="24"/>
        </w:rPr>
        <w:t>APRA</w:t>
      </w:r>
      <w:r w:rsidR="00CF231D" w:rsidRPr="000665CE">
        <w:rPr>
          <w:rFonts w:ascii="Times New Roman" w:hAnsi="Times New Roman"/>
          <w:sz w:val="24"/>
          <w:szCs w:val="24"/>
        </w:rPr>
        <w:t xml:space="preserve"> currently</w:t>
      </w:r>
      <w:r w:rsidRPr="000665CE">
        <w:rPr>
          <w:rFonts w:ascii="Times New Roman" w:hAnsi="Times New Roman"/>
          <w:sz w:val="24"/>
          <w:szCs w:val="24"/>
        </w:rPr>
        <w:t xml:space="preserve"> supervises </w:t>
      </w:r>
      <w:r w:rsidR="00657251">
        <w:rPr>
          <w:rFonts w:ascii="Times New Roman" w:hAnsi="Times New Roman"/>
          <w:sz w:val="24"/>
          <w:szCs w:val="24"/>
        </w:rPr>
        <w:t>ADIs, insurers</w:t>
      </w:r>
      <w:r w:rsidR="00E10B08">
        <w:rPr>
          <w:rFonts w:ascii="Times New Roman" w:hAnsi="Times New Roman"/>
          <w:sz w:val="24"/>
          <w:szCs w:val="24"/>
        </w:rPr>
        <w:t xml:space="preserve"> and </w:t>
      </w:r>
      <w:r w:rsidR="002D73B6">
        <w:rPr>
          <w:rFonts w:ascii="Times New Roman" w:hAnsi="Times New Roman"/>
          <w:sz w:val="24"/>
          <w:szCs w:val="24"/>
        </w:rPr>
        <w:t xml:space="preserve">RSE licensees </w:t>
      </w:r>
      <w:r w:rsidR="00657251">
        <w:rPr>
          <w:rFonts w:ascii="Times New Roman" w:hAnsi="Times New Roman"/>
          <w:sz w:val="24"/>
          <w:szCs w:val="24"/>
        </w:rPr>
        <w:t>on a ‘Level 1’ stand</w:t>
      </w:r>
      <w:r w:rsidR="00583B7C">
        <w:rPr>
          <w:rFonts w:ascii="Times New Roman" w:hAnsi="Times New Roman"/>
          <w:sz w:val="24"/>
          <w:szCs w:val="24"/>
        </w:rPr>
        <w:t>-</w:t>
      </w:r>
      <w:r w:rsidR="00657251">
        <w:rPr>
          <w:rFonts w:ascii="Times New Roman" w:hAnsi="Times New Roman"/>
          <w:sz w:val="24"/>
          <w:szCs w:val="24"/>
        </w:rPr>
        <w:t xml:space="preserve">alone basis. </w:t>
      </w:r>
      <w:r w:rsidR="00583B7C">
        <w:rPr>
          <w:rFonts w:ascii="Times New Roman" w:hAnsi="Times New Roman"/>
          <w:sz w:val="24"/>
          <w:szCs w:val="24"/>
        </w:rPr>
        <w:t>It also supervises</w:t>
      </w:r>
      <w:r w:rsidR="00657251">
        <w:rPr>
          <w:rFonts w:ascii="Times New Roman" w:hAnsi="Times New Roman"/>
          <w:sz w:val="24"/>
          <w:szCs w:val="24"/>
        </w:rPr>
        <w:t xml:space="preserve"> a group of related ADIs or a group of related general insurers on a ‘Level 2’ basis</w:t>
      </w:r>
      <w:r w:rsidR="000E78A1">
        <w:rPr>
          <w:rFonts w:ascii="Times New Roman" w:hAnsi="Times New Roman"/>
          <w:sz w:val="24"/>
          <w:szCs w:val="24"/>
        </w:rPr>
        <w:t>.</w:t>
      </w:r>
      <w:r w:rsidR="00246984">
        <w:rPr>
          <w:rStyle w:val="FootnoteReference"/>
        </w:rPr>
        <w:footnoteReference w:id="3"/>
      </w:r>
    </w:p>
    <w:p w14:paraId="2A27236A" w14:textId="1EEDC024" w:rsidR="00D844E3" w:rsidRDefault="003807FB" w:rsidP="00AD655E">
      <w:pPr>
        <w:spacing w:after="240"/>
        <w:jc w:val="both"/>
        <w:rPr>
          <w:rFonts w:ascii="Times New Roman" w:hAnsi="Times New Roman"/>
          <w:sz w:val="24"/>
          <w:szCs w:val="24"/>
        </w:rPr>
      </w:pPr>
      <w:r>
        <w:rPr>
          <w:rFonts w:ascii="Times New Roman" w:hAnsi="Times New Roman"/>
          <w:sz w:val="24"/>
          <w:szCs w:val="24"/>
        </w:rPr>
        <w:lastRenderedPageBreak/>
        <w:t xml:space="preserve">APRA now </w:t>
      </w:r>
      <w:r w:rsidR="00C9108E">
        <w:rPr>
          <w:rFonts w:ascii="Times New Roman" w:hAnsi="Times New Roman"/>
          <w:sz w:val="24"/>
          <w:szCs w:val="24"/>
        </w:rPr>
        <w:t xml:space="preserve">proposes </w:t>
      </w:r>
      <w:r w:rsidR="00F17525">
        <w:rPr>
          <w:rFonts w:ascii="Times New Roman" w:hAnsi="Times New Roman"/>
          <w:sz w:val="24"/>
          <w:szCs w:val="24"/>
        </w:rPr>
        <w:t xml:space="preserve">to implement </w:t>
      </w:r>
      <w:r>
        <w:rPr>
          <w:rFonts w:ascii="Times New Roman" w:hAnsi="Times New Roman"/>
          <w:sz w:val="24"/>
          <w:szCs w:val="24"/>
        </w:rPr>
        <w:t xml:space="preserve">a conglomerate supervision framework </w:t>
      </w:r>
      <w:r w:rsidR="00C9108E">
        <w:rPr>
          <w:rFonts w:ascii="Times New Roman" w:hAnsi="Times New Roman"/>
          <w:sz w:val="24"/>
          <w:szCs w:val="24"/>
        </w:rPr>
        <w:t xml:space="preserve">that will </w:t>
      </w:r>
      <w:r w:rsidR="00D844E3">
        <w:rPr>
          <w:rFonts w:ascii="Times New Roman" w:hAnsi="Times New Roman"/>
          <w:sz w:val="24"/>
          <w:szCs w:val="24"/>
        </w:rPr>
        <w:t>enable supervision to be undertaken on a whole</w:t>
      </w:r>
      <w:r w:rsidR="00E10B08">
        <w:rPr>
          <w:rFonts w:ascii="Times New Roman" w:hAnsi="Times New Roman"/>
          <w:sz w:val="24"/>
          <w:szCs w:val="24"/>
        </w:rPr>
        <w:t>-</w:t>
      </w:r>
      <w:r w:rsidR="00D844E3">
        <w:rPr>
          <w:rFonts w:ascii="Times New Roman" w:hAnsi="Times New Roman"/>
          <w:sz w:val="24"/>
          <w:szCs w:val="24"/>
        </w:rPr>
        <w:t>of</w:t>
      </w:r>
      <w:r w:rsidR="00E10B08">
        <w:rPr>
          <w:rFonts w:ascii="Times New Roman" w:hAnsi="Times New Roman"/>
          <w:sz w:val="24"/>
          <w:szCs w:val="24"/>
        </w:rPr>
        <w:t>-</w:t>
      </w:r>
      <w:r w:rsidR="00D844E3">
        <w:rPr>
          <w:rFonts w:ascii="Times New Roman" w:hAnsi="Times New Roman"/>
          <w:sz w:val="24"/>
          <w:szCs w:val="24"/>
        </w:rPr>
        <w:t xml:space="preserve">group </w:t>
      </w:r>
      <w:r w:rsidR="000E78A1">
        <w:rPr>
          <w:rFonts w:ascii="Times New Roman" w:hAnsi="Times New Roman"/>
          <w:sz w:val="24"/>
          <w:szCs w:val="24"/>
        </w:rPr>
        <w:t>‘</w:t>
      </w:r>
      <w:r w:rsidR="00D844E3">
        <w:rPr>
          <w:rFonts w:ascii="Times New Roman" w:hAnsi="Times New Roman"/>
          <w:sz w:val="24"/>
          <w:szCs w:val="24"/>
        </w:rPr>
        <w:t>Level 3</w:t>
      </w:r>
      <w:r w:rsidR="000E78A1">
        <w:rPr>
          <w:rFonts w:ascii="Times New Roman" w:hAnsi="Times New Roman"/>
          <w:sz w:val="24"/>
          <w:szCs w:val="24"/>
        </w:rPr>
        <w:t>’</w:t>
      </w:r>
      <w:r w:rsidR="00D844E3">
        <w:rPr>
          <w:rFonts w:ascii="Times New Roman" w:hAnsi="Times New Roman"/>
          <w:sz w:val="24"/>
          <w:szCs w:val="24"/>
        </w:rPr>
        <w:t xml:space="preserve"> basis</w:t>
      </w:r>
      <w:r w:rsidR="000E78A1">
        <w:rPr>
          <w:rFonts w:ascii="Times New Roman" w:hAnsi="Times New Roman"/>
          <w:sz w:val="24"/>
          <w:szCs w:val="24"/>
        </w:rPr>
        <w:t xml:space="preserve"> that will largely be based on</w:t>
      </w:r>
      <w:r w:rsidR="00BC2B11">
        <w:rPr>
          <w:rFonts w:ascii="Times New Roman" w:hAnsi="Times New Roman"/>
          <w:sz w:val="24"/>
          <w:szCs w:val="24"/>
        </w:rPr>
        <w:t xml:space="preserve"> its current Level 1 and Level 2 prudential requirements.</w:t>
      </w:r>
    </w:p>
    <w:p w14:paraId="3A866C1E" w14:textId="77777777" w:rsidR="00D87AB6" w:rsidRPr="00513B54" w:rsidRDefault="00440916" w:rsidP="00513B54">
      <w:pPr>
        <w:pStyle w:val="Heading3"/>
      </w:pPr>
      <w:r w:rsidRPr="00513B54">
        <w:t>Problem</w:t>
      </w:r>
    </w:p>
    <w:p w14:paraId="51EE8B7C" w14:textId="2FDE8F31" w:rsidR="00FB1D41" w:rsidRDefault="00F17525" w:rsidP="00861103">
      <w:pPr>
        <w:spacing w:after="240"/>
        <w:jc w:val="both"/>
        <w:rPr>
          <w:rFonts w:ascii="Times New Roman" w:hAnsi="Times New Roman"/>
          <w:sz w:val="24"/>
          <w:szCs w:val="24"/>
        </w:rPr>
      </w:pPr>
      <w:r>
        <w:rPr>
          <w:rFonts w:ascii="Times New Roman" w:hAnsi="Times New Roman"/>
          <w:sz w:val="24"/>
          <w:szCs w:val="24"/>
        </w:rPr>
        <w:t>S</w:t>
      </w:r>
      <w:r w:rsidRPr="000665CE">
        <w:rPr>
          <w:rFonts w:ascii="Times New Roman" w:hAnsi="Times New Roman"/>
          <w:sz w:val="24"/>
          <w:szCs w:val="24"/>
        </w:rPr>
        <w:t xml:space="preserve">ince its establishment </w:t>
      </w:r>
      <w:r w:rsidR="00861103" w:rsidRPr="000665CE">
        <w:rPr>
          <w:rFonts w:ascii="Times New Roman" w:hAnsi="Times New Roman"/>
          <w:sz w:val="24"/>
          <w:szCs w:val="24"/>
        </w:rPr>
        <w:t xml:space="preserve">APRA has been conscious of the need to understand and assess the financial and operational aspects of conglomerate groups, as well as the individual APRA-regulated institutions within them. APRA is already supervising banking and general insurance groups on a group basis. </w:t>
      </w:r>
      <w:r w:rsidR="0094615C">
        <w:rPr>
          <w:rFonts w:ascii="Times New Roman" w:hAnsi="Times New Roman"/>
          <w:sz w:val="24"/>
          <w:szCs w:val="24"/>
        </w:rPr>
        <w:t xml:space="preserve">This supervision is, however, strictly limited to the banking or general insurance sub-group and ignores group members active in other APRA-regulated </w:t>
      </w:r>
      <w:r w:rsidR="00652756">
        <w:rPr>
          <w:rFonts w:ascii="Times New Roman" w:hAnsi="Times New Roman"/>
          <w:sz w:val="24"/>
          <w:szCs w:val="24"/>
        </w:rPr>
        <w:t>or</w:t>
      </w:r>
      <w:r w:rsidR="0094615C">
        <w:rPr>
          <w:rFonts w:ascii="Times New Roman" w:hAnsi="Times New Roman"/>
          <w:sz w:val="24"/>
          <w:szCs w:val="24"/>
        </w:rPr>
        <w:t xml:space="preserve"> non-APRA-regulated industries. </w:t>
      </w:r>
      <w:r w:rsidR="00861103" w:rsidRPr="000665CE">
        <w:rPr>
          <w:rFonts w:ascii="Times New Roman" w:hAnsi="Times New Roman"/>
          <w:sz w:val="24"/>
          <w:szCs w:val="24"/>
        </w:rPr>
        <w:t xml:space="preserve">History has demonstrated that the failure of one institution (regulated or not) within a conglomerate group may damage or even cause the failure of related institutions. </w:t>
      </w:r>
      <w:r w:rsidR="00383A91" w:rsidRPr="000665CE">
        <w:rPr>
          <w:rFonts w:ascii="Times New Roman" w:hAnsi="Times New Roman"/>
          <w:sz w:val="24"/>
          <w:szCs w:val="24"/>
        </w:rPr>
        <w:t xml:space="preserve">A salient example is the 2008 near-collapse of the large US insurance group American International Group </w:t>
      </w:r>
      <w:r w:rsidR="000A1877" w:rsidRPr="000665CE">
        <w:rPr>
          <w:rFonts w:ascii="Times New Roman" w:hAnsi="Times New Roman"/>
          <w:sz w:val="24"/>
          <w:szCs w:val="24"/>
        </w:rPr>
        <w:t xml:space="preserve">(AIG) </w:t>
      </w:r>
      <w:r w:rsidR="00383A91" w:rsidRPr="000665CE">
        <w:rPr>
          <w:rFonts w:ascii="Times New Roman" w:hAnsi="Times New Roman"/>
          <w:sz w:val="24"/>
          <w:szCs w:val="24"/>
        </w:rPr>
        <w:t>which suffered significant losses and acute liquidity problems stemming from the operations of an unregulated overseas subsidiary.</w:t>
      </w:r>
      <w:r w:rsidR="000A1877" w:rsidRPr="000665CE">
        <w:rPr>
          <w:rFonts w:ascii="Times New Roman" w:hAnsi="Times New Roman"/>
          <w:sz w:val="24"/>
          <w:szCs w:val="24"/>
        </w:rPr>
        <w:t xml:space="preserve"> AIG was ultimately bailed out by the U</w:t>
      </w:r>
      <w:r w:rsidR="00645769" w:rsidRPr="000665CE">
        <w:rPr>
          <w:rFonts w:ascii="Times New Roman" w:hAnsi="Times New Roman"/>
          <w:sz w:val="24"/>
          <w:szCs w:val="24"/>
        </w:rPr>
        <w:t xml:space="preserve">nited </w:t>
      </w:r>
      <w:r w:rsidR="000A1877" w:rsidRPr="000665CE">
        <w:rPr>
          <w:rFonts w:ascii="Times New Roman" w:hAnsi="Times New Roman"/>
          <w:sz w:val="24"/>
          <w:szCs w:val="24"/>
        </w:rPr>
        <w:t>S</w:t>
      </w:r>
      <w:r w:rsidR="00645769" w:rsidRPr="000665CE">
        <w:rPr>
          <w:rFonts w:ascii="Times New Roman" w:hAnsi="Times New Roman"/>
          <w:sz w:val="24"/>
          <w:szCs w:val="24"/>
        </w:rPr>
        <w:t>tates</w:t>
      </w:r>
      <w:r w:rsidR="000A1877" w:rsidRPr="000665CE">
        <w:rPr>
          <w:rFonts w:ascii="Times New Roman" w:hAnsi="Times New Roman"/>
          <w:sz w:val="24"/>
          <w:szCs w:val="24"/>
        </w:rPr>
        <w:t xml:space="preserve"> Government to protect policyholders and prevent a systemic financial crisis.</w:t>
      </w:r>
      <w:r w:rsidR="00FB1D41">
        <w:rPr>
          <w:rFonts w:ascii="Times New Roman" w:hAnsi="Times New Roman"/>
          <w:sz w:val="24"/>
          <w:szCs w:val="24"/>
        </w:rPr>
        <w:t xml:space="preserve"> </w:t>
      </w:r>
      <w:r w:rsidR="00AD655E">
        <w:rPr>
          <w:rFonts w:ascii="Times New Roman" w:hAnsi="Times New Roman"/>
          <w:sz w:val="24"/>
          <w:szCs w:val="24"/>
        </w:rPr>
        <w:t xml:space="preserve">AIG Financial Products, the subsidiary that brought down AIG group, is highlighted in the </w:t>
      </w:r>
      <w:r w:rsidR="00BC2B11">
        <w:rPr>
          <w:rFonts w:ascii="Times New Roman" w:hAnsi="Times New Roman"/>
          <w:sz w:val="24"/>
          <w:szCs w:val="24"/>
        </w:rPr>
        <w:t xml:space="preserve">following </w:t>
      </w:r>
      <w:r w:rsidR="00FB1D41">
        <w:rPr>
          <w:rFonts w:ascii="Times New Roman" w:hAnsi="Times New Roman"/>
          <w:sz w:val="24"/>
          <w:szCs w:val="24"/>
        </w:rPr>
        <w:t>example:</w:t>
      </w:r>
    </w:p>
    <w:p w14:paraId="4769E844" w14:textId="77777777" w:rsidR="00FB1D41" w:rsidRDefault="00214E07" w:rsidP="00AD655E">
      <w:pPr>
        <w:spacing w:after="240"/>
        <w:jc w:val="center"/>
        <w:rPr>
          <w:rFonts w:ascii="Times New Roman" w:hAnsi="Times New Roman"/>
          <w:sz w:val="24"/>
          <w:szCs w:val="24"/>
        </w:rPr>
      </w:pPr>
      <w:r w:rsidRPr="00074A9E">
        <w:rPr>
          <w:rFonts w:ascii="Times New Roman" w:hAnsi="Times New Roman"/>
          <w:noProof/>
          <w:sz w:val="24"/>
          <w:szCs w:val="24"/>
          <w:lang w:eastAsia="en-AU"/>
        </w:rPr>
        <w:drawing>
          <wp:inline distT="0" distB="0" distL="0" distR="0" wp14:anchorId="2ABDEC6D" wp14:editId="5323CEF7">
            <wp:extent cx="4710036" cy="3009900"/>
            <wp:effectExtent l="0" t="0" r="0" b="0"/>
            <wp:docPr id="6" name="Picture 6" descr="Structure of AIG group" title="A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1815" cy="3011037"/>
                    </a:xfrm>
                    <a:prstGeom prst="rect">
                      <a:avLst/>
                    </a:prstGeom>
                    <a:noFill/>
                    <a:ln>
                      <a:noFill/>
                    </a:ln>
                  </pic:spPr>
                </pic:pic>
              </a:graphicData>
            </a:graphic>
          </wp:inline>
        </w:drawing>
      </w:r>
    </w:p>
    <w:p w14:paraId="450058D6" w14:textId="5C1A737F" w:rsidR="007A50D6" w:rsidRPr="00AD655E" w:rsidRDefault="00A53F2D" w:rsidP="00AD655E">
      <w:pPr>
        <w:spacing w:after="240"/>
        <w:jc w:val="center"/>
        <w:rPr>
          <w:rFonts w:ascii="Times New Roman" w:hAnsi="Times New Roman"/>
          <w:sz w:val="18"/>
          <w:szCs w:val="24"/>
        </w:rPr>
      </w:pPr>
      <w:r>
        <w:rPr>
          <w:rFonts w:ascii="Times New Roman" w:hAnsi="Times New Roman"/>
          <w:sz w:val="18"/>
          <w:szCs w:val="24"/>
        </w:rPr>
        <w:t xml:space="preserve">Figure 1: A diagram of AIG group structure with the red box highlighting AIG Financial Products. </w:t>
      </w:r>
      <w:r w:rsidR="007A50D6" w:rsidRPr="00AD655E">
        <w:rPr>
          <w:rFonts w:ascii="Times New Roman" w:hAnsi="Times New Roman"/>
          <w:sz w:val="18"/>
          <w:szCs w:val="24"/>
        </w:rPr>
        <w:t>Source: Financial Times 17 September 2008.</w:t>
      </w:r>
    </w:p>
    <w:p w14:paraId="395CE54E" w14:textId="77777777" w:rsidR="000E78A1" w:rsidRDefault="00C604EA" w:rsidP="00861103">
      <w:pPr>
        <w:spacing w:after="240"/>
        <w:jc w:val="both"/>
        <w:rPr>
          <w:rFonts w:ascii="Times New Roman" w:hAnsi="Times New Roman"/>
          <w:sz w:val="24"/>
          <w:szCs w:val="24"/>
        </w:rPr>
      </w:pPr>
      <w:r>
        <w:rPr>
          <w:rFonts w:ascii="Times New Roman" w:hAnsi="Times New Roman"/>
          <w:sz w:val="24"/>
          <w:szCs w:val="24"/>
        </w:rPr>
        <w:t>Another example is the failure of a number of European bancassurance groups, notably Fortis</w:t>
      </w:r>
      <w:r w:rsidR="008D0575">
        <w:rPr>
          <w:rFonts w:ascii="Times New Roman" w:hAnsi="Times New Roman"/>
          <w:sz w:val="24"/>
          <w:szCs w:val="24"/>
        </w:rPr>
        <w:t xml:space="preserve"> and Dexia</w:t>
      </w:r>
      <w:r>
        <w:rPr>
          <w:rFonts w:ascii="Times New Roman" w:hAnsi="Times New Roman"/>
          <w:sz w:val="24"/>
          <w:szCs w:val="24"/>
        </w:rPr>
        <w:t>.</w:t>
      </w:r>
      <w:r w:rsidR="008D0575">
        <w:rPr>
          <w:rFonts w:ascii="Times New Roman" w:hAnsi="Times New Roman"/>
          <w:sz w:val="24"/>
          <w:szCs w:val="24"/>
        </w:rPr>
        <w:t xml:space="preserve"> Many </w:t>
      </w:r>
      <w:r w:rsidR="00574F63">
        <w:rPr>
          <w:rFonts w:ascii="Times New Roman" w:hAnsi="Times New Roman"/>
          <w:sz w:val="24"/>
          <w:szCs w:val="24"/>
        </w:rPr>
        <w:t>other</w:t>
      </w:r>
      <w:r w:rsidR="008D0575">
        <w:rPr>
          <w:rFonts w:ascii="Times New Roman" w:hAnsi="Times New Roman"/>
          <w:sz w:val="24"/>
          <w:szCs w:val="24"/>
        </w:rPr>
        <w:t xml:space="preserve"> conglomerate groups did survive but ultimately required taxpayer-funded bailouts.</w:t>
      </w:r>
      <w:r w:rsidR="00F11215">
        <w:rPr>
          <w:rFonts w:ascii="Times New Roman" w:hAnsi="Times New Roman"/>
          <w:sz w:val="24"/>
          <w:szCs w:val="24"/>
        </w:rPr>
        <w:t xml:space="preserve"> </w:t>
      </w:r>
    </w:p>
    <w:p w14:paraId="3BD5B9D4" w14:textId="57E56175" w:rsidR="0094615C" w:rsidRDefault="00F11215" w:rsidP="00861103">
      <w:pPr>
        <w:spacing w:after="240"/>
        <w:jc w:val="both"/>
        <w:rPr>
          <w:rFonts w:ascii="Times New Roman" w:hAnsi="Times New Roman"/>
          <w:sz w:val="24"/>
          <w:szCs w:val="24"/>
        </w:rPr>
      </w:pPr>
      <w:r>
        <w:rPr>
          <w:rFonts w:ascii="Times New Roman" w:hAnsi="Times New Roman"/>
          <w:sz w:val="24"/>
          <w:szCs w:val="24"/>
        </w:rPr>
        <w:t xml:space="preserve">Compared to other developed countries, Australia’s financial system weathered the global financial crisis well. This, however, does not mean that the overseas failures and near-failures of conglomerate groups </w:t>
      </w:r>
      <w:r w:rsidR="004E15DE">
        <w:rPr>
          <w:rFonts w:ascii="Times New Roman" w:hAnsi="Times New Roman"/>
          <w:sz w:val="24"/>
          <w:szCs w:val="24"/>
        </w:rPr>
        <w:t>hold no lessons for Australia. APRA considers that the failure of a conglomerate group must be avoided</w:t>
      </w:r>
      <w:r w:rsidR="004C7702">
        <w:rPr>
          <w:rFonts w:ascii="Times New Roman" w:hAnsi="Times New Roman"/>
          <w:sz w:val="24"/>
          <w:szCs w:val="24"/>
        </w:rPr>
        <w:t xml:space="preserve"> as the </w:t>
      </w:r>
      <w:r w:rsidR="00652756">
        <w:rPr>
          <w:rFonts w:ascii="Times New Roman" w:hAnsi="Times New Roman"/>
          <w:sz w:val="24"/>
          <w:szCs w:val="24"/>
        </w:rPr>
        <w:t>potential</w:t>
      </w:r>
      <w:r w:rsidR="004C7702">
        <w:rPr>
          <w:rFonts w:ascii="Times New Roman" w:hAnsi="Times New Roman"/>
          <w:sz w:val="24"/>
          <w:szCs w:val="24"/>
        </w:rPr>
        <w:t xml:space="preserve"> large</w:t>
      </w:r>
      <w:r w:rsidR="000E78A1">
        <w:rPr>
          <w:rFonts w:ascii="Times New Roman" w:hAnsi="Times New Roman"/>
          <w:sz w:val="24"/>
          <w:szCs w:val="24"/>
        </w:rPr>
        <w:t>-</w:t>
      </w:r>
      <w:r w:rsidR="004C7702">
        <w:rPr>
          <w:rFonts w:ascii="Times New Roman" w:hAnsi="Times New Roman"/>
          <w:sz w:val="24"/>
          <w:szCs w:val="24"/>
        </w:rPr>
        <w:t>scale economic disruption and financial costs could severely impact the Australian economy</w:t>
      </w:r>
      <w:r w:rsidR="004E15DE">
        <w:rPr>
          <w:rFonts w:ascii="Times New Roman" w:hAnsi="Times New Roman"/>
          <w:sz w:val="24"/>
          <w:szCs w:val="24"/>
        </w:rPr>
        <w:t>.</w:t>
      </w:r>
    </w:p>
    <w:p w14:paraId="1146C15A" w14:textId="15D8A38B" w:rsidR="005C57BC" w:rsidRPr="000665CE" w:rsidRDefault="00861103" w:rsidP="005C57BC">
      <w:pPr>
        <w:spacing w:after="240"/>
        <w:jc w:val="both"/>
        <w:rPr>
          <w:rFonts w:ascii="Times New Roman" w:hAnsi="Times New Roman"/>
          <w:sz w:val="24"/>
          <w:szCs w:val="24"/>
        </w:rPr>
      </w:pPr>
      <w:r w:rsidRPr="000665CE">
        <w:rPr>
          <w:rFonts w:ascii="Times New Roman" w:hAnsi="Times New Roman"/>
          <w:sz w:val="24"/>
          <w:szCs w:val="24"/>
        </w:rPr>
        <w:lastRenderedPageBreak/>
        <w:t xml:space="preserve">Although membership of a conglomerate group may provide benefits to APRA-regulated institutions, </w:t>
      </w:r>
      <w:r w:rsidR="00E440C2">
        <w:rPr>
          <w:rFonts w:ascii="Times New Roman" w:hAnsi="Times New Roman"/>
          <w:sz w:val="24"/>
          <w:szCs w:val="24"/>
        </w:rPr>
        <w:t>group membership may</w:t>
      </w:r>
      <w:r w:rsidRPr="000665CE">
        <w:rPr>
          <w:rFonts w:ascii="Times New Roman" w:hAnsi="Times New Roman"/>
          <w:sz w:val="24"/>
          <w:szCs w:val="24"/>
        </w:rPr>
        <w:t xml:space="preserve"> also increase and change the risks they face. The more material a group’s activities outside its primary industry, the greater the risk that an industry-focused supervisory regime will not appropriately detect or respond to risks associated with these activities</w:t>
      </w:r>
      <w:r w:rsidR="009855F2">
        <w:rPr>
          <w:rFonts w:ascii="Times New Roman" w:hAnsi="Times New Roman"/>
          <w:sz w:val="24"/>
          <w:szCs w:val="24"/>
        </w:rPr>
        <w:t xml:space="preserve">. These </w:t>
      </w:r>
      <w:r w:rsidR="009310E1">
        <w:rPr>
          <w:rFonts w:ascii="Times New Roman" w:hAnsi="Times New Roman"/>
          <w:sz w:val="24"/>
          <w:szCs w:val="24"/>
        </w:rPr>
        <w:t>B</w:t>
      </w:r>
      <w:r w:rsidR="00E440C2">
        <w:rPr>
          <w:rFonts w:ascii="Times New Roman" w:hAnsi="Times New Roman"/>
          <w:sz w:val="24"/>
          <w:szCs w:val="24"/>
        </w:rPr>
        <w:t xml:space="preserve">oard, management, </w:t>
      </w:r>
      <w:r w:rsidR="0072264D">
        <w:rPr>
          <w:rFonts w:ascii="Times New Roman" w:hAnsi="Times New Roman"/>
          <w:sz w:val="24"/>
          <w:szCs w:val="24"/>
        </w:rPr>
        <w:t>and/</w:t>
      </w:r>
      <w:r w:rsidR="00E440C2">
        <w:rPr>
          <w:rFonts w:ascii="Times New Roman" w:hAnsi="Times New Roman"/>
          <w:sz w:val="24"/>
          <w:szCs w:val="24"/>
        </w:rPr>
        <w:t xml:space="preserve">or </w:t>
      </w:r>
      <w:r w:rsidRPr="000665CE">
        <w:rPr>
          <w:rFonts w:ascii="Times New Roman" w:hAnsi="Times New Roman"/>
          <w:sz w:val="24"/>
          <w:szCs w:val="24"/>
        </w:rPr>
        <w:t>supervisory ‘blind spot</w:t>
      </w:r>
      <w:r w:rsidR="0076228F">
        <w:rPr>
          <w:rFonts w:ascii="Times New Roman" w:hAnsi="Times New Roman"/>
          <w:sz w:val="24"/>
          <w:szCs w:val="24"/>
        </w:rPr>
        <w:t>s</w:t>
      </w:r>
      <w:r w:rsidRPr="000665CE">
        <w:rPr>
          <w:rFonts w:ascii="Times New Roman" w:hAnsi="Times New Roman"/>
          <w:sz w:val="24"/>
          <w:szCs w:val="24"/>
        </w:rPr>
        <w:t xml:space="preserve">’ may result in risks building up without adequate </w:t>
      </w:r>
      <w:r w:rsidR="009855F2">
        <w:rPr>
          <w:rFonts w:ascii="Times New Roman" w:hAnsi="Times New Roman"/>
          <w:sz w:val="24"/>
          <w:szCs w:val="24"/>
        </w:rPr>
        <w:t xml:space="preserve">control or </w:t>
      </w:r>
      <w:r w:rsidRPr="000665CE">
        <w:rPr>
          <w:rFonts w:ascii="Times New Roman" w:hAnsi="Times New Roman"/>
          <w:sz w:val="24"/>
          <w:szCs w:val="24"/>
        </w:rPr>
        <w:t>remediation.</w:t>
      </w:r>
      <w:r w:rsidR="004C2E83" w:rsidRPr="000665CE">
        <w:rPr>
          <w:rFonts w:ascii="Times New Roman" w:hAnsi="Times New Roman"/>
          <w:sz w:val="24"/>
          <w:szCs w:val="24"/>
        </w:rPr>
        <w:t xml:space="preserve"> </w:t>
      </w:r>
      <w:r w:rsidR="009855F2">
        <w:rPr>
          <w:rFonts w:ascii="Times New Roman" w:hAnsi="Times New Roman"/>
          <w:sz w:val="24"/>
          <w:szCs w:val="24"/>
        </w:rPr>
        <w:t>M</w:t>
      </w:r>
      <w:r w:rsidR="005C57BC" w:rsidRPr="000665CE">
        <w:rPr>
          <w:rFonts w:ascii="Times New Roman" w:hAnsi="Times New Roman"/>
          <w:sz w:val="24"/>
          <w:szCs w:val="24"/>
        </w:rPr>
        <w:t xml:space="preserve">embership of a conglomerate group </w:t>
      </w:r>
      <w:r w:rsidR="009855F2">
        <w:rPr>
          <w:rFonts w:ascii="Times New Roman" w:hAnsi="Times New Roman"/>
          <w:sz w:val="24"/>
          <w:szCs w:val="24"/>
        </w:rPr>
        <w:t>can create</w:t>
      </w:r>
      <w:r w:rsidR="005C57BC" w:rsidRPr="000665CE">
        <w:rPr>
          <w:rFonts w:ascii="Times New Roman" w:hAnsi="Times New Roman"/>
          <w:sz w:val="24"/>
          <w:szCs w:val="24"/>
        </w:rPr>
        <w:t>:</w:t>
      </w:r>
    </w:p>
    <w:p w14:paraId="62744A2C" w14:textId="77777777" w:rsidR="00420130" w:rsidRPr="00513B54" w:rsidRDefault="00F06AE7" w:rsidP="00513B54">
      <w:pPr>
        <w:pStyle w:val="ListParagraph"/>
      </w:pPr>
      <w:r w:rsidRPr="00513B54">
        <w:rPr>
          <w:rStyle w:val="Emphasis"/>
        </w:rPr>
        <w:t>f</w:t>
      </w:r>
      <w:r w:rsidR="005C57BC" w:rsidRPr="00513B54">
        <w:rPr>
          <w:rStyle w:val="Emphasis"/>
        </w:rPr>
        <w:t>inancial</w:t>
      </w:r>
      <w:r w:rsidR="00E440C2" w:rsidRPr="00513B54">
        <w:rPr>
          <w:rStyle w:val="Emphasis"/>
        </w:rPr>
        <w:t xml:space="preserve"> contagion</w:t>
      </w:r>
      <w:r w:rsidR="005C57BC" w:rsidRPr="00513B54">
        <w:rPr>
          <w:rStyle w:val="Emphasis"/>
        </w:rPr>
        <w:t xml:space="preserve"> risks</w:t>
      </w:r>
      <w:r w:rsidR="005C57BC" w:rsidRPr="00513B54">
        <w:t>, stemming from transactions between group members or transactions involving both group members and third parties, such as intra-group investments and loans, insurance and reinsurance, guarantees, letters of comfort and cross-default provisions. Non-APRA-regulated institutions might be undercapitalised or group treasury arrangements may oblige</w:t>
      </w:r>
      <w:r w:rsidR="002D2B5F" w:rsidRPr="00513B54">
        <w:t>, implicitly or explicitly,</w:t>
      </w:r>
      <w:r w:rsidR="005C57BC" w:rsidRPr="00513B54">
        <w:t xml:space="preserve"> APRA-regulated institutions to </w:t>
      </w:r>
      <w:r w:rsidR="002D2B5F" w:rsidRPr="00513B54">
        <w:t xml:space="preserve">bail out </w:t>
      </w:r>
      <w:r w:rsidR="005C57BC" w:rsidRPr="00513B54">
        <w:t>other members of the group</w:t>
      </w:r>
      <w:r w:rsidR="0037372D" w:rsidRPr="00513B54">
        <w:t xml:space="preserve">, </w:t>
      </w:r>
      <w:r w:rsidR="00433C55" w:rsidRPr="00513B54">
        <w:t>placing significant</w:t>
      </w:r>
      <w:r w:rsidR="0037372D" w:rsidRPr="00513B54">
        <w:t xml:space="preserve"> financial</w:t>
      </w:r>
      <w:r w:rsidR="00433C55" w:rsidRPr="00513B54">
        <w:t xml:space="preserve"> reliance on APRA-regulated institutions</w:t>
      </w:r>
      <w:r w:rsidR="005C57BC" w:rsidRPr="00513B54">
        <w:t>;</w:t>
      </w:r>
    </w:p>
    <w:p w14:paraId="224E67D5" w14:textId="77777777" w:rsidR="005C57BC" w:rsidRPr="00513B54" w:rsidRDefault="005C57BC" w:rsidP="00513B54">
      <w:pPr>
        <w:pStyle w:val="ListParagraph"/>
      </w:pPr>
      <w:r w:rsidRPr="00513B54">
        <w:rPr>
          <w:rStyle w:val="Emphasis"/>
        </w:rPr>
        <w:t>reputation risks</w:t>
      </w:r>
      <w:r w:rsidRPr="00513B54">
        <w:t>, where adverse publicity about a group member, whether accurate or not, may cause a loss of confidence in the integrity of an APRA-regulated institution within the group. Such damage may threaten its relationship with customers and other stakeholders. A loss of trust and confidence on the part of investors in the group may also impair an APRA-regulated institution’s access to funding. Reputation risk to APRA-regulated institutions is increased with group practices such as common group branding, common funding and common management</w:t>
      </w:r>
      <w:r w:rsidR="00D47864" w:rsidRPr="00513B54">
        <w:t xml:space="preserve">. There is also a potential for systemic reputation risk, where loss of confidence in one financial conglomerate group may </w:t>
      </w:r>
      <w:r w:rsidR="002D2B5F" w:rsidRPr="00513B54">
        <w:t>undermine confidence</w:t>
      </w:r>
      <w:r w:rsidR="00D47864" w:rsidRPr="00513B54">
        <w:t xml:space="preserve"> in other financial conglomerates</w:t>
      </w:r>
      <w:r w:rsidRPr="00513B54">
        <w:t>;</w:t>
      </w:r>
    </w:p>
    <w:p w14:paraId="34F214CC" w14:textId="77777777" w:rsidR="005C57BC" w:rsidRPr="00513B54" w:rsidRDefault="005C57BC" w:rsidP="00513B54">
      <w:pPr>
        <w:pStyle w:val="ListParagraph"/>
      </w:pPr>
      <w:r w:rsidRPr="00513B54">
        <w:rPr>
          <w:rStyle w:val="Emphasis"/>
        </w:rPr>
        <w:t>moral hazard risks</w:t>
      </w:r>
      <w:r w:rsidRPr="00513B54">
        <w:t xml:space="preserve">, which may arise where a group member engages in excessive risk-taking activities on the assumption that, if a problem arises, another group member will come to its assistance. </w:t>
      </w:r>
      <w:r w:rsidR="002E6BA9" w:rsidRPr="00513B54">
        <w:t xml:space="preserve">Investors may transact with group members on more favourable terms due to the assumption that the conglomerate group would bail out the group member. </w:t>
      </w:r>
      <w:r w:rsidRPr="00513B54">
        <w:t>Any group member in financial stress that seeks support from a holding company or other group members may induce riskier behaviour than would otherwise occur;</w:t>
      </w:r>
    </w:p>
    <w:p w14:paraId="46149559" w14:textId="77777777" w:rsidR="005C57BC" w:rsidRPr="00513B54" w:rsidRDefault="005C57BC" w:rsidP="00513B54">
      <w:pPr>
        <w:pStyle w:val="ListParagraph"/>
      </w:pPr>
      <w:r w:rsidRPr="00513B54">
        <w:rPr>
          <w:rStyle w:val="Emphasis"/>
        </w:rPr>
        <w:t>operational risks</w:t>
      </w:r>
      <w:r w:rsidRPr="00513B54">
        <w:t>, associated with internal processes, people and systems or external events that originate in one part of the group and may adversely affect other parts of the group</w:t>
      </w:r>
      <w:r w:rsidR="00451646" w:rsidRPr="00513B54">
        <w:t xml:space="preserve">, </w:t>
      </w:r>
      <w:r w:rsidR="00D47864" w:rsidRPr="00513B54">
        <w:t xml:space="preserve">notably </w:t>
      </w:r>
      <w:r w:rsidR="00451646" w:rsidRPr="00513B54">
        <w:t>APRA-regulated institutions</w:t>
      </w:r>
      <w:r w:rsidRPr="00513B54">
        <w:t>. This risk can be driven by the size and complexity of the group; and</w:t>
      </w:r>
    </w:p>
    <w:p w14:paraId="1EB25CDD" w14:textId="3306BD66" w:rsidR="005C57BC" w:rsidRPr="00513B54" w:rsidRDefault="005C57BC" w:rsidP="00513B54">
      <w:pPr>
        <w:pStyle w:val="ListParagraph"/>
      </w:pPr>
      <w:r w:rsidRPr="00513B54">
        <w:rPr>
          <w:rStyle w:val="Emphasis"/>
        </w:rPr>
        <w:t>governance and strategic risks</w:t>
      </w:r>
      <w:r w:rsidRPr="00513B54">
        <w:t xml:space="preserve">, which may arise from the legal structure, managerial structure or diversity of the group. Governance arrangements typically become more complicated where there are common directors and management across group members. This can threaten the ability of individual APRA-regulated institutions in the group to make strategic decisions and business judgments in the best interests of the regulated institution, with due consideration </w:t>
      </w:r>
      <w:r w:rsidR="00325E14" w:rsidRPr="00513B54">
        <w:t xml:space="preserve">of </w:t>
      </w:r>
      <w:r w:rsidRPr="00513B54">
        <w:t xml:space="preserve">the interests of </w:t>
      </w:r>
      <w:r w:rsidR="00274376">
        <w:t>depositors, policyholders and superannuation members</w:t>
      </w:r>
      <w:r w:rsidRPr="00513B54">
        <w:t>.</w:t>
      </w:r>
    </w:p>
    <w:p w14:paraId="3BA1427B" w14:textId="77777777" w:rsidR="005C57BC" w:rsidRDefault="00E33CF7" w:rsidP="005C57BC">
      <w:pPr>
        <w:spacing w:after="240"/>
        <w:jc w:val="both"/>
        <w:rPr>
          <w:rFonts w:ascii="Times New Roman" w:hAnsi="Times New Roman"/>
          <w:sz w:val="24"/>
          <w:szCs w:val="24"/>
        </w:rPr>
      </w:pPr>
      <w:r>
        <w:rPr>
          <w:rFonts w:ascii="Times New Roman" w:hAnsi="Times New Roman"/>
          <w:sz w:val="24"/>
          <w:szCs w:val="24"/>
        </w:rPr>
        <w:t>These risks a</w:t>
      </w:r>
      <w:r w:rsidR="00015567">
        <w:rPr>
          <w:rFonts w:ascii="Times New Roman" w:hAnsi="Times New Roman"/>
          <w:sz w:val="24"/>
          <w:szCs w:val="24"/>
        </w:rPr>
        <w:t xml:space="preserve">lso reflect the way in which contagion risks within a conglomerate group can </w:t>
      </w:r>
      <w:r w:rsidR="000D767A">
        <w:rPr>
          <w:rFonts w:ascii="Times New Roman" w:hAnsi="Times New Roman"/>
          <w:sz w:val="24"/>
          <w:szCs w:val="24"/>
        </w:rPr>
        <w:t>increase the risks APRA-regulated institutions face</w:t>
      </w:r>
      <w:r w:rsidR="00015567">
        <w:rPr>
          <w:rFonts w:ascii="Times New Roman" w:hAnsi="Times New Roman"/>
          <w:sz w:val="24"/>
          <w:szCs w:val="24"/>
        </w:rPr>
        <w:t xml:space="preserve">. </w:t>
      </w:r>
      <w:r w:rsidR="006560BC">
        <w:rPr>
          <w:rFonts w:ascii="Times New Roman" w:hAnsi="Times New Roman"/>
          <w:sz w:val="24"/>
          <w:szCs w:val="24"/>
        </w:rPr>
        <w:t xml:space="preserve">Such </w:t>
      </w:r>
      <w:r w:rsidR="005C57BC" w:rsidRPr="000665CE">
        <w:rPr>
          <w:rFonts w:ascii="Times New Roman" w:hAnsi="Times New Roman"/>
          <w:sz w:val="24"/>
          <w:szCs w:val="24"/>
        </w:rPr>
        <w:t xml:space="preserve">risks already affect APRA-regulated institutions to varying degrees and are addressed to some extent </w:t>
      </w:r>
      <w:r w:rsidR="005C57BC" w:rsidRPr="000665CE">
        <w:rPr>
          <w:rFonts w:ascii="Times New Roman" w:hAnsi="Times New Roman"/>
          <w:sz w:val="24"/>
          <w:szCs w:val="24"/>
        </w:rPr>
        <w:lastRenderedPageBreak/>
        <w:t xml:space="preserve">through the prudential requirements of APRA’s Level 1 </w:t>
      </w:r>
      <w:r w:rsidR="00886423" w:rsidRPr="000665CE">
        <w:rPr>
          <w:rFonts w:ascii="Times New Roman" w:hAnsi="Times New Roman"/>
          <w:sz w:val="24"/>
          <w:szCs w:val="24"/>
        </w:rPr>
        <w:t xml:space="preserve">and Level 2 </w:t>
      </w:r>
      <w:r w:rsidR="005C57BC" w:rsidRPr="000665CE">
        <w:rPr>
          <w:rFonts w:ascii="Times New Roman" w:hAnsi="Times New Roman"/>
          <w:sz w:val="24"/>
          <w:szCs w:val="24"/>
        </w:rPr>
        <w:t>supervision framework</w:t>
      </w:r>
      <w:r w:rsidR="00886423" w:rsidRPr="000665CE">
        <w:rPr>
          <w:rFonts w:ascii="Times New Roman" w:hAnsi="Times New Roman"/>
          <w:sz w:val="24"/>
          <w:szCs w:val="24"/>
        </w:rPr>
        <w:t>s</w:t>
      </w:r>
      <w:r w:rsidR="005C57BC" w:rsidRPr="000665CE">
        <w:rPr>
          <w:rFonts w:ascii="Times New Roman" w:hAnsi="Times New Roman"/>
          <w:sz w:val="24"/>
          <w:szCs w:val="24"/>
        </w:rPr>
        <w:t xml:space="preserve">. However, </w:t>
      </w:r>
      <w:r w:rsidR="00886423" w:rsidRPr="000665CE">
        <w:rPr>
          <w:rFonts w:ascii="Times New Roman" w:hAnsi="Times New Roman"/>
          <w:sz w:val="24"/>
          <w:szCs w:val="24"/>
        </w:rPr>
        <w:t xml:space="preserve">these </w:t>
      </w:r>
      <w:r w:rsidR="005C57BC" w:rsidRPr="000665CE">
        <w:rPr>
          <w:rFonts w:ascii="Times New Roman" w:hAnsi="Times New Roman"/>
          <w:sz w:val="24"/>
          <w:szCs w:val="24"/>
        </w:rPr>
        <w:t>framework</w:t>
      </w:r>
      <w:r w:rsidR="00886423" w:rsidRPr="000665CE">
        <w:rPr>
          <w:rFonts w:ascii="Times New Roman" w:hAnsi="Times New Roman"/>
          <w:sz w:val="24"/>
          <w:szCs w:val="24"/>
        </w:rPr>
        <w:t>s largely focus</w:t>
      </w:r>
      <w:r w:rsidR="005C57BC" w:rsidRPr="000665CE">
        <w:rPr>
          <w:rFonts w:ascii="Times New Roman" w:hAnsi="Times New Roman"/>
          <w:sz w:val="24"/>
          <w:szCs w:val="24"/>
        </w:rPr>
        <w:t xml:space="preserve"> on the individual APRA-regulated institutions </w:t>
      </w:r>
      <w:r w:rsidR="00886423" w:rsidRPr="000665CE">
        <w:rPr>
          <w:rFonts w:ascii="Times New Roman" w:hAnsi="Times New Roman"/>
          <w:sz w:val="24"/>
          <w:szCs w:val="24"/>
        </w:rPr>
        <w:t xml:space="preserve">or sub-groupings of similar APRA-regulated institutions </w:t>
      </w:r>
      <w:r w:rsidR="005C57BC" w:rsidRPr="000665CE">
        <w:rPr>
          <w:rFonts w:ascii="Times New Roman" w:hAnsi="Times New Roman"/>
          <w:sz w:val="24"/>
          <w:szCs w:val="24"/>
        </w:rPr>
        <w:t>without full consideration of the group in which the institution</w:t>
      </w:r>
      <w:r w:rsidR="00886423" w:rsidRPr="000665CE">
        <w:rPr>
          <w:rFonts w:ascii="Times New Roman" w:hAnsi="Times New Roman"/>
          <w:sz w:val="24"/>
          <w:szCs w:val="24"/>
        </w:rPr>
        <w:t>(s)</w:t>
      </w:r>
      <w:r w:rsidR="005C57BC" w:rsidRPr="000665CE">
        <w:rPr>
          <w:rFonts w:ascii="Times New Roman" w:hAnsi="Times New Roman"/>
          <w:sz w:val="24"/>
          <w:szCs w:val="24"/>
        </w:rPr>
        <w:t xml:space="preserve"> may operate and the implications of group membership. The interaction of these risks within a group context requires more effective group-wide supervision beyond the existing frameworks.</w:t>
      </w:r>
    </w:p>
    <w:p w14:paraId="34804B5D" w14:textId="77777777" w:rsidR="0049660A" w:rsidRDefault="0049660A" w:rsidP="0049660A">
      <w:pPr>
        <w:spacing w:after="240"/>
        <w:jc w:val="both"/>
        <w:rPr>
          <w:rFonts w:ascii="Times New Roman" w:hAnsi="Times New Roman"/>
          <w:sz w:val="24"/>
          <w:szCs w:val="24"/>
        </w:rPr>
      </w:pPr>
      <w:r w:rsidRPr="00083CCF">
        <w:rPr>
          <w:rFonts w:ascii="Times New Roman" w:hAnsi="Times New Roman"/>
          <w:sz w:val="24"/>
          <w:szCs w:val="24"/>
        </w:rPr>
        <w:t xml:space="preserve">Contagion </w:t>
      </w:r>
      <w:r>
        <w:rPr>
          <w:rFonts w:ascii="Times New Roman" w:hAnsi="Times New Roman"/>
          <w:sz w:val="24"/>
          <w:szCs w:val="24"/>
        </w:rPr>
        <w:t xml:space="preserve">risk </w:t>
      </w:r>
      <w:r w:rsidRPr="00083CCF">
        <w:rPr>
          <w:rFonts w:ascii="Times New Roman" w:hAnsi="Times New Roman"/>
          <w:sz w:val="24"/>
          <w:szCs w:val="24"/>
        </w:rPr>
        <w:t xml:space="preserve">is </w:t>
      </w:r>
      <w:r>
        <w:rPr>
          <w:rFonts w:ascii="Times New Roman" w:hAnsi="Times New Roman"/>
          <w:sz w:val="24"/>
          <w:szCs w:val="24"/>
        </w:rPr>
        <w:t>increased by</w:t>
      </w:r>
      <w:r w:rsidRPr="00083CCF">
        <w:rPr>
          <w:rFonts w:ascii="Times New Roman" w:hAnsi="Times New Roman"/>
          <w:sz w:val="24"/>
          <w:szCs w:val="24"/>
        </w:rPr>
        <w:t xml:space="preserve"> arrangements that can compromise the independence of members of the group, whether these are based on explicit arrangements or from fear of the reputational consequences of not supporting other members in the group. </w:t>
      </w:r>
      <w:r>
        <w:rPr>
          <w:rFonts w:ascii="Times New Roman" w:hAnsi="Times New Roman"/>
          <w:sz w:val="24"/>
          <w:szCs w:val="24"/>
        </w:rPr>
        <w:t>Members of a group may, for example, have debt and equity cross-holdings with other members in the group. These cross-holdings limit the financial strength of group members, as the default of one institution immediately impacts the financial strength of other members. Cross-holdings create significant financial interdependence, compromising</w:t>
      </w:r>
      <w:r w:rsidRPr="00083CCF">
        <w:rPr>
          <w:rFonts w:ascii="Times New Roman" w:hAnsi="Times New Roman"/>
          <w:sz w:val="24"/>
          <w:szCs w:val="24"/>
        </w:rPr>
        <w:t xml:space="preserve"> the </w:t>
      </w:r>
      <w:r>
        <w:rPr>
          <w:rFonts w:ascii="Times New Roman" w:hAnsi="Times New Roman"/>
          <w:sz w:val="24"/>
          <w:szCs w:val="24"/>
        </w:rPr>
        <w:t>risk-based decision-making of</w:t>
      </w:r>
      <w:r w:rsidRPr="00083CCF">
        <w:rPr>
          <w:rFonts w:ascii="Times New Roman" w:hAnsi="Times New Roman"/>
          <w:sz w:val="24"/>
          <w:szCs w:val="24"/>
        </w:rPr>
        <w:t xml:space="preserve"> individual members.</w:t>
      </w:r>
    </w:p>
    <w:p w14:paraId="38D81118" w14:textId="2E1EA3AD" w:rsidR="002619B4" w:rsidRDefault="000A1877" w:rsidP="00861103">
      <w:pPr>
        <w:spacing w:after="240"/>
        <w:jc w:val="both"/>
        <w:rPr>
          <w:rFonts w:ascii="Times New Roman" w:hAnsi="Times New Roman"/>
          <w:sz w:val="24"/>
          <w:szCs w:val="24"/>
        </w:rPr>
      </w:pPr>
      <w:r w:rsidRPr="000665CE">
        <w:rPr>
          <w:rFonts w:ascii="Times New Roman" w:hAnsi="Times New Roman"/>
          <w:sz w:val="24"/>
          <w:szCs w:val="24"/>
        </w:rPr>
        <w:t xml:space="preserve">APRA considers that a narrow, stand-alone view of regulated institutions </w:t>
      </w:r>
      <w:r w:rsidR="00A15878">
        <w:rPr>
          <w:rFonts w:ascii="Times New Roman" w:hAnsi="Times New Roman"/>
          <w:sz w:val="24"/>
          <w:szCs w:val="24"/>
        </w:rPr>
        <w:t>is</w:t>
      </w:r>
      <w:r w:rsidR="00A15878" w:rsidRPr="000665CE">
        <w:rPr>
          <w:rFonts w:ascii="Times New Roman" w:hAnsi="Times New Roman"/>
          <w:sz w:val="24"/>
          <w:szCs w:val="24"/>
        </w:rPr>
        <w:t xml:space="preserve"> </w:t>
      </w:r>
      <w:r w:rsidRPr="000665CE">
        <w:rPr>
          <w:rFonts w:ascii="Times New Roman" w:hAnsi="Times New Roman"/>
          <w:sz w:val="24"/>
          <w:szCs w:val="24"/>
        </w:rPr>
        <w:t xml:space="preserve">insufficient to obtain a full picture of the financial risks to which </w:t>
      </w:r>
      <w:r w:rsidR="00274376">
        <w:rPr>
          <w:rFonts w:ascii="Times New Roman" w:hAnsi="Times New Roman"/>
          <w:sz w:val="24"/>
          <w:szCs w:val="24"/>
        </w:rPr>
        <w:t>depositors, policyholders and superannuation members</w:t>
      </w:r>
      <w:r w:rsidR="0027644F" w:rsidRPr="000665CE">
        <w:rPr>
          <w:rFonts w:ascii="Times New Roman" w:hAnsi="Times New Roman"/>
          <w:sz w:val="24"/>
          <w:szCs w:val="24"/>
        </w:rPr>
        <w:t xml:space="preserve"> </w:t>
      </w:r>
      <w:r w:rsidRPr="000665CE">
        <w:rPr>
          <w:rFonts w:ascii="Times New Roman" w:hAnsi="Times New Roman"/>
          <w:sz w:val="24"/>
          <w:szCs w:val="24"/>
        </w:rPr>
        <w:t>may be exposed.</w:t>
      </w:r>
      <w:r w:rsidR="005A7E7D" w:rsidRPr="000665CE">
        <w:rPr>
          <w:rFonts w:ascii="Times New Roman" w:hAnsi="Times New Roman"/>
          <w:sz w:val="24"/>
          <w:szCs w:val="24"/>
        </w:rPr>
        <w:t xml:space="preserve"> </w:t>
      </w:r>
      <w:r w:rsidR="00DF3F26">
        <w:rPr>
          <w:rFonts w:ascii="Times New Roman" w:hAnsi="Times New Roman"/>
          <w:sz w:val="24"/>
          <w:szCs w:val="24"/>
        </w:rPr>
        <w:t>The existence of f</w:t>
      </w:r>
      <w:r w:rsidR="005A7E7D" w:rsidRPr="000665CE">
        <w:rPr>
          <w:rFonts w:ascii="Times New Roman" w:hAnsi="Times New Roman"/>
          <w:sz w:val="24"/>
          <w:szCs w:val="24"/>
        </w:rPr>
        <w:t xml:space="preserve">inancial </w:t>
      </w:r>
      <w:r w:rsidR="00A15878">
        <w:rPr>
          <w:rFonts w:ascii="Times New Roman" w:hAnsi="Times New Roman"/>
          <w:sz w:val="24"/>
          <w:szCs w:val="24"/>
        </w:rPr>
        <w:t xml:space="preserve">and commercial </w:t>
      </w:r>
      <w:r w:rsidR="005A57E7">
        <w:rPr>
          <w:rFonts w:ascii="Times New Roman" w:hAnsi="Times New Roman"/>
          <w:sz w:val="24"/>
          <w:szCs w:val="24"/>
        </w:rPr>
        <w:t>group members</w:t>
      </w:r>
      <w:r w:rsidR="005A57E7" w:rsidRPr="000665CE">
        <w:rPr>
          <w:rFonts w:ascii="Times New Roman" w:hAnsi="Times New Roman"/>
          <w:sz w:val="24"/>
          <w:szCs w:val="24"/>
        </w:rPr>
        <w:t xml:space="preserve"> </w:t>
      </w:r>
      <w:r w:rsidR="005A7E7D" w:rsidRPr="000665CE">
        <w:rPr>
          <w:rFonts w:ascii="Times New Roman" w:hAnsi="Times New Roman"/>
          <w:sz w:val="24"/>
          <w:szCs w:val="24"/>
        </w:rPr>
        <w:t>which are undercapitalised compared with peers that are not members of conglomerate groups distort</w:t>
      </w:r>
      <w:r w:rsidR="00AD5980">
        <w:rPr>
          <w:rFonts w:ascii="Times New Roman" w:hAnsi="Times New Roman"/>
          <w:sz w:val="24"/>
          <w:szCs w:val="24"/>
        </w:rPr>
        <w:t>s</w:t>
      </w:r>
      <w:r w:rsidR="005A7E7D" w:rsidRPr="000665CE">
        <w:rPr>
          <w:rFonts w:ascii="Times New Roman" w:hAnsi="Times New Roman"/>
          <w:sz w:val="24"/>
          <w:szCs w:val="24"/>
        </w:rPr>
        <w:t xml:space="preserve"> competition and increas</w:t>
      </w:r>
      <w:r w:rsidR="00AD5980">
        <w:rPr>
          <w:rFonts w:ascii="Times New Roman" w:hAnsi="Times New Roman"/>
          <w:sz w:val="24"/>
          <w:szCs w:val="24"/>
        </w:rPr>
        <w:t>es</w:t>
      </w:r>
      <w:r w:rsidR="005A7E7D" w:rsidRPr="000665CE">
        <w:rPr>
          <w:rFonts w:ascii="Times New Roman" w:hAnsi="Times New Roman"/>
          <w:sz w:val="24"/>
          <w:szCs w:val="24"/>
        </w:rPr>
        <w:t xml:space="preserve"> the risks in t</w:t>
      </w:r>
      <w:r w:rsidR="00EC19D3" w:rsidRPr="000665CE">
        <w:rPr>
          <w:rFonts w:ascii="Times New Roman" w:hAnsi="Times New Roman"/>
          <w:sz w:val="24"/>
          <w:szCs w:val="24"/>
        </w:rPr>
        <w:t xml:space="preserve">he Australian financial system. </w:t>
      </w:r>
      <w:r w:rsidR="00AD5980">
        <w:rPr>
          <w:rFonts w:ascii="Times New Roman" w:hAnsi="Times New Roman"/>
          <w:sz w:val="24"/>
          <w:szCs w:val="24"/>
        </w:rPr>
        <w:t>Undercapitalisation can occur by structuring a c</w:t>
      </w:r>
      <w:r w:rsidR="002619B4">
        <w:rPr>
          <w:rFonts w:ascii="Times New Roman" w:hAnsi="Times New Roman"/>
          <w:sz w:val="24"/>
          <w:szCs w:val="24"/>
        </w:rPr>
        <w:t xml:space="preserve">onglomerate group to engage in undetected capital upgrading, where debt is down-streamed into an APRA-regulated subsidiary as equity, or gearing, where a group’s equity is included in more than one APRA-regulated institution’s available capital. </w:t>
      </w:r>
      <w:r w:rsidR="008E7BC4">
        <w:rPr>
          <w:rFonts w:ascii="Times New Roman" w:hAnsi="Times New Roman"/>
          <w:sz w:val="24"/>
          <w:szCs w:val="24"/>
        </w:rPr>
        <w:t>C</w:t>
      </w:r>
      <w:r w:rsidR="002619B4">
        <w:rPr>
          <w:rFonts w:ascii="Times New Roman" w:hAnsi="Times New Roman"/>
          <w:sz w:val="24"/>
          <w:szCs w:val="24"/>
        </w:rPr>
        <w:t xml:space="preserve">apital upgrading and gearing </w:t>
      </w:r>
      <w:r w:rsidR="00A15878">
        <w:rPr>
          <w:rFonts w:ascii="Times New Roman" w:hAnsi="Times New Roman"/>
          <w:sz w:val="24"/>
          <w:szCs w:val="24"/>
        </w:rPr>
        <w:t>can</w:t>
      </w:r>
      <w:r w:rsidR="002619B4">
        <w:rPr>
          <w:rFonts w:ascii="Times New Roman" w:hAnsi="Times New Roman"/>
          <w:sz w:val="24"/>
          <w:szCs w:val="24"/>
        </w:rPr>
        <w:t xml:space="preserve"> significantly misrepresent the financial strength of APRA-regulated institutions in a conglomerate group. This exposes </w:t>
      </w:r>
      <w:r w:rsidR="00274376">
        <w:rPr>
          <w:rFonts w:ascii="Times New Roman" w:hAnsi="Times New Roman"/>
          <w:sz w:val="24"/>
          <w:szCs w:val="24"/>
        </w:rPr>
        <w:t>depositors, policyholders and superannuation members</w:t>
      </w:r>
      <w:r w:rsidR="002619B4">
        <w:rPr>
          <w:rFonts w:ascii="Times New Roman" w:hAnsi="Times New Roman"/>
          <w:sz w:val="24"/>
          <w:szCs w:val="24"/>
        </w:rPr>
        <w:t xml:space="preserve"> to additional risk and </w:t>
      </w:r>
      <w:r w:rsidR="00A15878">
        <w:rPr>
          <w:rFonts w:ascii="Times New Roman" w:hAnsi="Times New Roman"/>
          <w:sz w:val="24"/>
          <w:szCs w:val="24"/>
        </w:rPr>
        <w:t xml:space="preserve">provides a competitive advantage </w:t>
      </w:r>
      <w:r w:rsidR="00C0442E">
        <w:rPr>
          <w:rFonts w:ascii="Times New Roman" w:hAnsi="Times New Roman"/>
          <w:sz w:val="24"/>
          <w:szCs w:val="24"/>
        </w:rPr>
        <w:t>over</w:t>
      </w:r>
      <w:r w:rsidR="002619B4">
        <w:rPr>
          <w:rFonts w:ascii="Times New Roman" w:hAnsi="Times New Roman"/>
          <w:sz w:val="24"/>
          <w:szCs w:val="24"/>
        </w:rPr>
        <w:t xml:space="preserve"> APRA-regulated institutions that are not members of a conglomerate group. Capital upgrading and gearing are difficult to detect</w:t>
      </w:r>
      <w:r w:rsidR="009F65E0">
        <w:rPr>
          <w:rFonts w:ascii="Times New Roman" w:hAnsi="Times New Roman"/>
          <w:sz w:val="24"/>
          <w:szCs w:val="24"/>
        </w:rPr>
        <w:t xml:space="preserve"> by financial markets and APRA</w:t>
      </w:r>
      <w:r w:rsidR="002619B4">
        <w:rPr>
          <w:rFonts w:ascii="Times New Roman" w:hAnsi="Times New Roman"/>
          <w:sz w:val="24"/>
          <w:szCs w:val="24"/>
        </w:rPr>
        <w:t xml:space="preserve"> </w:t>
      </w:r>
      <w:r w:rsidR="00C0442E">
        <w:rPr>
          <w:rFonts w:ascii="Times New Roman" w:hAnsi="Times New Roman"/>
          <w:sz w:val="24"/>
          <w:szCs w:val="24"/>
        </w:rPr>
        <w:t xml:space="preserve">under the existing </w:t>
      </w:r>
      <w:r w:rsidR="002619B4">
        <w:rPr>
          <w:rFonts w:ascii="Times New Roman" w:hAnsi="Times New Roman"/>
          <w:sz w:val="24"/>
          <w:szCs w:val="24"/>
        </w:rPr>
        <w:t>supervision</w:t>
      </w:r>
      <w:r w:rsidR="00C0442E">
        <w:rPr>
          <w:rFonts w:ascii="Times New Roman" w:hAnsi="Times New Roman"/>
          <w:sz w:val="24"/>
          <w:szCs w:val="24"/>
        </w:rPr>
        <w:t xml:space="preserve"> framework</w:t>
      </w:r>
      <w:r w:rsidR="009F65E0">
        <w:rPr>
          <w:rFonts w:ascii="Times New Roman" w:hAnsi="Times New Roman"/>
          <w:sz w:val="24"/>
          <w:szCs w:val="24"/>
        </w:rPr>
        <w:t>,</w:t>
      </w:r>
      <w:r w:rsidR="002619B4">
        <w:rPr>
          <w:rFonts w:ascii="Times New Roman" w:hAnsi="Times New Roman"/>
          <w:sz w:val="24"/>
          <w:szCs w:val="24"/>
        </w:rPr>
        <w:t xml:space="preserve"> as </w:t>
      </w:r>
      <w:r w:rsidR="00C0442E">
        <w:rPr>
          <w:rFonts w:ascii="Times New Roman" w:hAnsi="Times New Roman"/>
          <w:sz w:val="24"/>
          <w:szCs w:val="24"/>
        </w:rPr>
        <w:t xml:space="preserve">these are internal transactions </w:t>
      </w:r>
      <w:r w:rsidR="00DF3F26">
        <w:rPr>
          <w:rFonts w:ascii="Times New Roman" w:hAnsi="Times New Roman"/>
          <w:sz w:val="24"/>
          <w:szCs w:val="24"/>
        </w:rPr>
        <w:t>about</w:t>
      </w:r>
      <w:r w:rsidR="00C0442E">
        <w:rPr>
          <w:rFonts w:ascii="Times New Roman" w:hAnsi="Times New Roman"/>
          <w:sz w:val="24"/>
          <w:szCs w:val="24"/>
        </w:rPr>
        <w:t xml:space="preserve"> which the mar</w:t>
      </w:r>
      <w:r w:rsidR="00DF3F26">
        <w:rPr>
          <w:rFonts w:ascii="Times New Roman" w:hAnsi="Times New Roman"/>
          <w:sz w:val="24"/>
          <w:szCs w:val="24"/>
        </w:rPr>
        <w:t>ket and APRA have</w:t>
      </w:r>
      <w:r w:rsidR="00C0442E">
        <w:rPr>
          <w:rFonts w:ascii="Times New Roman" w:hAnsi="Times New Roman"/>
          <w:sz w:val="24"/>
          <w:szCs w:val="24"/>
        </w:rPr>
        <w:t xml:space="preserve"> limited information</w:t>
      </w:r>
      <w:r w:rsidR="009F65E0">
        <w:rPr>
          <w:rFonts w:ascii="Times New Roman" w:hAnsi="Times New Roman"/>
          <w:sz w:val="24"/>
          <w:szCs w:val="24"/>
        </w:rPr>
        <w:t>.</w:t>
      </w:r>
      <w:r w:rsidR="002619B4">
        <w:rPr>
          <w:rFonts w:ascii="Times New Roman" w:hAnsi="Times New Roman"/>
          <w:sz w:val="24"/>
          <w:szCs w:val="24"/>
        </w:rPr>
        <w:t xml:space="preserve"> APRA’s ability to assess the true financial strength of APRA-regulated group members would be significantly enhanced by a consolidated view of the group’s risk profile</w:t>
      </w:r>
      <w:r w:rsidR="007E35FE">
        <w:rPr>
          <w:rFonts w:ascii="Times New Roman" w:hAnsi="Times New Roman"/>
          <w:sz w:val="24"/>
          <w:szCs w:val="24"/>
        </w:rPr>
        <w:t xml:space="preserve"> and these internal transactions</w:t>
      </w:r>
      <w:r w:rsidR="002619B4">
        <w:rPr>
          <w:rFonts w:ascii="Times New Roman" w:hAnsi="Times New Roman"/>
          <w:sz w:val="24"/>
          <w:szCs w:val="24"/>
        </w:rPr>
        <w:t>.</w:t>
      </w:r>
    </w:p>
    <w:p w14:paraId="5414852F" w14:textId="77777777" w:rsidR="006338C8" w:rsidRDefault="002619B4" w:rsidP="00861103">
      <w:pPr>
        <w:spacing w:after="240"/>
        <w:jc w:val="both"/>
        <w:rPr>
          <w:rFonts w:ascii="Times New Roman" w:hAnsi="Times New Roman"/>
          <w:sz w:val="24"/>
          <w:szCs w:val="24"/>
        </w:rPr>
      </w:pPr>
      <w:r>
        <w:rPr>
          <w:rFonts w:ascii="Times New Roman" w:hAnsi="Times New Roman"/>
          <w:sz w:val="24"/>
          <w:szCs w:val="24"/>
        </w:rPr>
        <w:t>A</w:t>
      </w:r>
      <w:r w:rsidRPr="000665CE">
        <w:rPr>
          <w:rFonts w:ascii="Times New Roman" w:hAnsi="Times New Roman"/>
          <w:sz w:val="24"/>
          <w:szCs w:val="24"/>
        </w:rPr>
        <w:t xml:space="preserve"> narrow, stand-alone view of regulated institutions </w:t>
      </w:r>
      <w:r w:rsidR="005A7E7D" w:rsidRPr="000665CE">
        <w:rPr>
          <w:rFonts w:ascii="Times New Roman" w:hAnsi="Times New Roman"/>
          <w:sz w:val="24"/>
          <w:szCs w:val="24"/>
        </w:rPr>
        <w:t xml:space="preserve">could further lead to undercapitalised commercial (non-financial) operations </w:t>
      </w:r>
      <w:r>
        <w:rPr>
          <w:rFonts w:ascii="Times New Roman" w:hAnsi="Times New Roman"/>
          <w:sz w:val="24"/>
          <w:szCs w:val="24"/>
        </w:rPr>
        <w:t xml:space="preserve">being </w:t>
      </w:r>
      <w:r w:rsidR="005A7E7D" w:rsidRPr="000665CE">
        <w:rPr>
          <w:rFonts w:ascii="Times New Roman" w:hAnsi="Times New Roman"/>
          <w:sz w:val="24"/>
          <w:szCs w:val="24"/>
        </w:rPr>
        <w:t>subsidised through group membership</w:t>
      </w:r>
      <w:r w:rsidR="00324C74">
        <w:rPr>
          <w:rFonts w:ascii="Times New Roman" w:hAnsi="Times New Roman"/>
          <w:sz w:val="24"/>
          <w:szCs w:val="24"/>
        </w:rPr>
        <w:t>,</w:t>
      </w:r>
      <w:r w:rsidR="005A7E7D" w:rsidRPr="000665CE">
        <w:rPr>
          <w:rFonts w:ascii="Times New Roman" w:hAnsi="Times New Roman"/>
          <w:sz w:val="24"/>
          <w:szCs w:val="24"/>
        </w:rPr>
        <w:t xml:space="preserve"> </w:t>
      </w:r>
      <w:r w:rsidR="00324C74" w:rsidRPr="000665CE">
        <w:rPr>
          <w:rFonts w:ascii="Times New Roman" w:hAnsi="Times New Roman"/>
          <w:sz w:val="24"/>
          <w:szCs w:val="24"/>
        </w:rPr>
        <w:t>distorting competition</w:t>
      </w:r>
      <w:r w:rsidR="00324C74">
        <w:rPr>
          <w:rFonts w:ascii="Times New Roman" w:hAnsi="Times New Roman"/>
          <w:sz w:val="24"/>
          <w:szCs w:val="24"/>
        </w:rPr>
        <w:t xml:space="preserve"> by being </w:t>
      </w:r>
      <w:r w:rsidR="005A7E7D" w:rsidRPr="000665CE">
        <w:rPr>
          <w:rFonts w:ascii="Times New Roman" w:hAnsi="Times New Roman"/>
          <w:sz w:val="24"/>
          <w:szCs w:val="24"/>
        </w:rPr>
        <w:t>able to operate with less capital than peers that are not members of conglomerate groups.</w:t>
      </w:r>
      <w:r w:rsidR="009F65E0" w:rsidRPr="009F65E0">
        <w:rPr>
          <w:rFonts w:ascii="Times New Roman" w:hAnsi="Times New Roman"/>
          <w:sz w:val="24"/>
          <w:szCs w:val="24"/>
        </w:rPr>
        <w:t xml:space="preserve"> </w:t>
      </w:r>
      <w:r w:rsidR="009F65E0">
        <w:rPr>
          <w:rFonts w:ascii="Times New Roman" w:hAnsi="Times New Roman"/>
          <w:sz w:val="24"/>
          <w:szCs w:val="24"/>
        </w:rPr>
        <w:t xml:space="preserve">Clients of </w:t>
      </w:r>
      <w:r w:rsidR="00DF3F26">
        <w:rPr>
          <w:rFonts w:ascii="Times New Roman" w:hAnsi="Times New Roman"/>
          <w:sz w:val="24"/>
          <w:szCs w:val="24"/>
        </w:rPr>
        <w:t xml:space="preserve">a </w:t>
      </w:r>
      <w:r w:rsidR="009F65E0">
        <w:rPr>
          <w:rFonts w:ascii="Times New Roman" w:hAnsi="Times New Roman"/>
          <w:sz w:val="24"/>
          <w:szCs w:val="24"/>
        </w:rPr>
        <w:t xml:space="preserve">groups’ commercial operations </w:t>
      </w:r>
      <w:r w:rsidR="008A381A">
        <w:rPr>
          <w:rFonts w:ascii="Times New Roman" w:hAnsi="Times New Roman"/>
          <w:sz w:val="24"/>
          <w:szCs w:val="24"/>
        </w:rPr>
        <w:t xml:space="preserve">are likely </w:t>
      </w:r>
      <w:r w:rsidR="009F65E0">
        <w:rPr>
          <w:rFonts w:ascii="Times New Roman" w:hAnsi="Times New Roman"/>
          <w:sz w:val="24"/>
          <w:szCs w:val="24"/>
        </w:rPr>
        <w:t xml:space="preserve">to accept the risks associated with the commercial operations’ undercapitalisation as they assume that the operations are implicitly backed by </w:t>
      </w:r>
      <w:r w:rsidR="007E35FE">
        <w:rPr>
          <w:rFonts w:ascii="Times New Roman" w:hAnsi="Times New Roman"/>
          <w:sz w:val="24"/>
          <w:szCs w:val="24"/>
        </w:rPr>
        <w:t>prudentially regulated institutions</w:t>
      </w:r>
      <w:r w:rsidR="004F4BA0">
        <w:rPr>
          <w:rFonts w:ascii="Times New Roman" w:hAnsi="Times New Roman"/>
          <w:sz w:val="24"/>
          <w:szCs w:val="24"/>
        </w:rPr>
        <w:t>, which</w:t>
      </w:r>
      <w:r w:rsidR="007E35FE">
        <w:rPr>
          <w:rFonts w:ascii="Times New Roman" w:hAnsi="Times New Roman"/>
          <w:sz w:val="24"/>
          <w:szCs w:val="24"/>
        </w:rPr>
        <w:t xml:space="preserve"> </w:t>
      </w:r>
      <w:r w:rsidR="004F4BA0">
        <w:rPr>
          <w:rFonts w:ascii="Times New Roman" w:hAnsi="Times New Roman"/>
          <w:sz w:val="24"/>
          <w:szCs w:val="24"/>
        </w:rPr>
        <w:t xml:space="preserve">may </w:t>
      </w:r>
      <w:r w:rsidR="00DB6DA1">
        <w:rPr>
          <w:rFonts w:ascii="Times New Roman" w:hAnsi="Times New Roman"/>
          <w:sz w:val="24"/>
          <w:szCs w:val="24"/>
        </w:rPr>
        <w:t xml:space="preserve">use capital holdings to </w:t>
      </w:r>
      <w:r w:rsidR="001A2C83">
        <w:rPr>
          <w:rFonts w:ascii="Times New Roman" w:hAnsi="Times New Roman"/>
          <w:sz w:val="24"/>
          <w:szCs w:val="24"/>
        </w:rPr>
        <w:t xml:space="preserve">provide financial support to </w:t>
      </w:r>
      <w:r w:rsidR="004F4BA0">
        <w:rPr>
          <w:rFonts w:ascii="Times New Roman" w:hAnsi="Times New Roman"/>
          <w:sz w:val="24"/>
          <w:szCs w:val="24"/>
        </w:rPr>
        <w:t xml:space="preserve">related institutions of the </w:t>
      </w:r>
      <w:r w:rsidR="009F65E0">
        <w:rPr>
          <w:rFonts w:ascii="Times New Roman" w:hAnsi="Times New Roman"/>
          <w:sz w:val="24"/>
          <w:szCs w:val="24"/>
        </w:rPr>
        <w:t xml:space="preserve">group </w:t>
      </w:r>
      <w:r w:rsidR="004F4BA0">
        <w:rPr>
          <w:rFonts w:ascii="Times New Roman" w:hAnsi="Times New Roman"/>
          <w:sz w:val="24"/>
          <w:szCs w:val="24"/>
        </w:rPr>
        <w:t>for reputational reasons</w:t>
      </w:r>
      <w:r w:rsidR="009F65E0">
        <w:rPr>
          <w:rFonts w:ascii="Times New Roman" w:hAnsi="Times New Roman"/>
          <w:sz w:val="24"/>
          <w:szCs w:val="24"/>
        </w:rPr>
        <w:t>.</w:t>
      </w:r>
    </w:p>
    <w:p w14:paraId="32463025" w14:textId="281ABC3C" w:rsidR="00BB58A9" w:rsidRDefault="00BB58A9" w:rsidP="00BB58A9">
      <w:pPr>
        <w:spacing w:after="240"/>
        <w:jc w:val="both"/>
        <w:rPr>
          <w:rFonts w:ascii="Times New Roman" w:hAnsi="Times New Roman"/>
          <w:sz w:val="24"/>
          <w:szCs w:val="24"/>
        </w:rPr>
      </w:pPr>
      <w:r>
        <w:rPr>
          <w:rFonts w:ascii="Times New Roman" w:hAnsi="Times New Roman"/>
          <w:sz w:val="24"/>
          <w:szCs w:val="24"/>
        </w:rPr>
        <w:t xml:space="preserve">It could be argued that diversification </w:t>
      </w:r>
      <w:r w:rsidR="00BB03D5">
        <w:rPr>
          <w:rFonts w:ascii="Times New Roman" w:hAnsi="Times New Roman"/>
          <w:sz w:val="24"/>
          <w:szCs w:val="24"/>
        </w:rPr>
        <w:t xml:space="preserve">is a </w:t>
      </w:r>
      <w:r>
        <w:rPr>
          <w:rFonts w:ascii="Times New Roman" w:hAnsi="Times New Roman"/>
          <w:sz w:val="24"/>
          <w:szCs w:val="24"/>
        </w:rPr>
        <w:t xml:space="preserve">benefit of conglomerate group membership: by performing activities in various industries, losses in one industry can be offset by profits in another. APRA does not dispute the potential for diversification benefits </w:t>
      </w:r>
      <w:r w:rsidR="00BB03D5">
        <w:rPr>
          <w:rFonts w:ascii="Times New Roman" w:hAnsi="Times New Roman"/>
          <w:sz w:val="24"/>
          <w:szCs w:val="24"/>
        </w:rPr>
        <w:t xml:space="preserve">to arise </w:t>
      </w:r>
      <w:r>
        <w:rPr>
          <w:rFonts w:ascii="Times New Roman" w:hAnsi="Times New Roman"/>
          <w:sz w:val="24"/>
          <w:szCs w:val="24"/>
        </w:rPr>
        <w:t xml:space="preserve">in normal financial situations. However, in a financial crisis the diversification benefits can disappear, and concentration and contagion risks can manifest. One example of a conglomerate group affected by the disappearance of diversification benefits is the ING Group. The group’s banking and insurance operations were separate </w:t>
      </w:r>
      <w:r>
        <w:rPr>
          <w:rFonts w:ascii="Times New Roman" w:hAnsi="Times New Roman"/>
          <w:sz w:val="24"/>
          <w:szCs w:val="24"/>
        </w:rPr>
        <w:lastRenderedPageBreak/>
        <w:t>subsidiaries of a non-operating holding company</w:t>
      </w:r>
      <w:r w:rsidR="0068544C">
        <w:rPr>
          <w:rFonts w:ascii="Times New Roman" w:hAnsi="Times New Roman"/>
          <w:sz w:val="24"/>
          <w:szCs w:val="24"/>
        </w:rPr>
        <w:t xml:space="preserve"> which was 10 per cent geared</w:t>
      </w:r>
      <w:r w:rsidR="001A2C83">
        <w:rPr>
          <w:rFonts w:ascii="Times New Roman" w:hAnsi="Times New Roman"/>
          <w:sz w:val="24"/>
          <w:szCs w:val="24"/>
        </w:rPr>
        <w:t>.</w:t>
      </w:r>
      <w:r w:rsidR="0068544C">
        <w:rPr>
          <w:rFonts w:ascii="Times New Roman" w:hAnsi="Times New Roman"/>
          <w:sz w:val="24"/>
          <w:szCs w:val="24"/>
        </w:rPr>
        <w:t xml:space="preserve"> </w:t>
      </w:r>
      <w:r w:rsidR="001A2C83">
        <w:rPr>
          <w:rFonts w:ascii="Times New Roman" w:hAnsi="Times New Roman"/>
          <w:sz w:val="24"/>
          <w:szCs w:val="24"/>
        </w:rPr>
        <w:t>T</w:t>
      </w:r>
      <w:r w:rsidR="0068544C">
        <w:rPr>
          <w:rFonts w:ascii="Times New Roman" w:hAnsi="Times New Roman"/>
          <w:sz w:val="24"/>
          <w:szCs w:val="24"/>
        </w:rPr>
        <w:t xml:space="preserve">he group </w:t>
      </w:r>
      <w:r w:rsidR="00A03D3D">
        <w:rPr>
          <w:rFonts w:ascii="Times New Roman" w:hAnsi="Times New Roman"/>
          <w:sz w:val="24"/>
          <w:szCs w:val="24"/>
        </w:rPr>
        <w:t xml:space="preserve">argued </w:t>
      </w:r>
      <w:r w:rsidR="001A2C83">
        <w:rPr>
          <w:rFonts w:ascii="Times New Roman" w:hAnsi="Times New Roman"/>
          <w:sz w:val="24"/>
          <w:szCs w:val="24"/>
        </w:rPr>
        <w:t xml:space="preserve">that this gearing </w:t>
      </w:r>
      <w:r w:rsidR="00A03D3D">
        <w:rPr>
          <w:rFonts w:ascii="Times New Roman" w:hAnsi="Times New Roman"/>
          <w:sz w:val="24"/>
          <w:szCs w:val="24"/>
        </w:rPr>
        <w:t xml:space="preserve">reflected </w:t>
      </w:r>
      <w:r w:rsidR="0068544C">
        <w:rPr>
          <w:rFonts w:ascii="Times New Roman" w:hAnsi="Times New Roman"/>
          <w:sz w:val="24"/>
          <w:szCs w:val="24"/>
        </w:rPr>
        <w:t xml:space="preserve">diversification benefits </w:t>
      </w:r>
      <w:r w:rsidR="00A03D3D">
        <w:rPr>
          <w:rFonts w:ascii="Times New Roman" w:hAnsi="Times New Roman"/>
          <w:sz w:val="24"/>
          <w:szCs w:val="24"/>
        </w:rPr>
        <w:t>between the banking and insurance businesses</w:t>
      </w:r>
      <w:r>
        <w:rPr>
          <w:rFonts w:ascii="Times New Roman" w:hAnsi="Times New Roman"/>
          <w:sz w:val="24"/>
          <w:szCs w:val="24"/>
        </w:rPr>
        <w:t>.</w:t>
      </w:r>
      <w:r w:rsidR="0068544C">
        <w:rPr>
          <w:rFonts w:ascii="Times New Roman" w:hAnsi="Times New Roman"/>
          <w:sz w:val="24"/>
          <w:szCs w:val="24"/>
        </w:rPr>
        <w:t xml:space="preserve"> During the global financial crisis, the group required a </w:t>
      </w:r>
      <w:r w:rsidR="00DE19F1">
        <w:rPr>
          <w:rFonts w:ascii="Times New Roman" w:hAnsi="Times New Roman"/>
          <w:sz w:val="24"/>
          <w:szCs w:val="24"/>
        </w:rPr>
        <w:t>€</w:t>
      </w:r>
      <w:r w:rsidR="0068544C">
        <w:rPr>
          <w:rFonts w:ascii="Times New Roman" w:hAnsi="Times New Roman"/>
          <w:sz w:val="24"/>
          <w:szCs w:val="24"/>
        </w:rPr>
        <w:t xml:space="preserve">10 billion </w:t>
      </w:r>
      <w:r w:rsidR="00BB03D5">
        <w:rPr>
          <w:rFonts w:ascii="Times New Roman" w:hAnsi="Times New Roman"/>
          <w:sz w:val="24"/>
          <w:szCs w:val="24"/>
        </w:rPr>
        <w:t xml:space="preserve">bailout from the </w:t>
      </w:r>
      <w:r w:rsidR="00A03D3D">
        <w:rPr>
          <w:rFonts w:ascii="Times New Roman" w:hAnsi="Times New Roman"/>
          <w:sz w:val="24"/>
          <w:szCs w:val="24"/>
        </w:rPr>
        <w:t xml:space="preserve">Dutch </w:t>
      </w:r>
      <w:r w:rsidR="0068544C">
        <w:rPr>
          <w:rFonts w:ascii="Times New Roman" w:hAnsi="Times New Roman"/>
          <w:sz w:val="24"/>
          <w:szCs w:val="24"/>
        </w:rPr>
        <w:t>Government</w:t>
      </w:r>
      <w:r w:rsidR="00BB03D5">
        <w:rPr>
          <w:rFonts w:ascii="Times New Roman" w:hAnsi="Times New Roman"/>
          <w:sz w:val="24"/>
          <w:szCs w:val="24"/>
        </w:rPr>
        <w:t xml:space="preserve">, </w:t>
      </w:r>
      <w:r w:rsidR="0068544C">
        <w:rPr>
          <w:rFonts w:ascii="Times New Roman" w:hAnsi="Times New Roman"/>
          <w:sz w:val="24"/>
          <w:szCs w:val="24"/>
        </w:rPr>
        <w:t xml:space="preserve">of which </w:t>
      </w:r>
      <w:r w:rsidR="00DE19F1">
        <w:rPr>
          <w:rFonts w:ascii="Times New Roman" w:hAnsi="Times New Roman"/>
          <w:sz w:val="24"/>
          <w:szCs w:val="24"/>
        </w:rPr>
        <w:t>€</w:t>
      </w:r>
      <w:r w:rsidR="0068544C">
        <w:rPr>
          <w:rFonts w:ascii="Times New Roman" w:hAnsi="Times New Roman"/>
          <w:sz w:val="24"/>
          <w:szCs w:val="24"/>
        </w:rPr>
        <w:t xml:space="preserve">3 billion was </w:t>
      </w:r>
      <w:r w:rsidR="00A03D3D">
        <w:rPr>
          <w:rFonts w:ascii="Times New Roman" w:hAnsi="Times New Roman"/>
          <w:sz w:val="24"/>
          <w:szCs w:val="24"/>
        </w:rPr>
        <w:t xml:space="preserve">provided to </w:t>
      </w:r>
      <w:r w:rsidR="0068544C">
        <w:rPr>
          <w:rFonts w:ascii="Times New Roman" w:hAnsi="Times New Roman"/>
          <w:sz w:val="24"/>
          <w:szCs w:val="24"/>
        </w:rPr>
        <w:t xml:space="preserve">the holding company to reduce its debt/equity ratio. </w:t>
      </w:r>
      <w:r w:rsidR="00BB03D5">
        <w:rPr>
          <w:rFonts w:ascii="Times New Roman" w:hAnsi="Times New Roman"/>
          <w:sz w:val="24"/>
          <w:szCs w:val="24"/>
        </w:rPr>
        <w:t xml:space="preserve">This was a consequence of the significantly reduced diversification benefits in a time of crisis. </w:t>
      </w:r>
      <w:r w:rsidR="0068544C">
        <w:rPr>
          <w:rFonts w:ascii="Times New Roman" w:hAnsi="Times New Roman"/>
          <w:sz w:val="24"/>
          <w:szCs w:val="24"/>
        </w:rPr>
        <w:t xml:space="preserve">These </w:t>
      </w:r>
      <w:r w:rsidR="00A03D3D">
        <w:rPr>
          <w:rFonts w:ascii="Times New Roman" w:hAnsi="Times New Roman"/>
          <w:sz w:val="24"/>
          <w:szCs w:val="24"/>
        </w:rPr>
        <w:t xml:space="preserve">taxpayer </w:t>
      </w:r>
      <w:r w:rsidR="0068544C">
        <w:rPr>
          <w:rFonts w:ascii="Times New Roman" w:hAnsi="Times New Roman"/>
          <w:sz w:val="24"/>
          <w:szCs w:val="24"/>
        </w:rPr>
        <w:t xml:space="preserve">funds did not support depositors or policyholders but instead were </w:t>
      </w:r>
      <w:r w:rsidR="00A03D3D">
        <w:rPr>
          <w:rFonts w:ascii="Times New Roman" w:hAnsi="Times New Roman"/>
          <w:sz w:val="24"/>
          <w:szCs w:val="24"/>
        </w:rPr>
        <w:t xml:space="preserve">deemed necessary to prevent a loss of market confidence and </w:t>
      </w:r>
      <w:r w:rsidR="00553A27">
        <w:rPr>
          <w:rFonts w:ascii="Times New Roman" w:hAnsi="Times New Roman"/>
          <w:sz w:val="24"/>
          <w:szCs w:val="24"/>
        </w:rPr>
        <w:t>potential</w:t>
      </w:r>
      <w:r w:rsidR="00A03D3D">
        <w:rPr>
          <w:rFonts w:ascii="Times New Roman" w:hAnsi="Times New Roman"/>
          <w:sz w:val="24"/>
          <w:szCs w:val="24"/>
        </w:rPr>
        <w:t xml:space="preserve"> contagion.</w:t>
      </w:r>
      <w:r w:rsidR="001D03EA">
        <w:rPr>
          <w:rFonts w:ascii="Times New Roman" w:hAnsi="Times New Roman"/>
          <w:sz w:val="24"/>
          <w:szCs w:val="24"/>
        </w:rPr>
        <w:t xml:space="preserve"> </w:t>
      </w:r>
      <w:r w:rsidR="001A2C83">
        <w:rPr>
          <w:rFonts w:ascii="Times New Roman" w:hAnsi="Times New Roman"/>
          <w:sz w:val="24"/>
          <w:szCs w:val="24"/>
        </w:rPr>
        <w:t>APRA considers that</w:t>
      </w:r>
      <w:r w:rsidR="001D03EA">
        <w:rPr>
          <w:rFonts w:ascii="Times New Roman" w:hAnsi="Times New Roman"/>
          <w:sz w:val="24"/>
          <w:szCs w:val="24"/>
        </w:rPr>
        <w:t xml:space="preserve"> diversification is </w:t>
      </w:r>
      <w:r w:rsidR="001D03EA" w:rsidRPr="001D03EA">
        <w:rPr>
          <w:rFonts w:ascii="Times New Roman" w:hAnsi="Times New Roman"/>
          <w:sz w:val="24"/>
          <w:szCs w:val="24"/>
        </w:rPr>
        <w:t xml:space="preserve">driven by assumptions. These assumptions can quickly transform and even reverse </w:t>
      </w:r>
      <w:r w:rsidR="001D03EA">
        <w:rPr>
          <w:rFonts w:ascii="Times New Roman" w:hAnsi="Times New Roman"/>
          <w:sz w:val="24"/>
          <w:szCs w:val="24"/>
        </w:rPr>
        <w:t>following a significant deterioration of economic conditions.</w:t>
      </w:r>
    </w:p>
    <w:p w14:paraId="49B1CDA3" w14:textId="24B4207E" w:rsidR="005A7E7D" w:rsidRDefault="005A7E7D" w:rsidP="00861103">
      <w:pPr>
        <w:spacing w:after="240"/>
        <w:jc w:val="both"/>
        <w:rPr>
          <w:rFonts w:ascii="Times New Roman" w:hAnsi="Times New Roman"/>
          <w:sz w:val="24"/>
          <w:szCs w:val="24"/>
        </w:rPr>
      </w:pPr>
      <w:r w:rsidRPr="000665CE">
        <w:rPr>
          <w:rFonts w:ascii="Times New Roman" w:hAnsi="Times New Roman"/>
          <w:sz w:val="24"/>
          <w:szCs w:val="24"/>
        </w:rPr>
        <w:t xml:space="preserve">Overall, </w:t>
      </w:r>
      <w:r w:rsidR="00DF3F26">
        <w:rPr>
          <w:rFonts w:ascii="Times New Roman" w:hAnsi="Times New Roman"/>
          <w:sz w:val="24"/>
          <w:szCs w:val="24"/>
        </w:rPr>
        <w:t xml:space="preserve">the </w:t>
      </w:r>
      <w:r w:rsidRPr="000665CE">
        <w:rPr>
          <w:rFonts w:ascii="Times New Roman" w:hAnsi="Times New Roman"/>
          <w:sz w:val="24"/>
          <w:szCs w:val="24"/>
        </w:rPr>
        <w:t xml:space="preserve">likely consequences of inadequate supervision of conglomerate groups include: increased risks to the Australian financial system, increased risks to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sidRPr="000665CE">
        <w:rPr>
          <w:rFonts w:ascii="Times New Roman" w:hAnsi="Times New Roman"/>
          <w:sz w:val="24"/>
          <w:szCs w:val="24"/>
        </w:rPr>
        <w:t>, and increased risk of Government bailouts.</w:t>
      </w:r>
      <w:r w:rsidR="003326BC" w:rsidRPr="003326BC">
        <w:rPr>
          <w:rFonts w:ascii="Times New Roman" w:hAnsi="Times New Roman"/>
          <w:sz w:val="24"/>
          <w:szCs w:val="24"/>
        </w:rPr>
        <w:t xml:space="preserve"> </w:t>
      </w:r>
      <w:r w:rsidR="003326BC">
        <w:rPr>
          <w:rFonts w:ascii="Times New Roman" w:hAnsi="Times New Roman"/>
          <w:sz w:val="24"/>
          <w:szCs w:val="24"/>
        </w:rPr>
        <w:t xml:space="preserve">There is currently a regulatory gap in relation to this issue, as APRA’s existing Level 1 and Level 2 supervision frameworks do not explicitly </w:t>
      </w:r>
      <w:r w:rsidR="00BB03D5">
        <w:rPr>
          <w:rFonts w:ascii="Times New Roman" w:hAnsi="Times New Roman"/>
          <w:sz w:val="24"/>
          <w:szCs w:val="24"/>
        </w:rPr>
        <w:t>address these risks</w:t>
      </w:r>
      <w:r w:rsidR="003326BC">
        <w:rPr>
          <w:rFonts w:ascii="Times New Roman" w:hAnsi="Times New Roman"/>
          <w:sz w:val="24"/>
          <w:szCs w:val="24"/>
        </w:rPr>
        <w:t>.</w:t>
      </w:r>
    </w:p>
    <w:p w14:paraId="452ACA05" w14:textId="77777777" w:rsidR="007E5089" w:rsidRDefault="00586706" w:rsidP="00861103">
      <w:pPr>
        <w:spacing w:after="240"/>
        <w:jc w:val="both"/>
        <w:rPr>
          <w:rFonts w:ascii="Times New Roman" w:hAnsi="Times New Roman"/>
          <w:sz w:val="24"/>
          <w:szCs w:val="24"/>
        </w:rPr>
      </w:pPr>
      <w:r>
        <w:rPr>
          <w:rFonts w:ascii="Times New Roman" w:hAnsi="Times New Roman"/>
          <w:sz w:val="24"/>
          <w:szCs w:val="24"/>
        </w:rPr>
        <w:t>APRA considers that the complexity of conglomerate groups limit</w:t>
      </w:r>
      <w:r w:rsidR="00677F12">
        <w:rPr>
          <w:rFonts w:ascii="Times New Roman" w:hAnsi="Times New Roman"/>
          <w:sz w:val="24"/>
          <w:szCs w:val="24"/>
        </w:rPr>
        <w:t>s</w:t>
      </w:r>
      <w:r>
        <w:rPr>
          <w:rFonts w:ascii="Times New Roman" w:hAnsi="Times New Roman"/>
          <w:sz w:val="24"/>
          <w:szCs w:val="24"/>
        </w:rPr>
        <w:t xml:space="preserve"> the potential for private or commercial incentives</w:t>
      </w:r>
      <w:r w:rsidR="00931FD7">
        <w:rPr>
          <w:rFonts w:ascii="Times New Roman" w:hAnsi="Times New Roman"/>
          <w:sz w:val="24"/>
          <w:szCs w:val="24"/>
        </w:rPr>
        <w:t xml:space="preserve"> to </w:t>
      </w:r>
      <w:r w:rsidR="00BB03D5">
        <w:rPr>
          <w:rFonts w:ascii="Times New Roman" w:hAnsi="Times New Roman"/>
          <w:sz w:val="24"/>
          <w:szCs w:val="24"/>
        </w:rPr>
        <w:t xml:space="preserve">reduce </w:t>
      </w:r>
      <w:r w:rsidR="00931FD7">
        <w:rPr>
          <w:rFonts w:ascii="Times New Roman" w:hAnsi="Times New Roman"/>
          <w:sz w:val="24"/>
          <w:szCs w:val="24"/>
        </w:rPr>
        <w:t xml:space="preserve">the risks </w:t>
      </w:r>
      <w:r w:rsidR="00BB03D5">
        <w:rPr>
          <w:rFonts w:ascii="Times New Roman" w:hAnsi="Times New Roman"/>
          <w:sz w:val="24"/>
          <w:szCs w:val="24"/>
        </w:rPr>
        <w:t xml:space="preserve">to which </w:t>
      </w:r>
      <w:r w:rsidR="00931FD7">
        <w:rPr>
          <w:rFonts w:ascii="Times New Roman" w:hAnsi="Times New Roman"/>
          <w:sz w:val="24"/>
          <w:szCs w:val="24"/>
        </w:rPr>
        <w:t>conglomerate groups are exposed</w:t>
      </w:r>
      <w:r w:rsidR="007E5089">
        <w:rPr>
          <w:rFonts w:ascii="Times New Roman" w:hAnsi="Times New Roman"/>
          <w:sz w:val="24"/>
          <w:szCs w:val="24"/>
        </w:rPr>
        <w:t>:</w:t>
      </w:r>
    </w:p>
    <w:p w14:paraId="1594F98F" w14:textId="77777777" w:rsidR="007E5089" w:rsidRPr="00513B54" w:rsidRDefault="008A381A" w:rsidP="00513B54">
      <w:pPr>
        <w:pStyle w:val="ListParagraph"/>
      </w:pPr>
      <w:r w:rsidRPr="00513B54">
        <w:t>s</w:t>
      </w:r>
      <w:r w:rsidR="00677F12" w:rsidRPr="00513B54">
        <w:t xml:space="preserve">hareholders </w:t>
      </w:r>
      <w:r w:rsidR="001C6EE4" w:rsidRPr="00513B54">
        <w:t xml:space="preserve">have </w:t>
      </w:r>
      <w:r w:rsidR="001D03EA" w:rsidRPr="00513B54">
        <w:t xml:space="preserve">an </w:t>
      </w:r>
      <w:r w:rsidR="00677F12" w:rsidRPr="00513B54">
        <w:t>asymmetric incentive</w:t>
      </w:r>
      <w:r w:rsidR="004F6A1B" w:rsidRPr="00513B54">
        <w:t xml:space="preserve"> for risk-taking</w:t>
      </w:r>
      <w:r w:rsidR="001C6EE4" w:rsidRPr="00513B54">
        <w:t>,</w:t>
      </w:r>
      <w:r w:rsidR="00BB03D5" w:rsidRPr="00513B54">
        <w:t xml:space="preserve"> through </w:t>
      </w:r>
      <w:r w:rsidR="00677F12" w:rsidRPr="00513B54">
        <w:t>limited downside losses and potentially unlimited upside gains</w:t>
      </w:r>
      <w:r w:rsidRPr="00513B54">
        <w:t>;</w:t>
      </w:r>
    </w:p>
    <w:p w14:paraId="0F36B154" w14:textId="77777777" w:rsidR="007E5089" w:rsidRPr="00513B54" w:rsidRDefault="008A381A" w:rsidP="00513B54">
      <w:pPr>
        <w:pStyle w:val="ListParagraph"/>
      </w:pPr>
      <w:r w:rsidRPr="00513B54">
        <w:t>w</w:t>
      </w:r>
      <w:r w:rsidR="00677F12" w:rsidRPr="00513B54">
        <w:t xml:space="preserve">hile </w:t>
      </w:r>
      <w:r w:rsidR="00176598" w:rsidRPr="00513B54">
        <w:t xml:space="preserve">credit ratings issued by </w:t>
      </w:r>
      <w:r w:rsidR="00677F12" w:rsidRPr="00513B54">
        <w:t xml:space="preserve">rating agencies provide an incentive for groups to ensure adequate capitalisation, </w:t>
      </w:r>
      <w:r w:rsidR="00176598" w:rsidRPr="00513B54">
        <w:t xml:space="preserve">these </w:t>
      </w:r>
      <w:r w:rsidR="00677F12" w:rsidRPr="00513B54">
        <w:t xml:space="preserve">ratings are limited to assessing the risk to a group’s </w:t>
      </w:r>
      <w:r w:rsidR="003776F6" w:rsidRPr="00513B54">
        <w:t xml:space="preserve">shareholders and </w:t>
      </w:r>
      <w:r w:rsidR="00677F12" w:rsidRPr="00513B54">
        <w:t>debt</w:t>
      </w:r>
      <w:r w:rsidR="0055692D" w:rsidRPr="00513B54">
        <w:t xml:space="preserve"> holders</w:t>
      </w:r>
      <w:r w:rsidR="00677F12" w:rsidRPr="00513B54">
        <w:t>, rather than all stakeholders</w:t>
      </w:r>
      <w:r w:rsidR="00CE412B" w:rsidRPr="00513B54">
        <w:t>, including customers, suppliers and the broader community</w:t>
      </w:r>
      <w:r w:rsidR="00176598" w:rsidRPr="00513B54">
        <w:t>. Further</w:t>
      </w:r>
      <w:r w:rsidR="00992A11" w:rsidRPr="00513B54">
        <w:t xml:space="preserve">, </w:t>
      </w:r>
      <w:r w:rsidR="00176598" w:rsidRPr="00513B54">
        <w:t xml:space="preserve">the credit ratings of </w:t>
      </w:r>
      <w:r w:rsidR="001D03EA" w:rsidRPr="00513B54">
        <w:t xml:space="preserve">certain </w:t>
      </w:r>
      <w:r w:rsidR="00176598" w:rsidRPr="00513B54">
        <w:t>conglomerate groups</w:t>
      </w:r>
      <w:r w:rsidR="001D03EA" w:rsidRPr="00513B54">
        <w:t xml:space="preserve"> </w:t>
      </w:r>
      <w:r w:rsidR="00176598" w:rsidRPr="00513B54">
        <w:t xml:space="preserve">and group members </w:t>
      </w:r>
      <w:r w:rsidR="00992A11" w:rsidRPr="00513B54">
        <w:t xml:space="preserve">include an uplift </w:t>
      </w:r>
      <w:r w:rsidR="001D03EA" w:rsidRPr="00513B54">
        <w:t xml:space="preserve">due to assumed </w:t>
      </w:r>
      <w:r w:rsidR="00CE412B" w:rsidRPr="00513B54">
        <w:t>G</w:t>
      </w:r>
      <w:r w:rsidR="001D03EA" w:rsidRPr="00513B54">
        <w:t>overnment support</w:t>
      </w:r>
      <w:r w:rsidR="00CE412B" w:rsidRPr="00513B54">
        <w:t>; the incentive to ensure adequate capitalisation is therefore at least partially transferred from the group to the Government</w:t>
      </w:r>
      <w:r w:rsidRPr="00513B54">
        <w:t>;</w:t>
      </w:r>
    </w:p>
    <w:p w14:paraId="403D96D8" w14:textId="77777777" w:rsidR="007E5089" w:rsidRPr="00513B54" w:rsidRDefault="00677F12" w:rsidP="00513B54">
      <w:pPr>
        <w:pStyle w:val="ListParagraph"/>
      </w:pPr>
      <w:r w:rsidRPr="00513B54">
        <w:t xml:space="preserve">clients of groups’ commercial operations are willing to accept </w:t>
      </w:r>
      <w:r w:rsidR="00557150" w:rsidRPr="00513B54">
        <w:t xml:space="preserve">the risks associated with </w:t>
      </w:r>
      <w:r w:rsidRPr="00513B54">
        <w:t>the commercial operation</w:t>
      </w:r>
      <w:r w:rsidR="00557150" w:rsidRPr="00513B54">
        <w:t>s’</w:t>
      </w:r>
      <w:r w:rsidRPr="00513B54">
        <w:t xml:space="preserve"> undercapit</w:t>
      </w:r>
      <w:r w:rsidR="00557150" w:rsidRPr="00513B54">
        <w:t>alisation</w:t>
      </w:r>
      <w:r w:rsidRPr="00513B54">
        <w:t xml:space="preserve"> </w:t>
      </w:r>
      <w:r w:rsidR="00557150" w:rsidRPr="00513B54">
        <w:t xml:space="preserve">as </w:t>
      </w:r>
      <w:r w:rsidRPr="00513B54">
        <w:t xml:space="preserve">they assume that the operations are </w:t>
      </w:r>
      <w:r w:rsidR="00557150" w:rsidRPr="00513B54">
        <w:t xml:space="preserve">implicitly </w:t>
      </w:r>
      <w:r w:rsidRPr="00513B54">
        <w:t xml:space="preserve">backed by </w:t>
      </w:r>
      <w:r w:rsidR="00557150" w:rsidRPr="00513B54">
        <w:t>the group</w:t>
      </w:r>
      <w:r w:rsidR="007E5089" w:rsidRPr="00513B54">
        <w:t>, and presumably also because they assume that the prudential regulator (i.e., APRA) would ensure that the group as a whole is appropriately capitalised</w:t>
      </w:r>
      <w:r w:rsidR="008A381A" w:rsidRPr="00513B54">
        <w:t>;</w:t>
      </w:r>
    </w:p>
    <w:p w14:paraId="15D0A035" w14:textId="77777777" w:rsidR="007E5089" w:rsidRPr="00513B54" w:rsidRDefault="004F6A1B" w:rsidP="00513B54">
      <w:pPr>
        <w:pStyle w:val="ListParagraph"/>
      </w:pPr>
      <w:r w:rsidRPr="00513B54">
        <w:t>depositors</w:t>
      </w:r>
      <w:r w:rsidR="00677F12" w:rsidRPr="00513B54">
        <w:t xml:space="preserve"> </w:t>
      </w:r>
      <w:r w:rsidR="008A381A" w:rsidRPr="00513B54">
        <w:t xml:space="preserve">and general insurance policyholders </w:t>
      </w:r>
      <w:r w:rsidR="00677F12" w:rsidRPr="00513B54">
        <w:t xml:space="preserve">are protected by </w:t>
      </w:r>
      <w:r w:rsidR="00993946" w:rsidRPr="00513B54">
        <w:t>Financial Claims Scheme</w:t>
      </w:r>
      <w:r w:rsidR="00DF3F26" w:rsidRPr="00513B54">
        <w:t>s</w:t>
      </w:r>
      <w:r w:rsidR="00677F12" w:rsidRPr="00513B54">
        <w:t xml:space="preserve"> and depend on APRA to fulfil its statutory obligations to protect their interests</w:t>
      </w:r>
      <w:r w:rsidR="008A381A" w:rsidRPr="00513B54">
        <w:t>; and</w:t>
      </w:r>
    </w:p>
    <w:p w14:paraId="7F9ECC85" w14:textId="77777777" w:rsidR="007E5089" w:rsidRPr="00513B54" w:rsidRDefault="00557150" w:rsidP="00513B54">
      <w:pPr>
        <w:pStyle w:val="ListParagraph"/>
      </w:pPr>
      <w:r w:rsidRPr="00513B54">
        <w:t>significant private losses suffered by a conglomerate group</w:t>
      </w:r>
      <w:r w:rsidR="004F6A1B" w:rsidRPr="00513B54">
        <w:t xml:space="preserve"> could adversely affect public confidence in other financial institutions and in the Australian financial system as a whole</w:t>
      </w:r>
      <w:r w:rsidRPr="00513B54">
        <w:t>.</w:t>
      </w:r>
    </w:p>
    <w:p w14:paraId="0A18FE29" w14:textId="77777777" w:rsidR="00586706" w:rsidRPr="007E5089" w:rsidRDefault="00557150" w:rsidP="007E5089">
      <w:pPr>
        <w:spacing w:after="240"/>
        <w:jc w:val="both"/>
        <w:rPr>
          <w:rFonts w:ascii="Times New Roman" w:hAnsi="Times New Roman"/>
          <w:sz w:val="24"/>
          <w:szCs w:val="24"/>
        </w:rPr>
      </w:pPr>
      <w:r w:rsidRPr="007E5089">
        <w:rPr>
          <w:rFonts w:ascii="Times New Roman" w:hAnsi="Times New Roman"/>
          <w:sz w:val="24"/>
          <w:szCs w:val="24"/>
        </w:rPr>
        <w:t>For the</w:t>
      </w:r>
      <w:r w:rsidR="007E5089">
        <w:rPr>
          <w:rFonts w:ascii="Times New Roman" w:hAnsi="Times New Roman"/>
          <w:sz w:val="24"/>
          <w:szCs w:val="24"/>
        </w:rPr>
        <w:t xml:space="preserve"> above</w:t>
      </w:r>
      <w:r w:rsidRPr="007E5089">
        <w:rPr>
          <w:rFonts w:ascii="Times New Roman" w:hAnsi="Times New Roman"/>
          <w:sz w:val="24"/>
          <w:szCs w:val="24"/>
        </w:rPr>
        <w:t xml:space="preserve"> reasons, APRA considers that conglomerate group supervision is both necessary and warranted.</w:t>
      </w:r>
      <w:r w:rsidR="007E5089">
        <w:rPr>
          <w:rFonts w:ascii="Times New Roman" w:hAnsi="Times New Roman"/>
          <w:sz w:val="24"/>
          <w:szCs w:val="24"/>
        </w:rPr>
        <w:t xml:space="preserve"> </w:t>
      </w:r>
    </w:p>
    <w:p w14:paraId="7BDB1779" w14:textId="2D4F3B52" w:rsidR="00EA1439" w:rsidRPr="000665CE" w:rsidRDefault="005A7E7D" w:rsidP="00EA1439">
      <w:pPr>
        <w:spacing w:after="240"/>
        <w:jc w:val="both"/>
        <w:rPr>
          <w:rFonts w:ascii="Times New Roman" w:hAnsi="Times New Roman"/>
          <w:sz w:val="24"/>
          <w:szCs w:val="24"/>
        </w:rPr>
      </w:pPr>
      <w:r w:rsidRPr="000665CE">
        <w:rPr>
          <w:rFonts w:ascii="Times New Roman" w:hAnsi="Times New Roman"/>
          <w:sz w:val="24"/>
          <w:szCs w:val="24"/>
        </w:rPr>
        <w:t xml:space="preserve">The necessity of adequate conglomerate group supervision </w:t>
      </w:r>
      <w:r w:rsidR="00EA1439" w:rsidRPr="000665CE">
        <w:rPr>
          <w:rFonts w:ascii="Times New Roman" w:hAnsi="Times New Roman"/>
          <w:sz w:val="24"/>
          <w:szCs w:val="24"/>
        </w:rPr>
        <w:t xml:space="preserve">is also borne out by </w:t>
      </w:r>
      <w:r w:rsidRPr="000665CE">
        <w:rPr>
          <w:rFonts w:ascii="Times New Roman" w:hAnsi="Times New Roman"/>
          <w:sz w:val="24"/>
          <w:szCs w:val="24"/>
        </w:rPr>
        <w:t xml:space="preserve">APRA’s </w:t>
      </w:r>
      <w:r w:rsidR="00EA1439" w:rsidRPr="000665CE">
        <w:rPr>
          <w:rFonts w:ascii="Times New Roman" w:hAnsi="Times New Roman"/>
          <w:sz w:val="24"/>
          <w:szCs w:val="24"/>
        </w:rPr>
        <w:t xml:space="preserve">international peers. In response to the lessons learned from the global financial crisis, the Joint Forum released in September 2012 updated </w:t>
      </w:r>
      <w:r w:rsidR="00EA1439" w:rsidRPr="00513B54">
        <w:rPr>
          <w:rStyle w:val="Emphasis"/>
        </w:rPr>
        <w:t>Principles for the supervision of financial conglomerates</w:t>
      </w:r>
      <w:r w:rsidR="00DB6DF1" w:rsidRPr="00513B54">
        <w:rPr>
          <w:rStyle w:val="StyleFootnoteReference12pt"/>
        </w:rPr>
        <w:footnoteReference w:id="4"/>
      </w:r>
      <w:r w:rsidR="00EA1439" w:rsidRPr="000665CE">
        <w:rPr>
          <w:rFonts w:ascii="Times New Roman" w:hAnsi="Times New Roman"/>
          <w:sz w:val="24"/>
          <w:szCs w:val="24"/>
        </w:rPr>
        <w:t xml:space="preserve"> (2012 Principles). The Joint Forum was established in 1996 under the aegis of the Basel Committee on Banking Supervision (BCBS), the International Organization of Securities Commissions and the International Association of Insurance Supervisors (IAIS) to deal with issues common to the banking, securities and insurance sectors, including the regulation of financial conglomerates. The Joint Forum comprises an equal number of senior bank, insurance and securities supervisors representing each supervisory constituency. APRA is a member of the Joint Forum through the IAIS, </w:t>
      </w:r>
      <w:r w:rsidR="003833DA">
        <w:rPr>
          <w:rFonts w:ascii="Times New Roman" w:hAnsi="Times New Roman"/>
          <w:sz w:val="24"/>
          <w:szCs w:val="24"/>
        </w:rPr>
        <w:t>and</w:t>
      </w:r>
      <w:r w:rsidR="00EA1439" w:rsidRPr="000665CE">
        <w:rPr>
          <w:rFonts w:ascii="Times New Roman" w:hAnsi="Times New Roman"/>
          <w:sz w:val="24"/>
          <w:szCs w:val="24"/>
        </w:rPr>
        <w:t xml:space="preserve"> is also a member of the BCBS.</w:t>
      </w:r>
    </w:p>
    <w:p w14:paraId="1F208015" w14:textId="77777777" w:rsidR="00EA1439" w:rsidRPr="000665CE" w:rsidRDefault="00EA1439" w:rsidP="00EA1439">
      <w:pPr>
        <w:spacing w:after="240"/>
        <w:jc w:val="both"/>
        <w:rPr>
          <w:rFonts w:ascii="Times New Roman" w:hAnsi="Times New Roman"/>
          <w:sz w:val="24"/>
          <w:szCs w:val="24"/>
        </w:rPr>
      </w:pPr>
      <w:r w:rsidRPr="000665CE">
        <w:rPr>
          <w:rFonts w:ascii="Times New Roman" w:hAnsi="Times New Roman"/>
          <w:sz w:val="24"/>
          <w:szCs w:val="24"/>
        </w:rPr>
        <w:t>The Joint Forum’s objective in preparing the 2012 Principles is to provide national authorities, standard setters, and supervisors with a set of internationally agreed principles that support consistent and effective supervision of financial conglomerates and in particular those financial conglomerates active across borders.</w:t>
      </w:r>
      <w:r w:rsidR="00920ADB">
        <w:rPr>
          <w:rFonts w:ascii="Times New Roman" w:hAnsi="Times New Roman"/>
          <w:sz w:val="24"/>
          <w:szCs w:val="24"/>
        </w:rPr>
        <w:t xml:space="preserve"> These principles are the most important international reference work in this space for prudential regulators.</w:t>
      </w:r>
      <w:r w:rsidRPr="000665CE">
        <w:rPr>
          <w:rFonts w:ascii="Times New Roman" w:hAnsi="Times New Roman"/>
          <w:sz w:val="24"/>
          <w:szCs w:val="24"/>
        </w:rPr>
        <w:t xml:space="preserve"> The Joint Forum’s aim is to focus on closing regulatory gaps, eliminating supervisory ‘blind spots’, and ensuring effective supervision of risks arising from </w:t>
      </w:r>
      <w:r w:rsidR="005C57BC" w:rsidRPr="000665CE">
        <w:rPr>
          <w:rFonts w:ascii="Times New Roman" w:hAnsi="Times New Roman"/>
          <w:sz w:val="24"/>
          <w:szCs w:val="24"/>
        </w:rPr>
        <w:t>un</w:t>
      </w:r>
      <w:r w:rsidRPr="000665CE">
        <w:rPr>
          <w:rFonts w:ascii="Times New Roman" w:hAnsi="Times New Roman"/>
          <w:sz w:val="24"/>
          <w:szCs w:val="24"/>
        </w:rPr>
        <w:t xml:space="preserve">regulated financial activities and institutions. The 2012 Principles </w:t>
      </w:r>
      <w:r w:rsidR="00325E14">
        <w:rPr>
          <w:rFonts w:ascii="Times New Roman" w:hAnsi="Times New Roman"/>
          <w:sz w:val="24"/>
          <w:szCs w:val="24"/>
        </w:rPr>
        <w:t>are to</w:t>
      </w:r>
      <w:r w:rsidRPr="000665CE">
        <w:rPr>
          <w:rFonts w:ascii="Times New Roman" w:hAnsi="Times New Roman"/>
          <w:sz w:val="24"/>
          <w:szCs w:val="24"/>
        </w:rPr>
        <w:t xml:space="preserve"> be applied in a proportionate manner to the risks posed and </w:t>
      </w:r>
      <w:r w:rsidR="00325E14">
        <w:rPr>
          <w:rFonts w:ascii="Times New Roman" w:hAnsi="Times New Roman"/>
          <w:sz w:val="24"/>
          <w:szCs w:val="24"/>
        </w:rPr>
        <w:t xml:space="preserve">should </w:t>
      </w:r>
      <w:r w:rsidRPr="000665CE">
        <w:rPr>
          <w:rFonts w:ascii="Times New Roman" w:hAnsi="Times New Roman"/>
          <w:sz w:val="24"/>
          <w:szCs w:val="24"/>
        </w:rPr>
        <w:t>at least be applied to large internationally active financial conglomerates. The document details 29 principles and associated implementation criteria in relation to the appropriate supervision of conglomerate groups.</w:t>
      </w:r>
    </w:p>
    <w:p w14:paraId="3CDE7AAC" w14:textId="77777777" w:rsidR="00AA74CB" w:rsidRDefault="008B64A7" w:rsidP="00690066">
      <w:pPr>
        <w:spacing w:after="240"/>
        <w:jc w:val="both"/>
        <w:rPr>
          <w:rFonts w:ascii="Times New Roman" w:hAnsi="Times New Roman"/>
          <w:sz w:val="24"/>
          <w:szCs w:val="24"/>
        </w:rPr>
      </w:pPr>
      <w:r>
        <w:rPr>
          <w:rFonts w:ascii="Times New Roman" w:hAnsi="Times New Roman"/>
          <w:sz w:val="24"/>
          <w:szCs w:val="24"/>
        </w:rPr>
        <w:t xml:space="preserve">APRA has </w:t>
      </w:r>
      <w:r w:rsidR="00AA74CB">
        <w:rPr>
          <w:rFonts w:ascii="Times New Roman" w:hAnsi="Times New Roman"/>
          <w:sz w:val="24"/>
          <w:szCs w:val="24"/>
        </w:rPr>
        <w:t xml:space="preserve">dealt with supervisory ‘blind </w:t>
      </w:r>
      <w:r w:rsidR="009C76F7">
        <w:rPr>
          <w:rFonts w:ascii="Times New Roman" w:hAnsi="Times New Roman"/>
          <w:sz w:val="24"/>
          <w:szCs w:val="24"/>
        </w:rPr>
        <w:t>s</w:t>
      </w:r>
      <w:r w:rsidR="00AA74CB">
        <w:rPr>
          <w:rFonts w:ascii="Times New Roman" w:hAnsi="Times New Roman"/>
          <w:sz w:val="24"/>
          <w:szCs w:val="24"/>
        </w:rPr>
        <w:t xml:space="preserve">pots’ in relation to conglomerate groups </w:t>
      </w:r>
      <w:r w:rsidR="00690066" w:rsidRPr="00A1603A">
        <w:rPr>
          <w:rFonts w:ascii="Times New Roman" w:hAnsi="Times New Roman"/>
          <w:sz w:val="24"/>
          <w:szCs w:val="24"/>
        </w:rPr>
        <w:t>through</w:t>
      </w:r>
      <w:r w:rsidR="002A3703" w:rsidRPr="00A1603A">
        <w:rPr>
          <w:rFonts w:ascii="Times New Roman" w:hAnsi="Times New Roman"/>
          <w:sz w:val="24"/>
          <w:szCs w:val="24"/>
        </w:rPr>
        <w:t xml:space="preserve"> various</w:t>
      </w:r>
      <w:r w:rsidR="00AE457B" w:rsidRPr="00693F1F">
        <w:rPr>
          <w:rFonts w:ascii="Times New Roman" w:hAnsi="Times New Roman"/>
          <w:sz w:val="24"/>
          <w:szCs w:val="24"/>
        </w:rPr>
        <w:t xml:space="preserve"> </w:t>
      </w:r>
      <w:r w:rsidR="00690066" w:rsidRPr="00513B54">
        <w:rPr>
          <w:rStyle w:val="Emphasis"/>
        </w:rPr>
        <w:t>ad hoc</w:t>
      </w:r>
      <w:r w:rsidR="00690066" w:rsidRPr="00513B54">
        <w:rPr>
          <w:rFonts w:ascii="Times New Roman" w:hAnsi="Times New Roman"/>
          <w:sz w:val="24"/>
        </w:rPr>
        <w:t xml:space="preserve"> </w:t>
      </w:r>
      <w:r w:rsidR="00690066" w:rsidRPr="00A1603A">
        <w:rPr>
          <w:rFonts w:ascii="Times New Roman" w:hAnsi="Times New Roman"/>
          <w:sz w:val="24"/>
          <w:szCs w:val="24"/>
        </w:rPr>
        <w:t>supervisory arrangements</w:t>
      </w:r>
      <w:r w:rsidR="00553A27" w:rsidRPr="00A1603A">
        <w:rPr>
          <w:rFonts w:ascii="Times New Roman" w:hAnsi="Times New Roman"/>
          <w:sz w:val="24"/>
          <w:szCs w:val="24"/>
        </w:rPr>
        <w:t>.</w:t>
      </w:r>
      <w:r w:rsidR="00690066" w:rsidRPr="00693F1F">
        <w:rPr>
          <w:rFonts w:ascii="Times New Roman" w:hAnsi="Times New Roman"/>
          <w:sz w:val="24"/>
          <w:szCs w:val="24"/>
        </w:rPr>
        <w:t xml:space="preserve"> </w:t>
      </w:r>
      <w:r w:rsidR="00553A27" w:rsidRPr="00693F1F">
        <w:rPr>
          <w:rFonts w:ascii="Times New Roman" w:hAnsi="Times New Roman"/>
          <w:sz w:val="24"/>
          <w:szCs w:val="24"/>
        </w:rPr>
        <w:t>I</w:t>
      </w:r>
      <w:r w:rsidR="00690066" w:rsidRPr="00693F1F">
        <w:rPr>
          <w:rFonts w:ascii="Times New Roman" w:hAnsi="Times New Roman"/>
          <w:sz w:val="24"/>
          <w:szCs w:val="24"/>
        </w:rPr>
        <w:t xml:space="preserve">n </w:t>
      </w:r>
      <w:r w:rsidR="00AE457B" w:rsidRPr="00693F1F">
        <w:rPr>
          <w:rFonts w:ascii="Times New Roman" w:hAnsi="Times New Roman"/>
          <w:sz w:val="24"/>
          <w:szCs w:val="24"/>
        </w:rPr>
        <w:t xml:space="preserve">the case of </w:t>
      </w:r>
      <w:r w:rsidR="00690066" w:rsidRPr="00693F1F">
        <w:rPr>
          <w:rFonts w:ascii="Times New Roman" w:hAnsi="Times New Roman"/>
          <w:sz w:val="24"/>
          <w:szCs w:val="24"/>
        </w:rPr>
        <w:t xml:space="preserve">some </w:t>
      </w:r>
      <w:r w:rsidR="00AE457B" w:rsidRPr="00693F1F">
        <w:rPr>
          <w:rFonts w:ascii="Times New Roman" w:hAnsi="Times New Roman"/>
          <w:sz w:val="24"/>
          <w:szCs w:val="24"/>
        </w:rPr>
        <w:t>groups</w:t>
      </w:r>
      <w:r w:rsidR="00553A27" w:rsidRPr="00693F1F">
        <w:rPr>
          <w:rFonts w:ascii="Times New Roman" w:hAnsi="Times New Roman"/>
          <w:sz w:val="24"/>
          <w:szCs w:val="24"/>
        </w:rPr>
        <w:t>,</w:t>
      </w:r>
      <w:r w:rsidR="00AE457B" w:rsidRPr="00693F1F">
        <w:rPr>
          <w:rFonts w:ascii="Times New Roman" w:hAnsi="Times New Roman"/>
          <w:sz w:val="24"/>
          <w:szCs w:val="24"/>
        </w:rPr>
        <w:t xml:space="preserve"> this is </w:t>
      </w:r>
      <w:r w:rsidR="00690066" w:rsidRPr="00693F1F">
        <w:rPr>
          <w:rFonts w:ascii="Times New Roman" w:hAnsi="Times New Roman"/>
          <w:sz w:val="24"/>
          <w:szCs w:val="24"/>
        </w:rPr>
        <w:t>limited to occasional information requests whereas others</w:t>
      </w:r>
      <w:r w:rsidR="008F6183" w:rsidRPr="00693F1F">
        <w:rPr>
          <w:rFonts w:ascii="Times New Roman" w:hAnsi="Times New Roman"/>
          <w:sz w:val="24"/>
          <w:szCs w:val="24"/>
        </w:rPr>
        <w:t xml:space="preserve"> have </w:t>
      </w:r>
      <w:r w:rsidR="00690066" w:rsidRPr="00693F1F">
        <w:rPr>
          <w:rFonts w:ascii="Times New Roman" w:hAnsi="Times New Roman"/>
          <w:sz w:val="24"/>
          <w:szCs w:val="24"/>
        </w:rPr>
        <w:t xml:space="preserve">a </w:t>
      </w:r>
      <w:r w:rsidR="00AE457B" w:rsidRPr="005A7CF1">
        <w:rPr>
          <w:rFonts w:ascii="Times New Roman" w:hAnsi="Times New Roman"/>
          <w:sz w:val="24"/>
          <w:szCs w:val="24"/>
        </w:rPr>
        <w:t xml:space="preserve">range </w:t>
      </w:r>
      <w:r w:rsidR="00690066" w:rsidRPr="003149D0">
        <w:rPr>
          <w:rFonts w:ascii="Times New Roman" w:hAnsi="Times New Roman"/>
          <w:sz w:val="24"/>
          <w:szCs w:val="24"/>
        </w:rPr>
        <w:t>of additional requirements regarding capital adequacy, risk management</w:t>
      </w:r>
      <w:r w:rsidR="002A3703" w:rsidRPr="009832A9">
        <w:rPr>
          <w:rFonts w:ascii="Times New Roman" w:hAnsi="Times New Roman"/>
          <w:sz w:val="24"/>
          <w:szCs w:val="24"/>
        </w:rPr>
        <w:t xml:space="preserve">, risk exposures and group-wide governance </w:t>
      </w:r>
      <w:r w:rsidR="00325E14" w:rsidRPr="009832A9">
        <w:rPr>
          <w:rFonts w:ascii="Times New Roman" w:hAnsi="Times New Roman"/>
          <w:sz w:val="24"/>
          <w:szCs w:val="24"/>
        </w:rPr>
        <w:t>arrangements</w:t>
      </w:r>
      <w:r w:rsidR="00690066" w:rsidRPr="009832A9">
        <w:rPr>
          <w:rFonts w:ascii="Times New Roman" w:hAnsi="Times New Roman"/>
          <w:sz w:val="24"/>
          <w:szCs w:val="24"/>
        </w:rPr>
        <w:t xml:space="preserve">. </w:t>
      </w:r>
      <w:r w:rsidR="00235DD7" w:rsidRPr="00E06309">
        <w:rPr>
          <w:rFonts w:ascii="Times New Roman" w:hAnsi="Times New Roman"/>
          <w:sz w:val="24"/>
          <w:szCs w:val="24"/>
        </w:rPr>
        <w:t xml:space="preserve">These </w:t>
      </w:r>
      <w:r w:rsidR="00235DD7" w:rsidRPr="00513B54">
        <w:rPr>
          <w:rStyle w:val="Emphasis"/>
        </w:rPr>
        <w:t xml:space="preserve">ad hoc </w:t>
      </w:r>
      <w:r w:rsidR="00235DD7" w:rsidRPr="00A1603A">
        <w:rPr>
          <w:rFonts w:ascii="Times New Roman" w:hAnsi="Times New Roman"/>
          <w:sz w:val="24"/>
          <w:szCs w:val="24"/>
        </w:rPr>
        <w:t xml:space="preserve">arrangements </w:t>
      </w:r>
      <w:r w:rsidR="00874D53" w:rsidRPr="00A1603A">
        <w:rPr>
          <w:rFonts w:ascii="Times New Roman" w:hAnsi="Times New Roman"/>
          <w:sz w:val="24"/>
          <w:szCs w:val="24"/>
        </w:rPr>
        <w:t>are</w:t>
      </w:r>
      <w:r w:rsidR="00AE457B" w:rsidRPr="00693F1F">
        <w:rPr>
          <w:rFonts w:ascii="Times New Roman" w:hAnsi="Times New Roman"/>
          <w:sz w:val="24"/>
          <w:szCs w:val="24"/>
        </w:rPr>
        <w:t>,</w:t>
      </w:r>
      <w:r w:rsidR="00235DD7" w:rsidRPr="00693F1F">
        <w:rPr>
          <w:rFonts w:ascii="Times New Roman" w:hAnsi="Times New Roman"/>
          <w:sz w:val="24"/>
          <w:szCs w:val="24"/>
        </w:rPr>
        <w:t xml:space="preserve"> however</w:t>
      </w:r>
      <w:r w:rsidR="00AE457B" w:rsidRPr="00693F1F">
        <w:rPr>
          <w:rFonts w:ascii="Times New Roman" w:hAnsi="Times New Roman"/>
          <w:sz w:val="24"/>
          <w:szCs w:val="24"/>
        </w:rPr>
        <w:t>,</w:t>
      </w:r>
      <w:r w:rsidR="00235DD7" w:rsidRPr="00693F1F">
        <w:rPr>
          <w:rFonts w:ascii="Times New Roman" w:hAnsi="Times New Roman"/>
          <w:sz w:val="24"/>
          <w:szCs w:val="24"/>
        </w:rPr>
        <w:t xml:space="preserve"> inefficient </w:t>
      </w:r>
      <w:r w:rsidR="00325E14" w:rsidRPr="00693F1F">
        <w:rPr>
          <w:rFonts w:ascii="Times New Roman" w:hAnsi="Times New Roman"/>
          <w:sz w:val="24"/>
          <w:szCs w:val="24"/>
        </w:rPr>
        <w:t xml:space="preserve">in terms of cost and outcome </w:t>
      </w:r>
      <w:r w:rsidR="00235DD7" w:rsidRPr="00693F1F">
        <w:rPr>
          <w:rFonts w:ascii="Times New Roman" w:hAnsi="Times New Roman"/>
          <w:sz w:val="24"/>
          <w:szCs w:val="24"/>
        </w:rPr>
        <w:t>when compared with a consistent framework</w:t>
      </w:r>
      <w:r w:rsidR="008F6183" w:rsidRPr="00693F1F">
        <w:rPr>
          <w:rFonts w:ascii="Times New Roman" w:hAnsi="Times New Roman"/>
          <w:sz w:val="24"/>
          <w:szCs w:val="24"/>
        </w:rPr>
        <w:t xml:space="preserve">. </w:t>
      </w:r>
      <w:r w:rsidR="009C76F7" w:rsidRPr="00693F1F">
        <w:rPr>
          <w:rFonts w:ascii="Times New Roman" w:hAnsi="Times New Roman"/>
          <w:sz w:val="24"/>
          <w:szCs w:val="24"/>
        </w:rPr>
        <w:t>W</w:t>
      </w:r>
      <w:r w:rsidR="00AE457B" w:rsidRPr="005A7CF1">
        <w:rPr>
          <w:rFonts w:ascii="Times New Roman" w:hAnsi="Times New Roman"/>
          <w:sz w:val="24"/>
          <w:szCs w:val="24"/>
        </w:rPr>
        <w:t>ithout a group-wide supervision framework</w:t>
      </w:r>
      <w:r w:rsidR="008F6183" w:rsidRPr="009832A9">
        <w:rPr>
          <w:rFonts w:ascii="Times New Roman" w:hAnsi="Times New Roman"/>
          <w:sz w:val="24"/>
          <w:szCs w:val="24"/>
        </w:rPr>
        <w:t>,</w:t>
      </w:r>
      <w:r w:rsidR="00AE457B" w:rsidRPr="009832A9">
        <w:rPr>
          <w:rFonts w:ascii="Times New Roman" w:hAnsi="Times New Roman"/>
          <w:sz w:val="24"/>
          <w:szCs w:val="24"/>
        </w:rPr>
        <w:t xml:space="preserve"> it is challenging for APRA to appreciate how individual risks within a group interact, limiting the effectiveness of APRA’s supervision of these groups</w:t>
      </w:r>
      <w:r w:rsidR="00AE457B">
        <w:rPr>
          <w:rFonts w:ascii="Times New Roman" w:hAnsi="Times New Roman"/>
          <w:sz w:val="24"/>
          <w:szCs w:val="24"/>
        </w:rPr>
        <w:t>.</w:t>
      </w:r>
      <w:r w:rsidR="00AE457B" w:rsidRPr="00AE457B">
        <w:rPr>
          <w:rFonts w:ascii="Times New Roman" w:hAnsi="Times New Roman"/>
          <w:sz w:val="24"/>
          <w:szCs w:val="24"/>
        </w:rPr>
        <w:t xml:space="preserve"> </w:t>
      </w:r>
    </w:p>
    <w:p w14:paraId="3E14F88B" w14:textId="425D1D45" w:rsidR="00D844E3" w:rsidRPr="00B56991" w:rsidRDefault="00D844E3" w:rsidP="00D844E3">
      <w:pPr>
        <w:spacing w:after="240"/>
        <w:jc w:val="both"/>
        <w:rPr>
          <w:rFonts w:ascii="Times New Roman" w:hAnsi="Times New Roman"/>
          <w:sz w:val="24"/>
          <w:szCs w:val="24"/>
        </w:rPr>
      </w:pPr>
      <w:r>
        <w:rPr>
          <w:rFonts w:ascii="Times New Roman" w:hAnsi="Times New Roman"/>
          <w:sz w:val="24"/>
          <w:szCs w:val="24"/>
        </w:rPr>
        <w:t xml:space="preserve">APRA intends </w:t>
      </w:r>
      <w:r w:rsidR="00DF3F26">
        <w:rPr>
          <w:rFonts w:ascii="Times New Roman" w:hAnsi="Times New Roman"/>
          <w:sz w:val="24"/>
          <w:szCs w:val="24"/>
        </w:rPr>
        <w:t xml:space="preserve">that </w:t>
      </w:r>
      <w:r>
        <w:rPr>
          <w:rFonts w:ascii="Times New Roman" w:hAnsi="Times New Roman"/>
          <w:sz w:val="24"/>
          <w:szCs w:val="24"/>
        </w:rPr>
        <w:t xml:space="preserve">the Level 3 framework </w:t>
      </w:r>
      <w:r w:rsidR="00DF3F26">
        <w:rPr>
          <w:rFonts w:ascii="Times New Roman" w:hAnsi="Times New Roman"/>
          <w:sz w:val="24"/>
          <w:szCs w:val="24"/>
        </w:rPr>
        <w:t xml:space="preserve">will </w:t>
      </w:r>
      <w:r>
        <w:rPr>
          <w:rFonts w:ascii="Times New Roman" w:hAnsi="Times New Roman"/>
          <w:sz w:val="24"/>
          <w:szCs w:val="24"/>
        </w:rPr>
        <w:t xml:space="preserve">initially be applied to eight conglomerate groups. These conglomerate groups </w:t>
      </w:r>
      <w:r w:rsidR="00F20803">
        <w:rPr>
          <w:rFonts w:ascii="Times New Roman" w:hAnsi="Times New Roman"/>
          <w:sz w:val="24"/>
          <w:szCs w:val="24"/>
        </w:rPr>
        <w:t xml:space="preserve">are among the largest financial service providers in Australia and </w:t>
      </w:r>
      <w:r w:rsidR="00DF3F26">
        <w:rPr>
          <w:rFonts w:ascii="Times New Roman" w:hAnsi="Times New Roman"/>
          <w:sz w:val="24"/>
          <w:szCs w:val="24"/>
        </w:rPr>
        <w:t xml:space="preserve">include </w:t>
      </w:r>
      <w:r>
        <w:rPr>
          <w:rFonts w:ascii="Times New Roman" w:hAnsi="Times New Roman"/>
          <w:sz w:val="24"/>
          <w:szCs w:val="24"/>
        </w:rPr>
        <w:t xml:space="preserve">material APRA-regulated institutions as well as multiple non-APRA-regulated businesses, some of which operate across numerous jurisdictions. These non-APRA-regulated businesses include fund managers, administrators, custodians, and commercial (non-financial) operations. In aggregate, the eight Level 3 groups represent approximately </w:t>
      </w:r>
      <w:r w:rsidR="003149D0">
        <w:rPr>
          <w:rFonts w:ascii="Times New Roman" w:hAnsi="Times New Roman"/>
          <w:sz w:val="24"/>
          <w:szCs w:val="24"/>
        </w:rPr>
        <w:t xml:space="preserve">73 </w:t>
      </w:r>
      <w:r>
        <w:rPr>
          <w:rFonts w:ascii="Times New Roman" w:hAnsi="Times New Roman"/>
          <w:sz w:val="24"/>
          <w:szCs w:val="24"/>
        </w:rPr>
        <w:t>per cent of the $</w:t>
      </w:r>
      <w:r w:rsidR="00693F1F">
        <w:rPr>
          <w:rFonts w:ascii="Times New Roman" w:hAnsi="Times New Roman"/>
          <w:sz w:val="24"/>
          <w:szCs w:val="24"/>
        </w:rPr>
        <w:t>5</w:t>
      </w:r>
      <w:r>
        <w:rPr>
          <w:rFonts w:ascii="Times New Roman" w:hAnsi="Times New Roman"/>
          <w:sz w:val="24"/>
          <w:szCs w:val="24"/>
        </w:rPr>
        <w:t>.5 trillion of assets under APRA supervision.</w:t>
      </w:r>
      <w:r w:rsidR="00506FC4">
        <w:rPr>
          <w:rFonts w:ascii="Times New Roman" w:hAnsi="Times New Roman"/>
          <w:sz w:val="24"/>
          <w:szCs w:val="24"/>
        </w:rPr>
        <w:t xml:space="preserve"> Based on current information, APRA believes the likelihood of other conglomerate groups being designated Level 3 groups within a 10 year time horizon is low. However, should unexpected developments result in a group being designated a Level 3 group by APRA, such a group would be given an appropriate amount of transitional time to comply with the Level 3 framework.</w:t>
      </w:r>
    </w:p>
    <w:p w14:paraId="36EF6BF8" w14:textId="77777777" w:rsidR="00452BC6" w:rsidRPr="00513B54" w:rsidRDefault="004C65F9" w:rsidP="00513B54">
      <w:pPr>
        <w:pStyle w:val="Heading3"/>
      </w:pPr>
      <w:r w:rsidRPr="00513B54">
        <w:t>Objectives</w:t>
      </w:r>
    </w:p>
    <w:p w14:paraId="1A0DD00E" w14:textId="77777777" w:rsidR="003604A7" w:rsidRDefault="0090442D" w:rsidP="0090442D">
      <w:pPr>
        <w:spacing w:after="240"/>
        <w:jc w:val="both"/>
        <w:rPr>
          <w:rFonts w:ascii="Times New Roman" w:hAnsi="Times New Roman"/>
          <w:sz w:val="24"/>
          <w:szCs w:val="24"/>
        </w:rPr>
      </w:pPr>
      <w:r w:rsidRPr="000665CE">
        <w:rPr>
          <w:rFonts w:ascii="Times New Roman" w:hAnsi="Times New Roman"/>
          <w:sz w:val="24"/>
          <w:szCs w:val="24"/>
        </w:rPr>
        <w:t xml:space="preserve">APRA’s primary objective </w:t>
      </w:r>
      <w:r w:rsidR="003604A7">
        <w:rPr>
          <w:rFonts w:ascii="Times New Roman" w:hAnsi="Times New Roman"/>
          <w:sz w:val="24"/>
          <w:szCs w:val="24"/>
        </w:rPr>
        <w:t xml:space="preserve">for this proposal </w:t>
      </w:r>
      <w:r w:rsidRPr="000665CE">
        <w:rPr>
          <w:rFonts w:ascii="Times New Roman" w:hAnsi="Times New Roman"/>
          <w:sz w:val="24"/>
          <w:szCs w:val="24"/>
        </w:rPr>
        <w:t xml:space="preserve">is to ensure that </w:t>
      </w:r>
      <w:r w:rsidRPr="00EC28E8">
        <w:rPr>
          <w:rFonts w:ascii="Times New Roman" w:hAnsi="Times New Roman"/>
          <w:sz w:val="24"/>
          <w:szCs w:val="24"/>
        </w:rPr>
        <w:t xml:space="preserve">its prudential supervision adequately captures the risks to which </w:t>
      </w:r>
      <w:r>
        <w:rPr>
          <w:rFonts w:ascii="Times New Roman" w:hAnsi="Times New Roman"/>
          <w:sz w:val="24"/>
          <w:szCs w:val="24"/>
        </w:rPr>
        <w:t xml:space="preserve">beneficiaries of </w:t>
      </w:r>
      <w:r w:rsidRPr="00EC28E8">
        <w:rPr>
          <w:rFonts w:ascii="Times New Roman" w:hAnsi="Times New Roman"/>
          <w:sz w:val="24"/>
          <w:szCs w:val="24"/>
        </w:rPr>
        <w:t>APRA-regulated institutions within a conglomerate group are exposed.</w:t>
      </w:r>
      <w:r w:rsidR="003604A7">
        <w:rPr>
          <w:rFonts w:ascii="Times New Roman" w:hAnsi="Times New Roman"/>
          <w:sz w:val="24"/>
          <w:szCs w:val="24"/>
        </w:rPr>
        <w:t xml:space="preserve"> </w:t>
      </w:r>
    </w:p>
    <w:p w14:paraId="1EF35D17" w14:textId="77777777" w:rsidR="000036CC" w:rsidRPr="00513B54" w:rsidRDefault="000036CC" w:rsidP="00513B54">
      <w:pPr>
        <w:pStyle w:val="Heading3"/>
      </w:pPr>
      <w:r w:rsidRPr="00513B54">
        <w:t>Options</w:t>
      </w:r>
      <w:r w:rsidR="009C72D7" w:rsidRPr="00513B54">
        <w:t xml:space="preserve"> and impact analysis</w:t>
      </w:r>
    </w:p>
    <w:p w14:paraId="7946F113" w14:textId="77777777" w:rsidR="000036CC" w:rsidRPr="000665CE" w:rsidRDefault="000036CC" w:rsidP="000036CC">
      <w:pPr>
        <w:spacing w:after="240"/>
        <w:jc w:val="both"/>
        <w:rPr>
          <w:rFonts w:ascii="Times New Roman" w:hAnsi="Times New Roman"/>
          <w:sz w:val="24"/>
          <w:szCs w:val="24"/>
        </w:rPr>
      </w:pPr>
      <w:r w:rsidRPr="000665CE">
        <w:rPr>
          <w:rFonts w:ascii="Times New Roman" w:hAnsi="Times New Roman"/>
          <w:sz w:val="24"/>
          <w:szCs w:val="24"/>
        </w:rPr>
        <w:t xml:space="preserve">APRA has identified </w:t>
      </w:r>
      <w:r w:rsidR="00CB7F3A">
        <w:rPr>
          <w:rFonts w:ascii="Times New Roman" w:hAnsi="Times New Roman"/>
          <w:sz w:val="24"/>
          <w:szCs w:val="24"/>
        </w:rPr>
        <w:t>three</w:t>
      </w:r>
      <w:r w:rsidR="00CB7F3A" w:rsidRPr="000665CE">
        <w:rPr>
          <w:rFonts w:ascii="Times New Roman" w:hAnsi="Times New Roman"/>
          <w:sz w:val="24"/>
          <w:szCs w:val="24"/>
        </w:rPr>
        <w:t xml:space="preserve"> </w:t>
      </w:r>
      <w:r w:rsidRPr="000665CE">
        <w:rPr>
          <w:rFonts w:ascii="Times New Roman" w:hAnsi="Times New Roman"/>
          <w:sz w:val="24"/>
          <w:szCs w:val="24"/>
        </w:rPr>
        <w:t xml:space="preserve">options to address identified deficiencies in </w:t>
      </w:r>
      <w:r w:rsidR="00B124EC">
        <w:rPr>
          <w:rFonts w:ascii="Times New Roman" w:hAnsi="Times New Roman"/>
          <w:sz w:val="24"/>
          <w:szCs w:val="24"/>
        </w:rPr>
        <w:t xml:space="preserve">the prudential framework for </w:t>
      </w:r>
      <w:r w:rsidRPr="000665CE">
        <w:rPr>
          <w:rFonts w:ascii="Times New Roman" w:hAnsi="Times New Roman"/>
          <w:sz w:val="24"/>
          <w:szCs w:val="24"/>
        </w:rPr>
        <w:t>Australia</w:t>
      </w:r>
      <w:r w:rsidR="00B124EC">
        <w:rPr>
          <w:rFonts w:ascii="Times New Roman" w:hAnsi="Times New Roman"/>
          <w:sz w:val="24"/>
          <w:szCs w:val="24"/>
        </w:rPr>
        <w:t>n</w:t>
      </w:r>
      <w:r w:rsidR="002A3703" w:rsidRPr="000665CE">
        <w:rPr>
          <w:rFonts w:ascii="Times New Roman" w:hAnsi="Times New Roman"/>
          <w:sz w:val="24"/>
          <w:szCs w:val="24"/>
        </w:rPr>
        <w:t xml:space="preserve"> conglomerate supervision</w:t>
      </w:r>
      <w:r w:rsidR="00724A1F" w:rsidRPr="000665CE">
        <w:rPr>
          <w:rFonts w:ascii="Times New Roman" w:hAnsi="Times New Roman"/>
          <w:sz w:val="24"/>
          <w:szCs w:val="24"/>
        </w:rPr>
        <w:t>:</w:t>
      </w:r>
    </w:p>
    <w:p w14:paraId="319B6F2C" w14:textId="77777777" w:rsidR="000036CC" w:rsidRPr="00513B54" w:rsidRDefault="00E00D86" w:rsidP="00513B54">
      <w:pPr>
        <w:pStyle w:val="ListBullet"/>
      </w:pPr>
      <w:r w:rsidRPr="00513B54">
        <w:t xml:space="preserve">Option 1 - status quo: </w:t>
      </w:r>
      <w:r w:rsidR="000036CC" w:rsidRPr="00513B54">
        <w:t>maintain APRA’s existing prudential fra</w:t>
      </w:r>
      <w:r w:rsidR="00724A1F" w:rsidRPr="00513B54">
        <w:t>mework</w:t>
      </w:r>
      <w:r w:rsidRPr="00513B54">
        <w:t>, with limited oversight of the risks posed by non-APRA-regulated members of a group</w:t>
      </w:r>
      <w:r w:rsidR="00724A1F" w:rsidRPr="00513B54">
        <w:t>;</w:t>
      </w:r>
    </w:p>
    <w:p w14:paraId="3304BBD5" w14:textId="1891AB63" w:rsidR="000036CC" w:rsidRPr="00513B54" w:rsidRDefault="00E00D86" w:rsidP="00513B54">
      <w:pPr>
        <w:pStyle w:val="ListBullet"/>
      </w:pPr>
      <w:r w:rsidRPr="00513B54">
        <w:t xml:space="preserve">Option 2 – </w:t>
      </w:r>
      <w:r w:rsidR="0092240F" w:rsidRPr="00513B54">
        <w:t xml:space="preserve">partial implementation of a Level 3 framework that includes only </w:t>
      </w:r>
      <w:r w:rsidR="0044072F" w:rsidRPr="00513B54">
        <w:t xml:space="preserve">group </w:t>
      </w:r>
      <w:r w:rsidR="006530FC" w:rsidRPr="00513B54">
        <w:t>risk management and governance requirements</w:t>
      </w:r>
      <w:r w:rsidR="00EE5CF9" w:rsidRPr="00513B54">
        <w:t xml:space="preserve">, </w:t>
      </w:r>
      <w:r w:rsidR="00EE5CF9" w:rsidRPr="00EE5CF9">
        <w:t xml:space="preserve">which would </w:t>
      </w:r>
      <w:r w:rsidR="00DE19F1">
        <w:t>be based on</w:t>
      </w:r>
      <w:r w:rsidR="00EE5CF9" w:rsidRPr="00EE5CF9">
        <w:t xml:space="preserve"> those applying </w:t>
      </w:r>
      <w:r w:rsidR="00DE19F1">
        <w:t>at</w:t>
      </w:r>
      <w:r w:rsidR="00EE5CF9" w:rsidRPr="00EE5CF9">
        <w:t xml:space="preserve"> Level 1 and (where relevant) Level 2</w:t>
      </w:r>
      <w:r w:rsidR="00724A1F" w:rsidRPr="00513B54">
        <w:t>;</w:t>
      </w:r>
      <w:r w:rsidR="00234FF1" w:rsidRPr="00513B54">
        <w:t xml:space="preserve"> or</w:t>
      </w:r>
    </w:p>
    <w:p w14:paraId="57A6B3D8" w14:textId="1B59ABEC" w:rsidR="0073368D" w:rsidRPr="00513B54" w:rsidRDefault="0044072F" w:rsidP="00513B54">
      <w:pPr>
        <w:pStyle w:val="ListBullet"/>
      </w:pPr>
      <w:r w:rsidRPr="00513B54">
        <w:t xml:space="preserve">Option 3 – </w:t>
      </w:r>
      <w:r w:rsidR="0092240F" w:rsidRPr="00513B54">
        <w:t xml:space="preserve">full implementation of </w:t>
      </w:r>
      <w:r w:rsidR="00B44398" w:rsidRPr="00513B54">
        <w:t>a</w:t>
      </w:r>
      <w:r w:rsidRPr="00F247D3">
        <w:t xml:space="preserve"> </w:t>
      </w:r>
      <w:r w:rsidR="006530FC" w:rsidRPr="00513B54">
        <w:t>Level 3 framework</w:t>
      </w:r>
      <w:r w:rsidRPr="00513B54">
        <w:t xml:space="preserve"> that </w:t>
      </w:r>
      <w:r w:rsidR="00EE5CF9" w:rsidRPr="00EE5CF9">
        <w:t>would include the</w:t>
      </w:r>
      <w:r w:rsidRPr="00513B54">
        <w:t xml:space="preserve"> </w:t>
      </w:r>
      <w:r w:rsidR="0092240F" w:rsidRPr="00513B54">
        <w:t>risk management</w:t>
      </w:r>
      <w:r w:rsidR="00EE5CF9" w:rsidRPr="00EE5CF9">
        <w:t xml:space="preserve"> and</w:t>
      </w:r>
      <w:r w:rsidR="0092240F" w:rsidRPr="00513B54">
        <w:t xml:space="preserve"> </w:t>
      </w:r>
      <w:r w:rsidRPr="00513B54">
        <w:t>governance</w:t>
      </w:r>
      <w:r w:rsidR="00EE5CF9" w:rsidRPr="00EE5CF9">
        <w:t xml:space="preserve"> requirements from Option 2 and add further requirements relating to</w:t>
      </w:r>
      <w:r w:rsidRPr="00513B54">
        <w:t xml:space="preserve"> risk exposures and capital adequacy</w:t>
      </w:r>
      <w:r w:rsidR="00234FF1" w:rsidRPr="00EE5CF9">
        <w:t>.</w:t>
      </w:r>
      <w:r w:rsidR="00EE5CF9" w:rsidRPr="00EE5CF9">
        <w:t xml:space="preserve"> The capital adequacy</w:t>
      </w:r>
      <w:r w:rsidR="00EE5CF9" w:rsidRPr="00513B54">
        <w:t xml:space="preserve"> requirements </w:t>
      </w:r>
      <w:r w:rsidR="00EE5CF9" w:rsidRPr="00EE5CF9">
        <w:t>would be based on existing Level</w:t>
      </w:r>
      <w:r w:rsidR="00EE5CF9" w:rsidRPr="00513B54">
        <w:t xml:space="preserve"> 1 </w:t>
      </w:r>
      <w:r w:rsidR="00EE5CF9" w:rsidRPr="00EE5CF9">
        <w:t>and Level 2 requirements, with some additional requirements for materially risky non-APRA-regulated activities</w:t>
      </w:r>
      <w:r w:rsidR="00EE5CF9" w:rsidRPr="00513B54">
        <w:t>.</w:t>
      </w:r>
    </w:p>
    <w:p w14:paraId="314E3AAA" w14:textId="77777777" w:rsidR="0054108D" w:rsidRPr="00513B54" w:rsidRDefault="0054108D" w:rsidP="00513B54">
      <w:pPr>
        <w:pStyle w:val="Heading4"/>
      </w:pPr>
      <w:r w:rsidRPr="00513B54">
        <w:t>Option 1 — status quo</w:t>
      </w:r>
    </w:p>
    <w:p w14:paraId="212D5364" w14:textId="77777777" w:rsidR="001568F1" w:rsidRDefault="001568F1" w:rsidP="00A328F4">
      <w:pPr>
        <w:keepNext/>
        <w:spacing w:after="240"/>
        <w:jc w:val="both"/>
        <w:rPr>
          <w:rFonts w:ascii="Times New Roman" w:hAnsi="Times New Roman"/>
          <w:i/>
          <w:sz w:val="24"/>
          <w:szCs w:val="24"/>
        </w:rPr>
      </w:pPr>
      <w:r w:rsidRPr="000665CE">
        <w:rPr>
          <w:rFonts w:ascii="Times New Roman" w:hAnsi="Times New Roman"/>
          <w:sz w:val="24"/>
          <w:szCs w:val="24"/>
        </w:rPr>
        <w:t xml:space="preserve">Under this option, the existing </w:t>
      </w:r>
      <w:r w:rsidR="009C72D7">
        <w:rPr>
          <w:rFonts w:ascii="Times New Roman" w:hAnsi="Times New Roman"/>
          <w:sz w:val="24"/>
          <w:szCs w:val="24"/>
        </w:rPr>
        <w:t xml:space="preserve">‘blind spots’ </w:t>
      </w:r>
      <w:r w:rsidRPr="000665CE">
        <w:rPr>
          <w:rFonts w:ascii="Times New Roman" w:hAnsi="Times New Roman"/>
          <w:sz w:val="24"/>
          <w:szCs w:val="24"/>
        </w:rPr>
        <w:t xml:space="preserve">to risks arising from group membership would remain unchanged. </w:t>
      </w:r>
      <w:r w:rsidR="00C7653E">
        <w:rPr>
          <w:rFonts w:ascii="Times New Roman" w:hAnsi="Times New Roman"/>
          <w:sz w:val="24"/>
          <w:szCs w:val="24"/>
        </w:rPr>
        <w:t xml:space="preserve">This would mean that groups </w:t>
      </w:r>
      <w:r w:rsidR="00B44398">
        <w:rPr>
          <w:rFonts w:ascii="Times New Roman" w:hAnsi="Times New Roman"/>
          <w:sz w:val="24"/>
          <w:szCs w:val="24"/>
        </w:rPr>
        <w:t xml:space="preserve">are not required </w:t>
      </w:r>
      <w:r w:rsidR="00C7653E">
        <w:rPr>
          <w:rFonts w:ascii="Times New Roman" w:hAnsi="Times New Roman"/>
          <w:sz w:val="24"/>
          <w:szCs w:val="24"/>
        </w:rPr>
        <w:t xml:space="preserve">to understand the material risks posed by non-APRA-regulated institutions </w:t>
      </w:r>
      <w:r w:rsidR="00B44398">
        <w:rPr>
          <w:rFonts w:ascii="Times New Roman" w:hAnsi="Times New Roman"/>
          <w:sz w:val="24"/>
          <w:szCs w:val="24"/>
        </w:rPr>
        <w:t xml:space="preserve">to </w:t>
      </w:r>
      <w:r w:rsidR="00C7653E">
        <w:rPr>
          <w:rFonts w:ascii="Times New Roman" w:hAnsi="Times New Roman"/>
          <w:sz w:val="24"/>
          <w:szCs w:val="24"/>
        </w:rPr>
        <w:t>APRA-regulated institutions in the same group.</w:t>
      </w:r>
      <w:r w:rsidR="00530FC1">
        <w:rPr>
          <w:rFonts w:ascii="Times New Roman" w:hAnsi="Times New Roman"/>
          <w:sz w:val="24"/>
          <w:szCs w:val="24"/>
        </w:rPr>
        <w:t xml:space="preserve"> </w:t>
      </w:r>
    </w:p>
    <w:p w14:paraId="62E4EFAE" w14:textId="77777777" w:rsidR="000F1DDE" w:rsidRPr="00513B54" w:rsidRDefault="000F1DDE" w:rsidP="00513B54">
      <w:pPr>
        <w:pStyle w:val="Heading5"/>
        <w:rPr>
          <w:rStyle w:val="Emphasis"/>
          <w:rFonts w:ascii="Trebuchet MS" w:hAnsi="Trebuchet MS"/>
          <w:sz w:val="22"/>
        </w:rPr>
      </w:pPr>
      <w:r w:rsidRPr="00513B54">
        <w:rPr>
          <w:rStyle w:val="Emphasis"/>
          <w:rFonts w:ascii="Trebuchet MS" w:hAnsi="Trebuchet MS"/>
          <w:sz w:val="22"/>
        </w:rPr>
        <w:t>Benefits</w:t>
      </w:r>
    </w:p>
    <w:p w14:paraId="03CBC393" w14:textId="77777777" w:rsidR="000F1DDE" w:rsidRDefault="00E66ED9" w:rsidP="00E66ED9">
      <w:pPr>
        <w:spacing w:after="240"/>
        <w:jc w:val="both"/>
        <w:rPr>
          <w:rFonts w:ascii="Times New Roman" w:hAnsi="Times New Roman"/>
          <w:sz w:val="24"/>
          <w:szCs w:val="24"/>
        </w:rPr>
      </w:pPr>
      <w:r w:rsidRPr="000665CE">
        <w:rPr>
          <w:rFonts w:ascii="Times New Roman" w:hAnsi="Times New Roman"/>
          <w:sz w:val="24"/>
          <w:szCs w:val="24"/>
        </w:rPr>
        <w:t xml:space="preserve">The primary benefit of </w:t>
      </w:r>
      <w:r w:rsidR="00035DCF">
        <w:rPr>
          <w:rFonts w:ascii="Times New Roman" w:hAnsi="Times New Roman"/>
          <w:sz w:val="24"/>
          <w:szCs w:val="24"/>
        </w:rPr>
        <w:t xml:space="preserve">this </w:t>
      </w:r>
      <w:r w:rsidRPr="000665CE">
        <w:rPr>
          <w:rFonts w:ascii="Times New Roman" w:hAnsi="Times New Roman"/>
          <w:sz w:val="24"/>
          <w:szCs w:val="24"/>
        </w:rPr>
        <w:t xml:space="preserve">option is that it would impose no new </w:t>
      </w:r>
      <w:r w:rsidR="00D84385">
        <w:rPr>
          <w:rFonts w:ascii="Times New Roman" w:hAnsi="Times New Roman"/>
          <w:sz w:val="24"/>
          <w:szCs w:val="24"/>
        </w:rPr>
        <w:t xml:space="preserve">requirements </w:t>
      </w:r>
      <w:r w:rsidRPr="000665CE">
        <w:rPr>
          <w:rFonts w:ascii="Times New Roman" w:hAnsi="Times New Roman"/>
          <w:sz w:val="24"/>
          <w:szCs w:val="24"/>
        </w:rPr>
        <w:t>on conglomerate groups.</w:t>
      </w:r>
      <w:r w:rsidR="00D84385">
        <w:rPr>
          <w:rFonts w:ascii="Times New Roman" w:hAnsi="Times New Roman"/>
          <w:sz w:val="24"/>
          <w:szCs w:val="24"/>
        </w:rPr>
        <w:t xml:space="preserve"> This would introduce no </w:t>
      </w:r>
      <w:r w:rsidR="00035DCF">
        <w:rPr>
          <w:rFonts w:ascii="Times New Roman" w:hAnsi="Times New Roman"/>
          <w:sz w:val="24"/>
          <w:szCs w:val="24"/>
        </w:rPr>
        <w:t xml:space="preserve">immediate </w:t>
      </w:r>
      <w:r w:rsidR="00C7653E">
        <w:rPr>
          <w:rFonts w:ascii="Times New Roman" w:hAnsi="Times New Roman"/>
          <w:sz w:val="24"/>
          <w:szCs w:val="24"/>
        </w:rPr>
        <w:t xml:space="preserve">costs </w:t>
      </w:r>
      <w:r w:rsidR="00035DCF">
        <w:rPr>
          <w:rFonts w:ascii="Times New Roman" w:hAnsi="Times New Roman"/>
          <w:sz w:val="24"/>
          <w:szCs w:val="24"/>
        </w:rPr>
        <w:t xml:space="preserve">to those </w:t>
      </w:r>
      <w:r w:rsidR="00D84385">
        <w:rPr>
          <w:rFonts w:ascii="Times New Roman" w:hAnsi="Times New Roman"/>
          <w:sz w:val="24"/>
          <w:szCs w:val="24"/>
        </w:rPr>
        <w:t xml:space="preserve">conglomerate groups that have inadequate </w:t>
      </w:r>
      <w:r w:rsidR="007E75A9">
        <w:rPr>
          <w:rFonts w:ascii="Times New Roman" w:hAnsi="Times New Roman"/>
          <w:sz w:val="24"/>
          <w:szCs w:val="24"/>
        </w:rPr>
        <w:t xml:space="preserve">oversight and management of risk via </w:t>
      </w:r>
      <w:r w:rsidR="00D84385">
        <w:rPr>
          <w:rFonts w:ascii="Times New Roman" w:hAnsi="Times New Roman"/>
          <w:sz w:val="24"/>
          <w:szCs w:val="24"/>
        </w:rPr>
        <w:t xml:space="preserve">governance, </w:t>
      </w:r>
      <w:r w:rsidR="007E75A9">
        <w:rPr>
          <w:rFonts w:ascii="Times New Roman" w:hAnsi="Times New Roman"/>
          <w:sz w:val="24"/>
          <w:szCs w:val="24"/>
        </w:rPr>
        <w:t xml:space="preserve">risk management, </w:t>
      </w:r>
      <w:r w:rsidR="00D84385">
        <w:rPr>
          <w:rFonts w:ascii="Times New Roman" w:hAnsi="Times New Roman"/>
          <w:sz w:val="24"/>
          <w:szCs w:val="24"/>
        </w:rPr>
        <w:t>risk exposures and capital adequacy</w:t>
      </w:r>
      <w:r w:rsidR="007E75A9">
        <w:rPr>
          <w:rFonts w:ascii="Times New Roman" w:hAnsi="Times New Roman"/>
          <w:sz w:val="24"/>
          <w:szCs w:val="24"/>
        </w:rPr>
        <w:t xml:space="preserve"> arrangements</w:t>
      </w:r>
      <w:r w:rsidR="00D84385">
        <w:rPr>
          <w:rFonts w:ascii="Times New Roman" w:hAnsi="Times New Roman"/>
          <w:sz w:val="24"/>
          <w:szCs w:val="24"/>
        </w:rPr>
        <w:t>.</w:t>
      </w:r>
      <w:r w:rsidR="00C7653E">
        <w:rPr>
          <w:rFonts w:ascii="Times New Roman" w:hAnsi="Times New Roman"/>
          <w:sz w:val="24"/>
          <w:szCs w:val="24"/>
        </w:rPr>
        <w:t xml:space="preserve"> Maintaining the status quo would </w:t>
      </w:r>
      <w:r w:rsidR="00F51C02">
        <w:rPr>
          <w:rFonts w:ascii="Times New Roman" w:hAnsi="Times New Roman"/>
          <w:sz w:val="24"/>
          <w:szCs w:val="24"/>
        </w:rPr>
        <w:t xml:space="preserve">provide </w:t>
      </w:r>
      <w:r w:rsidR="00C7653E">
        <w:rPr>
          <w:rFonts w:ascii="Times New Roman" w:hAnsi="Times New Roman"/>
          <w:sz w:val="24"/>
          <w:szCs w:val="24"/>
        </w:rPr>
        <w:t xml:space="preserve">the </w:t>
      </w:r>
      <w:r w:rsidR="00DF3F26">
        <w:rPr>
          <w:rFonts w:ascii="Times New Roman" w:hAnsi="Times New Roman"/>
          <w:sz w:val="24"/>
          <w:szCs w:val="24"/>
        </w:rPr>
        <w:t xml:space="preserve">parent entity </w:t>
      </w:r>
      <w:r w:rsidR="00C7653E">
        <w:rPr>
          <w:rFonts w:ascii="Times New Roman" w:hAnsi="Times New Roman"/>
          <w:sz w:val="24"/>
          <w:szCs w:val="24"/>
        </w:rPr>
        <w:t xml:space="preserve">of a </w:t>
      </w:r>
      <w:r w:rsidR="00DF3F26">
        <w:rPr>
          <w:rFonts w:ascii="Times New Roman" w:hAnsi="Times New Roman"/>
          <w:sz w:val="24"/>
          <w:szCs w:val="24"/>
        </w:rPr>
        <w:t xml:space="preserve">conglomerate group </w:t>
      </w:r>
      <w:r w:rsidR="00F51C02">
        <w:rPr>
          <w:rFonts w:ascii="Times New Roman" w:hAnsi="Times New Roman"/>
          <w:sz w:val="24"/>
          <w:szCs w:val="24"/>
        </w:rPr>
        <w:t xml:space="preserve">with </w:t>
      </w:r>
      <w:r w:rsidR="00C7653E">
        <w:rPr>
          <w:rFonts w:ascii="Times New Roman" w:hAnsi="Times New Roman"/>
          <w:sz w:val="24"/>
          <w:szCs w:val="24"/>
        </w:rPr>
        <w:t xml:space="preserve">the flexibility </w:t>
      </w:r>
      <w:r w:rsidR="00F51C02">
        <w:rPr>
          <w:rFonts w:ascii="Times New Roman" w:hAnsi="Times New Roman"/>
          <w:sz w:val="24"/>
          <w:szCs w:val="24"/>
        </w:rPr>
        <w:t xml:space="preserve">to </w:t>
      </w:r>
      <w:r w:rsidR="00C7653E">
        <w:rPr>
          <w:rFonts w:ascii="Times New Roman" w:hAnsi="Times New Roman"/>
          <w:sz w:val="24"/>
          <w:szCs w:val="24"/>
        </w:rPr>
        <w:t>determin</w:t>
      </w:r>
      <w:r w:rsidR="00F51C02">
        <w:rPr>
          <w:rFonts w:ascii="Times New Roman" w:hAnsi="Times New Roman"/>
          <w:sz w:val="24"/>
          <w:szCs w:val="24"/>
        </w:rPr>
        <w:t>e</w:t>
      </w:r>
      <w:r w:rsidR="00C7653E">
        <w:rPr>
          <w:rFonts w:ascii="Times New Roman" w:hAnsi="Times New Roman"/>
          <w:sz w:val="24"/>
          <w:szCs w:val="24"/>
        </w:rPr>
        <w:t xml:space="preserve"> whether </w:t>
      </w:r>
      <w:r w:rsidR="001F0DD7">
        <w:rPr>
          <w:rFonts w:ascii="Times New Roman" w:hAnsi="Times New Roman"/>
          <w:sz w:val="24"/>
          <w:szCs w:val="24"/>
        </w:rPr>
        <w:t>it needs oversight of the risks posed by non-APRA-regulated institutions in the group</w:t>
      </w:r>
      <w:r w:rsidR="00F51C02">
        <w:rPr>
          <w:rFonts w:ascii="Times New Roman" w:hAnsi="Times New Roman"/>
          <w:sz w:val="24"/>
          <w:szCs w:val="24"/>
        </w:rPr>
        <w:t xml:space="preserve">, and </w:t>
      </w:r>
      <w:r w:rsidR="001F0DD7">
        <w:rPr>
          <w:rFonts w:ascii="Times New Roman" w:hAnsi="Times New Roman"/>
          <w:sz w:val="24"/>
          <w:szCs w:val="24"/>
        </w:rPr>
        <w:t xml:space="preserve">to choose to delay or not </w:t>
      </w:r>
      <w:r w:rsidR="00F51C02">
        <w:rPr>
          <w:rFonts w:ascii="Times New Roman" w:hAnsi="Times New Roman"/>
          <w:sz w:val="24"/>
          <w:szCs w:val="24"/>
        </w:rPr>
        <w:t xml:space="preserve">to </w:t>
      </w:r>
      <w:r w:rsidR="001F0DD7">
        <w:rPr>
          <w:rFonts w:ascii="Times New Roman" w:hAnsi="Times New Roman"/>
          <w:sz w:val="24"/>
          <w:szCs w:val="24"/>
        </w:rPr>
        <w:t xml:space="preserve">implement </w:t>
      </w:r>
      <w:r w:rsidR="00EE5D84">
        <w:rPr>
          <w:rFonts w:ascii="Times New Roman" w:hAnsi="Times New Roman"/>
          <w:sz w:val="24"/>
          <w:szCs w:val="24"/>
        </w:rPr>
        <w:t xml:space="preserve">minimum standards </w:t>
      </w:r>
      <w:r w:rsidR="001F0DD7">
        <w:rPr>
          <w:rFonts w:ascii="Times New Roman" w:hAnsi="Times New Roman"/>
          <w:sz w:val="24"/>
          <w:szCs w:val="24"/>
        </w:rPr>
        <w:t>across the group.</w:t>
      </w:r>
    </w:p>
    <w:p w14:paraId="3B1A9E51" w14:textId="77777777" w:rsidR="000F1DDE" w:rsidRPr="009832A9" w:rsidRDefault="000F1DDE" w:rsidP="00513B54">
      <w:pPr>
        <w:pStyle w:val="Heading5"/>
        <w:rPr>
          <w:rStyle w:val="Emphasis"/>
        </w:rPr>
      </w:pPr>
      <w:r w:rsidRPr="00513B54">
        <w:rPr>
          <w:rStyle w:val="Emphasis"/>
        </w:rPr>
        <w:t>Costs</w:t>
      </w:r>
    </w:p>
    <w:p w14:paraId="073860F2" w14:textId="5A254F87" w:rsidR="00980F0F" w:rsidRPr="00953AEB" w:rsidRDefault="00980F0F" w:rsidP="00980F0F">
      <w:pPr>
        <w:spacing w:after="240"/>
        <w:jc w:val="both"/>
        <w:rPr>
          <w:rFonts w:ascii="Times New Roman" w:hAnsi="Times New Roman"/>
          <w:sz w:val="24"/>
          <w:szCs w:val="24"/>
        </w:rPr>
      </w:pPr>
      <w:r>
        <w:rPr>
          <w:rFonts w:ascii="Times New Roman" w:hAnsi="Times New Roman"/>
          <w:sz w:val="24"/>
          <w:szCs w:val="24"/>
        </w:rPr>
        <w:t xml:space="preserve">Option 1 </w:t>
      </w:r>
      <w:r w:rsidRPr="000665CE">
        <w:rPr>
          <w:rFonts w:ascii="Times New Roman" w:hAnsi="Times New Roman"/>
          <w:sz w:val="24"/>
          <w:szCs w:val="24"/>
        </w:rPr>
        <w:t xml:space="preserve">would leave in place potential ‘blind spots’ relating to a conglomerate group’s financial, reputation, moral hazard, operational, and governance and strategic risks. </w:t>
      </w:r>
      <w:r w:rsidRPr="00693F1F">
        <w:rPr>
          <w:rFonts w:ascii="Times New Roman" w:hAnsi="Times New Roman"/>
          <w:sz w:val="24"/>
          <w:szCs w:val="24"/>
        </w:rPr>
        <w:t xml:space="preserve">This would expose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sidRPr="00693F1F">
        <w:rPr>
          <w:rFonts w:ascii="Times New Roman" w:hAnsi="Times New Roman"/>
          <w:sz w:val="24"/>
          <w:szCs w:val="24"/>
        </w:rPr>
        <w:t xml:space="preserve">, financial markets and the Australian taxpayer to additional risks; these costs can only be partly addressed through APRA’s current </w:t>
      </w:r>
      <w:r w:rsidRPr="00513B54">
        <w:rPr>
          <w:rStyle w:val="Emphasis"/>
        </w:rPr>
        <w:t>ad hoc</w:t>
      </w:r>
      <w:r w:rsidRPr="00513B54">
        <w:rPr>
          <w:rFonts w:ascii="Times New Roman" w:hAnsi="Times New Roman"/>
          <w:sz w:val="24"/>
        </w:rPr>
        <w:t xml:space="preserve"> </w:t>
      </w:r>
      <w:r w:rsidRPr="00693F1F">
        <w:rPr>
          <w:rFonts w:ascii="Times New Roman" w:hAnsi="Times New Roman"/>
          <w:sz w:val="24"/>
          <w:szCs w:val="24"/>
        </w:rPr>
        <w:t xml:space="preserve">supervisory arrangements. It would deny to the Australian financial system </w:t>
      </w:r>
      <w:r w:rsidR="003D048F" w:rsidRPr="00693F1F">
        <w:rPr>
          <w:rFonts w:ascii="Times New Roman" w:hAnsi="Times New Roman"/>
          <w:sz w:val="24"/>
          <w:szCs w:val="24"/>
        </w:rPr>
        <w:t xml:space="preserve">the </w:t>
      </w:r>
      <w:r w:rsidRPr="003149D0">
        <w:rPr>
          <w:rFonts w:ascii="Times New Roman" w:hAnsi="Times New Roman"/>
          <w:sz w:val="24"/>
          <w:szCs w:val="24"/>
        </w:rPr>
        <w:t>benefit</w:t>
      </w:r>
      <w:r w:rsidR="003D048F" w:rsidRPr="003149D0">
        <w:rPr>
          <w:rFonts w:ascii="Times New Roman" w:hAnsi="Times New Roman"/>
          <w:sz w:val="24"/>
          <w:szCs w:val="24"/>
        </w:rPr>
        <w:t>s</w:t>
      </w:r>
      <w:r w:rsidRPr="003149D0">
        <w:rPr>
          <w:rFonts w:ascii="Times New Roman" w:hAnsi="Times New Roman"/>
          <w:sz w:val="24"/>
          <w:szCs w:val="24"/>
        </w:rPr>
        <w:t xml:space="preserve"> </w:t>
      </w:r>
      <w:r w:rsidR="00937DC7" w:rsidRPr="003149D0">
        <w:rPr>
          <w:rFonts w:ascii="Times New Roman" w:hAnsi="Times New Roman"/>
          <w:sz w:val="24"/>
          <w:szCs w:val="24"/>
        </w:rPr>
        <w:t xml:space="preserve">from </w:t>
      </w:r>
      <w:r w:rsidRPr="003149D0">
        <w:rPr>
          <w:rFonts w:ascii="Times New Roman" w:hAnsi="Times New Roman"/>
          <w:sz w:val="24"/>
          <w:szCs w:val="24"/>
        </w:rPr>
        <w:t>the lessons learned during the global financial crisis about financial conglomerate risks.</w:t>
      </w:r>
    </w:p>
    <w:p w14:paraId="18EBDD63" w14:textId="77777777" w:rsidR="00BD02FC" w:rsidRDefault="005E78E6" w:rsidP="00E66ED9">
      <w:pPr>
        <w:spacing w:after="240"/>
        <w:jc w:val="both"/>
        <w:rPr>
          <w:rFonts w:ascii="Times New Roman" w:hAnsi="Times New Roman"/>
          <w:sz w:val="24"/>
          <w:szCs w:val="24"/>
        </w:rPr>
      </w:pPr>
      <w:r w:rsidRPr="00415015">
        <w:rPr>
          <w:rFonts w:ascii="Times New Roman" w:hAnsi="Times New Roman"/>
          <w:sz w:val="24"/>
          <w:szCs w:val="24"/>
        </w:rPr>
        <w:t xml:space="preserve">APRA </w:t>
      </w:r>
      <w:r w:rsidR="00980F0F" w:rsidRPr="009832A9">
        <w:rPr>
          <w:rFonts w:ascii="Times New Roman" w:hAnsi="Times New Roman"/>
          <w:sz w:val="24"/>
          <w:szCs w:val="24"/>
        </w:rPr>
        <w:t xml:space="preserve">would continue to have </w:t>
      </w:r>
      <w:r w:rsidR="003D048F" w:rsidRPr="009832A9">
        <w:rPr>
          <w:rFonts w:ascii="Times New Roman" w:hAnsi="Times New Roman"/>
          <w:i/>
          <w:sz w:val="24"/>
          <w:szCs w:val="24"/>
        </w:rPr>
        <w:t>‘</w:t>
      </w:r>
      <w:r w:rsidR="003D048F" w:rsidRPr="00513B54">
        <w:rPr>
          <w:rStyle w:val="Emphasis"/>
        </w:rPr>
        <w:t>ad hoc</w:t>
      </w:r>
      <w:r w:rsidR="003D048F" w:rsidRPr="00693F1F">
        <w:rPr>
          <w:rFonts w:ascii="Times New Roman" w:hAnsi="Times New Roman"/>
          <w:i/>
          <w:sz w:val="24"/>
          <w:szCs w:val="24"/>
        </w:rPr>
        <w:t>’</w:t>
      </w:r>
      <w:r w:rsidRPr="00693F1F">
        <w:rPr>
          <w:rFonts w:ascii="Times New Roman" w:hAnsi="Times New Roman"/>
          <w:sz w:val="24"/>
          <w:szCs w:val="24"/>
        </w:rPr>
        <w:t xml:space="preserve"> </w:t>
      </w:r>
      <w:r w:rsidR="00980F0F" w:rsidRPr="00693F1F">
        <w:rPr>
          <w:rFonts w:ascii="Times New Roman" w:hAnsi="Times New Roman"/>
          <w:sz w:val="24"/>
          <w:szCs w:val="24"/>
        </w:rPr>
        <w:t xml:space="preserve">insight into </w:t>
      </w:r>
      <w:r w:rsidRPr="005A7CF1">
        <w:rPr>
          <w:rFonts w:ascii="Times New Roman" w:hAnsi="Times New Roman"/>
          <w:sz w:val="24"/>
          <w:szCs w:val="24"/>
        </w:rPr>
        <w:t xml:space="preserve">whether regulatory </w:t>
      </w:r>
      <w:r w:rsidR="00E66ED9" w:rsidRPr="005A7CF1">
        <w:rPr>
          <w:rFonts w:ascii="Times New Roman" w:hAnsi="Times New Roman"/>
          <w:sz w:val="24"/>
          <w:szCs w:val="24"/>
        </w:rPr>
        <w:t xml:space="preserve">‘blind spots’ </w:t>
      </w:r>
      <w:r w:rsidRPr="003149D0">
        <w:rPr>
          <w:rFonts w:ascii="Times New Roman" w:hAnsi="Times New Roman"/>
          <w:sz w:val="24"/>
          <w:szCs w:val="24"/>
        </w:rPr>
        <w:t>are also Board ‘blind spots’.</w:t>
      </w:r>
      <w:r w:rsidR="00370282" w:rsidRPr="003149D0">
        <w:rPr>
          <w:rFonts w:ascii="Times New Roman" w:hAnsi="Times New Roman"/>
          <w:sz w:val="24"/>
          <w:szCs w:val="24"/>
        </w:rPr>
        <w:t xml:space="preserve"> </w:t>
      </w:r>
      <w:r w:rsidR="00782979" w:rsidRPr="003149D0">
        <w:rPr>
          <w:rFonts w:ascii="Times New Roman" w:hAnsi="Times New Roman"/>
          <w:sz w:val="24"/>
          <w:szCs w:val="24"/>
        </w:rPr>
        <w:t xml:space="preserve">Conglomerate groups </w:t>
      </w:r>
      <w:r w:rsidR="00370282" w:rsidRPr="003149D0">
        <w:rPr>
          <w:rFonts w:ascii="Times New Roman" w:hAnsi="Times New Roman"/>
          <w:sz w:val="24"/>
          <w:szCs w:val="24"/>
        </w:rPr>
        <w:t xml:space="preserve">would be allowed to choose how material risks from non-APRA-regulated institutions should be managed. </w:t>
      </w:r>
      <w:r w:rsidR="008D6DE2" w:rsidRPr="003149D0">
        <w:rPr>
          <w:rFonts w:ascii="Times New Roman" w:hAnsi="Times New Roman"/>
          <w:sz w:val="24"/>
          <w:szCs w:val="24"/>
        </w:rPr>
        <w:t xml:space="preserve">This </w:t>
      </w:r>
      <w:r w:rsidR="00514E83" w:rsidRPr="003149D0">
        <w:rPr>
          <w:rFonts w:ascii="Times New Roman" w:hAnsi="Times New Roman"/>
          <w:sz w:val="24"/>
          <w:szCs w:val="24"/>
        </w:rPr>
        <w:t xml:space="preserve">could </w:t>
      </w:r>
      <w:r w:rsidR="008D6DE2" w:rsidRPr="009832A9">
        <w:rPr>
          <w:rFonts w:ascii="Times New Roman" w:hAnsi="Times New Roman"/>
          <w:sz w:val="24"/>
          <w:szCs w:val="24"/>
        </w:rPr>
        <w:t xml:space="preserve">result in activities that pose material risks to APRA-regulated institutions not being subject to minimum standards that would apply if </w:t>
      </w:r>
      <w:r w:rsidR="00D7509E" w:rsidRPr="009832A9">
        <w:rPr>
          <w:rFonts w:ascii="Times New Roman" w:hAnsi="Times New Roman"/>
          <w:sz w:val="24"/>
          <w:szCs w:val="24"/>
        </w:rPr>
        <w:t xml:space="preserve">the risk was </w:t>
      </w:r>
      <w:r w:rsidR="008D6DE2" w:rsidRPr="00C224A3">
        <w:rPr>
          <w:rFonts w:ascii="Times New Roman" w:hAnsi="Times New Roman"/>
          <w:sz w:val="24"/>
          <w:szCs w:val="24"/>
        </w:rPr>
        <w:t xml:space="preserve">held by </w:t>
      </w:r>
      <w:r w:rsidR="00D7509E" w:rsidRPr="00362B41">
        <w:rPr>
          <w:rFonts w:ascii="Times New Roman" w:hAnsi="Times New Roman"/>
          <w:sz w:val="24"/>
          <w:szCs w:val="24"/>
        </w:rPr>
        <w:t xml:space="preserve">regulated </w:t>
      </w:r>
      <w:r w:rsidR="008D6DE2" w:rsidRPr="001B0CDA">
        <w:rPr>
          <w:rFonts w:ascii="Times New Roman" w:hAnsi="Times New Roman"/>
          <w:sz w:val="24"/>
          <w:szCs w:val="24"/>
        </w:rPr>
        <w:t>institutions</w:t>
      </w:r>
      <w:r w:rsidR="00D7509E" w:rsidRPr="001B0CDA">
        <w:rPr>
          <w:rFonts w:ascii="Times New Roman" w:hAnsi="Times New Roman"/>
          <w:sz w:val="24"/>
          <w:szCs w:val="24"/>
        </w:rPr>
        <w:t xml:space="preserve"> in the group</w:t>
      </w:r>
      <w:r w:rsidR="00370282" w:rsidRPr="001B0CDA">
        <w:rPr>
          <w:rFonts w:ascii="Times New Roman" w:hAnsi="Times New Roman"/>
          <w:sz w:val="24"/>
          <w:szCs w:val="24"/>
        </w:rPr>
        <w:t xml:space="preserve">. </w:t>
      </w:r>
      <w:r w:rsidR="00BD02FC" w:rsidRPr="00202D92">
        <w:rPr>
          <w:rFonts w:ascii="Times New Roman" w:hAnsi="Times New Roman"/>
          <w:sz w:val="24"/>
          <w:szCs w:val="24"/>
        </w:rPr>
        <w:t>It would also remain the case that conglomerate groups could</w:t>
      </w:r>
      <w:r w:rsidR="00BD02FC">
        <w:rPr>
          <w:rFonts w:ascii="Times New Roman" w:hAnsi="Times New Roman"/>
          <w:sz w:val="24"/>
          <w:szCs w:val="24"/>
        </w:rPr>
        <w:t xml:space="preserve"> more readily create capital artificially through intra-group transactions, and APRA’s ability to detect and respond to such arrangements is limited.</w:t>
      </w:r>
    </w:p>
    <w:p w14:paraId="2B98DEA8" w14:textId="6468E33B" w:rsidR="00E66ED9" w:rsidRDefault="005E78E6" w:rsidP="00E66ED9">
      <w:pPr>
        <w:spacing w:after="240"/>
        <w:jc w:val="both"/>
        <w:rPr>
          <w:rFonts w:ascii="Times New Roman" w:hAnsi="Times New Roman"/>
          <w:sz w:val="24"/>
          <w:szCs w:val="24"/>
        </w:rPr>
      </w:pPr>
      <w:r>
        <w:rPr>
          <w:rFonts w:ascii="Times New Roman" w:hAnsi="Times New Roman"/>
          <w:sz w:val="24"/>
          <w:szCs w:val="24"/>
        </w:rPr>
        <w:t xml:space="preserve">The global financial crisis </w:t>
      </w:r>
      <w:r w:rsidR="00980F0F">
        <w:rPr>
          <w:rFonts w:ascii="Times New Roman" w:hAnsi="Times New Roman"/>
          <w:sz w:val="24"/>
          <w:szCs w:val="24"/>
        </w:rPr>
        <w:t xml:space="preserve">highlighted </w:t>
      </w:r>
      <w:r>
        <w:rPr>
          <w:rFonts w:ascii="Times New Roman" w:hAnsi="Times New Roman"/>
          <w:sz w:val="24"/>
          <w:szCs w:val="24"/>
        </w:rPr>
        <w:t xml:space="preserve">the </w:t>
      </w:r>
      <w:r w:rsidR="00980F0F">
        <w:rPr>
          <w:rFonts w:ascii="Times New Roman" w:hAnsi="Times New Roman"/>
          <w:sz w:val="24"/>
          <w:szCs w:val="24"/>
        </w:rPr>
        <w:t>considerable</w:t>
      </w:r>
      <w:r w:rsidR="00390D0A">
        <w:rPr>
          <w:rFonts w:ascii="Times New Roman" w:hAnsi="Times New Roman"/>
          <w:sz w:val="24"/>
          <w:szCs w:val="24"/>
        </w:rPr>
        <w:t xml:space="preserve"> social and economic consequences </w:t>
      </w:r>
      <w:r w:rsidR="00980F0F">
        <w:rPr>
          <w:rFonts w:ascii="Times New Roman" w:hAnsi="Times New Roman"/>
          <w:sz w:val="24"/>
          <w:szCs w:val="24"/>
        </w:rPr>
        <w:t xml:space="preserve">when </w:t>
      </w:r>
      <w:r w:rsidR="00DF3F26">
        <w:rPr>
          <w:rFonts w:ascii="Times New Roman" w:hAnsi="Times New Roman"/>
          <w:sz w:val="24"/>
          <w:szCs w:val="24"/>
        </w:rPr>
        <w:t xml:space="preserve">the </w:t>
      </w:r>
      <w:r w:rsidR="00980F0F">
        <w:rPr>
          <w:rFonts w:ascii="Times New Roman" w:hAnsi="Times New Roman"/>
          <w:sz w:val="24"/>
          <w:szCs w:val="24"/>
        </w:rPr>
        <w:t>Boards</w:t>
      </w:r>
      <w:r w:rsidR="00DF3F26">
        <w:rPr>
          <w:rFonts w:ascii="Times New Roman" w:hAnsi="Times New Roman"/>
          <w:sz w:val="24"/>
          <w:szCs w:val="24"/>
        </w:rPr>
        <w:t xml:space="preserve"> of parent entities</w:t>
      </w:r>
      <w:r w:rsidR="00980F0F">
        <w:rPr>
          <w:rFonts w:ascii="Times New Roman" w:hAnsi="Times New Roman"/>
          <w:sz w:val="24"/>
          <w:szCs w:val="24"/>
        </w:rPr>
        <w:t xml:space="preserve"> and their regulators do </w:t>
      </w:r>
      <w:r w:rsidR="00390D0A">
        <w:rPr>
          <w:rFonts w:ascii="Times New Roman" w:hAnsi="Times New Roman"/>
          <w:sz w:val="24"/>
          <w:szCs w:val="24"/>
        </w:rPr>
        <w:t xml:space="preserve">not </w:t>
      </w:r>
      <w:r w:rsidR="00980F0F">
        <w:rPr>
          <w:rFonts w:ascii="Times New Roman" w:hAnsi="Times New Roman"/>
          <w:sz w:val="24"/>
          <w:szCs w:val="24"/>
        </w:rPr>
        <w:t xml:space="preserve">adequately </w:t>
      </w:r>
      <w:r w:rsidR="0009347E">
        <w:rPr>
          <w:rFonts w:ascii="Times New Roman" w:hAnsi="Times New Roman"/>
          <w:sz w:val="24"/>
          <w:szCs w:val="24"/>
        </w:rPr>
        <w:t>oversee and underst</w:t>
      </w:r>
      <w:r w:rsidR="00980F0F">
        <w:rPr>
          <w:rFonts w:ascii="Times New Roman" w:hAnsi="Times New Roman"/>
          <w:sz w:val="24"/>
          <w:szCs w:val="24"/>
        </w:rPr>
        <w:t>and</w:t>
      </w:r>
      <w:r w:rsidR="0009347E">
        <w:rPr>
          <w:rFonts w:ascii="Times New Roman" w:hAnsi="Times New Roman"/>
          <w:sz w:val="24"/>
          <w:szCs w:val="24"/>
        </w:rPr>
        <w:t xml:space="preserve"> </w:t>
      </w:r>
      <w:r w:rsidR="00980F0F">
        <w:rPr>
          <w:rFonts w:ascii="Times New Roman" w:hAnsi="Times New Roman"/>
          <w:sz w:val="24"/>
          <w:szCs w:val="24"/>
        </w:rPr>
        <w:t>the material risks to these groups</w:t>
      </w:r>
      <w:r w:rsidR="00390D0A">
        <w:rPr>
          <w:rFonts w:ascii="Times New Roman" w:hAnsi="Times New Roman"/>
          <w:sz w:val="24"/>
          <w:szCs w:val="24"/>
        </w:rPr>
        <w:t>.</w:t>
      </w:r>
    </w:p>
    <w:p w14:paraId="22A295A5" w14:textId="68C44649" w:rsidR="00642DE4" w:rsidRPr="000665CE" w:rsidRDefault="00DE19F1" w:rsidP="00E66ED9">
      <w:pPr>
        <w:spacing w:after="240"/>
        <w:jc w:val="both"/>
        <w:rPr>
          <w:rFonts w:ascii="Times New Roman" w:hAnsi="Times New Roman"/>
          <w:sz w:val="24"/>
          <w:szCs w:val="24"/>
        </w:rPr>
      </w:pPr>
      <w:r>
        <w:rPr>
          <w:rFonts w:ascii="Times New Roman" w:hAnsi="Times New Roman"/>
          <w:sz w:val="24"/>
          <w:szCs w:val="24"/>
        </w:rPr>
        <w:t>As outlined above, t</w:t>
      </w:r>
      <w:r w:rsidR="00642DE4">
        <w:rPr>
          <w:rFonts w:ascii="Times New Roman" w:hAnsi="Times New Roman"/>
          <w:sz w:val="24"/>
          <w:szCs w:val="24"/>
        </w:rPr>
        <w:t>he eight Australian conglomerate groups intended to be subject to the Level</w:t>
      </w:r>
      <w:r w:rsidR="00FC5E55">
        <w:rPr>
          <w:rFonts w:ascii="Times New Roman" w:hAnsi="Times New Roman"/>
          <w:sz w:val="24"/>
          <w:szCs w:val="24"/>
        </w:rPr>
        <w:t> </w:t>
      </w:r>
      <w:r w:rsidR="00642DE4">
        <w:rPr>
          <w:rFonts w:ascii="Times New Roman" w:hAnsi="Times New Roman"/>
          <w:sz w:val="24"/>
          <w:szCs w:val="24"/>
        </w:rPr>
        <w:t xml:space="preserve">3 framework control </w:t>
      </w:r>
      <w:r>
        <w:rPr>
          <w:rFonts w:ascii="Times New Roman" w:hAnsi="Times New Roman"/>
          <w:sz w:val="24"/>
          <w:szCs w:val="24"/>
        </w:rPr>
        <w:t>a large proportion</w:t>
      </w:r>
      <w:r w:rsidR="00D403DA">
        <w:rPr>
          <w:rFonts w:ascii="Times New Roman" w:hAnsi="Times New Roman"/>
          <w:sz w:val="24"/>
          <w:szCs w:val="24"/>
        </w:rPr>
        <w:t xml:space="preserve"> of the assets held by APRA-supervised institutions</w:t>
      </w:r>
      <w:r w:rsidR="00642DE4">
        <w:rPr>
          <w:rFonts w:ascii="Times New Roman" w:hAnsi="Times New Roman"/>
          <w:sz w:val="24"/>
          <w:szCs w:val="24"/>
        </w:rPr>
        <w:t xml:space="preserve">. Maintaining the status quo means that these groups </w:t>
      </w:r>
      <w:r w:rsidR="00496BA7">
        <w:rPr>
          <w:rFonts w:ascii="Times New Roman" w:hAnsi="Times New Roman"/>
          <w:sz w:val="24"/>
          <w:szCs w:val="24"/>
        </w:rPr>
        <w:t xml:space="preserve">would </w:t>
      </w:r>
      <w:r w:rsidR="00642DE4">
        <w:rPr>
          <w:rFonts w:ascii="Times New Roman" w:hAnsi="Times New Roman"/>
          <w:sz w:val="24"/>
          <w:szCs w:val="24"/>
        </w:rPr>
        <w:t xml:space="preserve">be slightly less prudentially safe, and the Australian financial system </w:t>
      </w:r>
      <w:r w:rsidR="00496BA7">
        <w:rPr>
          <w:rFonts w:ascii="Times New Roman" w:hAnsi="Times New Roman"/>
          <w:sz w:val="24"/>
          <w:szCs w:val="24"/>
        </w:rPr>
        <w:t xml:space="preserve">would </w:t>
      </w:r>
      <w:r w:rsidR="00642DE4">
        <w:rPr>
          <w:rFonts w:ascii="Times New Roman" w:hAnsi="Times New Roman"/>
          <w:sz w:val="24"/>
          <w:szCs w:val="24"/>
        </w:rPr>
        <w:t xml:space="preserve">also be slightly less safe, than would be the case </w:t>
      </w:r>
      <w:r w:rsidR="00496BA7">
        <w:rPr>
          <w:rFonts w:ascii="Times New Roman" w:hAnsi="Times New Roman"/>
          <w:sz w:val="24"/>
          <w:szCs w:val="24"/>
        </w:rPr>
        <w:t xml:space="preserve">should </w:t>
      </w:r>
      <w:r w:rsidR="00642DE4">
        <w:rPr>
          <w:rFonts w:ascii="Times New Roman" w:hAnsi="Times New Roman"/>
          <w:sz w:val="24"/>
          <w:szCs w:val="24"/>
        </w:rPr>
        <w:t>APRA implement</w:t>
      </w:r>
      <w:r w:rsidR="00496BA7">
        <w:rPr>
          <w:rFonts w:ascii="Times New Roman" w:hAnsi="Times New Roman"/>
          <w:sz w:val="24"/>
          <w:szCs w:val="24"/>
        </w:rPr>
        <w:t xml:space="preserve"> a</w:t>
      </w:r>
      <w:r w:rsidR="00642DE4">
        <w:rPr>
          <w:rFonts w:ascii="Times New Roman" w:hAnsi="Times New Roman"/>
          <w:sz w:val="24"/>
          <w:szCs w:val="24"/>
        </w:rPr>
        <w:t xml:space="preserve"> Level</w:t>
      </w:r>
      <w:r w:rsidR="00FC5E55">
        <w:rPr>
          <w:rFonts w:ascii="Times New Roman" w:hAnsi="Times New Roman"/>
          <w:sz w:val="24"/>
          <w:szCs w:val="24"/>
        </w:rPr>
        <w:t> </w:t>
      </w:r>
      <w:r w:rsidR="00642DE4">
        <w:rPr>
          <w:rFonts w:ascii="Times New Roman" w:hAnsi="Times New Roman"/>
          <w:sz w:val="24"/>
          <w:szCs w:val="24"/>
        </w:rPr>
        <w:t xml:space="preserve">3 framework.  </w:t>
      </w:r>
    </w:p>
    <w:p w14:paraId="5253A0C6" w14:textId="77777777" w:rsidR="002E6BA9" w:rsidRPr="00513B54" w:rsidRDefault="002E6BA9" w:rsidP="00513B54">
      <w:pPr>
        <w:pStyle w:val="Heading4"/>
      </w:pPr>
      <w:r w:rsidRPr="00513B54">
        <w:t xml:space="preserve">Option 2 — </w:t>
      </w:r>
      <w:r w:rsidR="00885888" w:rsidRPr="00513B54">
        <w:t>partial implementation of a Level 3 framework</w:t>
      </w:r>
    </w:p>
    <w:p w14:paraId="6D4BB0DB" w14:textId="60895BD0" w:rsidR="00097F40" w:rsidRDefault="00E66ED9" w:rsidP="00C90B4A">
      <w:pPr>
        <w:spacing w:after="240"/>
        <w:jc w:val="both"/>
        <w:rPr>
          <w:rFonts w:ascii="Times New Roman" w:hAnsi="Times New Roman"/>
          <w:sz w:val="24"/>
          <w:szCs w:val="24"/>
        </w:rPr>
      </w:pPr>
      <w:r>
        <w:rPr>
          <w:rFonts w:ascii="Times New Roman" w:hAnsi="Times New Roman"/>
          <w:sz w:val="24"/>
          <w:szCs w:val="24"/>
        </w:rPr>
        <w:t>Under options 2</w:t>
      </w:r>
      <w:r w:rsidR="0018523C">
        <w:rPr>
          <w:rFonts w:ascii="Times New Roman" w:hAnsi="Times New Roman"/>
          <w:sz w:val="24"/>
          <w:szCs w:val="24"/>
        </w:rPr>
        <w:t xml:space="preserve"> and 3</w:t>
      </w:r>
      <w:r>
        <w:rPr>
          <w:rFonts w:ascii="Times New Roman" w:hAnsi="Times New Roman"/>
          <w:sz w:val="24"/>
          <w:szCs w:val="24"/>
        </w:rPr>
        <w:t xml:space="preserve">, </w:t>
      </w:r>
      <w:r w:rsidRPr="000665CE">
        <w:rPr>
          <w:rFonts w:ascii="Times New Roman" w:hAnsi="Times New Roman"/>
          <w:sz w:val="24"/>
          <w:szCs w:val="24"/>
        </w:rPr>
        <w:t xml:space="preserve">APRA </w:t>
      </w:r>
      <w:r>
        <w:rPr>
          <w:rFonts w:ascii="Times New Roman" w:hAnsi="Times New Roman"/>
          <w:sz w:val="24"/>
          <w:szCs w:val="24"/>
        </w:rPr>
        <w:t xml:space="preserve">would </w:t>
      </w:r>
      <w:r w:rsidRPr="000665CE">
        <w:rPr>
          <w:rFonts w:ascii="Times New Roman" w:hAnsi="Times New Roman"/>
          <w:sz w:val="24"/>
          <w:szCs w:val="24"/>
        </w:rPr>
        <w:t xml:space="preserve">establish a Level 3 supervision framework for conglomerate Level 3 groups. </w:t>
      </w:r>
      <w:r w:rsidR="00F30DDE" w:rsidRPr="000665CE">
        <w:rPr>
          <w:rFonts w:ascii="Times New Roman" w:hAnsi="Times New Roman"/>
          <w:sz w:val="24"/>
          <w:szCs w:val="24"/>
        </w:rPr>
        <w:t>A ‘Level 3 group’ is a group that performs material activities across more than one APRA-regulated industry and/or in one or more non-APRA-regulated industries. The Level 3 group would comprise the APRA-regulated parent institution and its subsidiaries.</w:t>
      </w:r>
      <w:r w:rsidR="00F30DDE">
        <w:rPr>
          <w:rFonts w:ascii="Times New Roman" w:hAnsi="Times New Roman"/>
          <w:sz w:val="24"/>
          <w:szCs w:val="24"/>
        </w:rPr>
        <w:t xml:space="preserve"> </w:t>
      </w:r>
      <w:r w:rsidR="00F30DDE" w:rsidRPr="00F95616">
        <w:rPr>
          <w:rFonts w:ascii="Times New Roman" w:hAnsi="Times New Roman"/>
          <w:sz w:val="24"/>
          <w:szCs w:val="24"/>
        </w:rPr>
        <w:t>The Level 3 framework would be applied to the parent APRA-regulated institution in a conglomerate group (the ‘Level 3 Head’)</w:t>
      </w:r>
      <w:r w:rsidR="00F30DDE" w:rsidRPr="00B124EC">
        <w:rPr>
          <w:rFonts w:ascii="Times New Roman" w:hAnsi="Times New Roman"/>
          <w:sz w:val="24"/>
          <w:szCs w:val="24"/>
        </w:rPr>
        <w:t xml:space="preserve">, which in turn must ensure that </w:t>
      </w:r>
      <w:r w:rsidR="00514E83">
        <w:rPr>
          <w:rFonts w:ascii="Times New Roman" w:hAnsi="Times New Roman"/>
          <w:sz w:val="24"/>
          <w:szCs w:val="24"/>
        </w:rPr>
        <w:t xml:space="preserve">all </w:t>
      </w:r>
      <w:r w:rsidR="00F30DDE">
        <w:rPr>
          <w:rFonts w:ascii="Times New Roman" w:hAnsi="Times New Roman"/>
          <w:sz w:val="24"/>
          <w:szCs w:val="24"/>
        </w:rPr>
        <w:t xml:space="preserve">material risks to </w:t>
      </w:r>
      <w:r w:rsidR="009310E1">
        <w:rPr>
          <w:rFonts w:ascii="Times New Roman" w:hAnsi="Times New Roman"/>
          <w:sz w:val="24"/>
          <w:szCs w:val="24"/>
        </w:rPr>
        <w:t>d</w:t>
      </w:r>
      <w:r w:rsidR="00274376">
        <w:rPr>
          <w:rFonts w:ascii="Times New Roman" w:hAnsi="Times New Roman"/>
          <w:sz w:val="24"/>
          <w:szCs w:val="24"/>
        </w:rPr>
        <w:t>epositors, policyholders and superannuation members</w:t>
      </w:r>
      <w:r w:rsidR="00514E83">
        <w:rPr>
          <w:rFonts w:ascii="Times New Roman" w:hAnsi="Times New Roman"/>
          <w:sz w:val="24"/>
          <w:szCs w:val="24"/>
        </w:rPr>
        <w:t>, including from group membership,</w:t>
      </w:r>
      <w:r w:rsidR="00F30DDE" w:rsidRPr="00B124EC">
        <w:rPr>
          <w:rFonts w:ascii="Times New Roman" w:hAnsi="Times New Roman"/>
          <w:sz w:val="24"/>
          <w:szCs w:val="24"/>
        </w:rPr>
        <w:t xml:space="preserve"> </w:t>
      </w:r>
      <w:r w:rsidR="00F30DDE">
        <w:rPr>
          <w:rFonts w:ascii="Times New Roman" w:hAnsi="Times New Roman"/>
          <w:sz w:val="24"/>
          <w:szCs w:val="24"/>
        </w:rPr>
        <w:t>are captured by the Head’s policies</w:t>
      </w:r>
      <w:r w:rsidR="00F30DDE" w:rsidRPr="00BE6B46">
        <w:rPr>
          <w:rFonts w:ascii="Times New Roman" w:hAnsi="Times New Roman"/>
          <w:sz w:val="24"/>
          <w:szCs w:val="24"/>
        </w:rPr>
        <w:t>.</w:t>
      </w:r>
      <w:r w:rsidR="00F30DDE">
        <w:rPr>
          <w:rFonts w:ascii="Times New Roman" w:hAnsi="Times New Roman"/>
          <w:sz w:val="24"/>
          <w:szCs w:val="24"/>
        </w:rPr>
        <w:t xml:space="preserve"> </w:t>
      </w:r>
      <w:r w:rsidR="00C90B4A">
        <w:rPr>
          <w:rFonts w:ascii="Times New Roman" w:hAnsi="Times New Roman"/>
          <w:sz w:val="24"/>
          <w:szCs w:val="24"/>
        </w:rPr>
        <w:t xml:space="preserve">The following diagram illustrates the coverage of the </w:t>
      </w:r>
      <w:r w:rsidR="00F30DDE">
        <w:rPr>
          <w:rFonts w:ascii="Times New Roman" w:hAnsi="Times New Roman"/>
          <w:sz w:val="24"/>
          <w:szCs w:val="24"/>
        </w:rPr>
        <w:t xml:space="preserve">proposed </w:t>
      </w:r>
      <w:r w:rsidR="00C90B4A">
        <w:rPr>
          <w:rFonts w:ascii="Times New Roman" w:hAnsi="Times New Roman"/>
          <w:sz w:val="24"/>
          <w:szCs w:val="24"/>
        </w:rPr>
        <w:t>Level 3 framework:</w:t>
      </w:r>
    </w:p>
    <w:p w14:paraId="0BCCB51A" w14:textId="77777777" w:rsidR="00C90B4A" w:rsidRDefault="00223D27" w:rsidP="00257524">
      <w:pPr>
        <w:jc w:val="center"/>
        <w:rPr>
          <w:rFonts w:ascii="Times New Roman" w:hAnsi="Times New Roman"/>
          <w:sz w:val="24"/>
          <w:szCs w:val="24"/>
        </w:rPr>
      </w:pPr>
      <w:r w:rsidRPr="00074A9E">
        <w:rPr>
          <w:rFonts w:ascii="Times New Roman" w:hAnsi="Times New Roman"/>
          <w:noProof/>
          <w:sz w:val="24"/>
          <w:szCs w:val="24"/>
          <w:lang w:eastAsia="en-AU"/>
        </w:rPr>
        <w:drawing>
          <wp:inline distT="0" distB="0" distL="0" distR="0" wp14:anchorId="1FC7AA81" wp14:editId="49E4E95C">
            <wp:extent cx="4572000" cy="3514708"/>
            <wp:effectExtent l="0" t="0" r="0" b="0"/>
            <wp:docPr id="18" name="Picture 18" title="Level 3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65" cy="3514758"/>
                    </a:xfrm>
                    <a:prstGeom prst="rect">
                      <a:avLst/>
                    </a:prstGeom>
                    <a:noFill/>
                    <a:ln>
                      <a:noFill/>
                    </a:ln>
                  </pic:spPr>
                </pic:pic>
              </a:graphicData>
            </a:graphic>
          </wp:inline>
        </w:drawing>
      </w:r>
    </w:p>
    <w:p w14:paraId="474C5D84" w14:textId="77777777" w:rsidR="00D954E8" w:rsidRPr="00A53F2D" w:rsidRDefault="00A53F2D" w:rsidP="00A53F2D">
      <w:pPr>
        <w:spacing w:after="240"/>
        <w:jc w:val="center"/>
        <w:rPr>
          <w:rFonts w:ascii="Times New Roman" w:hAnsi="Times New Roman"/>
          <w:sz w:val="18"/>
          <w:szCs w:val="24"/>
        </w:rPr>
      </w:pPr>
      <w:r>
        <w:rPr>
          <w:rFonts w:ascii="Times New Roman" w:hAnsi="Times New Roman"/>
          <w:sz w:val="18"/>
          <w:szCs w:val="24"/>
        </w:rPr>
        <w:t xml:space="preserve">Figure 2: </w:t>
      </w:r>
      <w:r w:rsidR="00D954E8">
        <w:rPr>
          <w:rFonts w:ascii="Times New Roman" w:hAnsi="Times New Roman"/>
          <w:sz w:val="18"/>
          <w:szCs w:val="24"/>
        </w:rPr>
        <w:t>An example of a Level 3 group that includes a Level 2 group</w:t>
      </w:r>
      <w:r w:rsidR="00BA3028">
        <w:rPr>
          <w:rFonts w:ascii="Times New Roman" w:hAnsi="Times New Roman"/>
          <w:sz w:val="18"/>
          <w:szCs w:val="24"/>
        </w:rPr>
        <w:t>.</w:t>
      </w:r>
    </w:p>
    <w:p w14:paraId="57AC7E33" w14:textId="77777777" w:rsidR="00377D4F" w:rsidRPr="00257524" w:rsidRDefault="00377D4F" w:rsidP="00257524">
      <w:pPr>
        <w:jc w:val="center"/>
        <w:rPr>
          <w:rFonts w:ascii="Times New Roman" w:hAnsi="Times New Roman"/>
          <w:b/>
          <w:sz w:val="24"/>
          <w:szCs w:val="24"/>
        </w:rPr>
      </w:pPr>
      <w:r w:rsidRPr="00257524">
        <w:rPr>
          <w:rFonts w:ascii="Times New Roman" w:hAnsi="Times New Roman"/>
          <w:b/>
          <w:sz w:val="24"/>
          <w:szCs w:val="24"/>
        </w:rPr>
        <w:t>Legend</w:t>
      </w:r>
    </w:p>
    <w:p w14:paraId="2CBE66F2" w14:textId="77777777" w:rsidR="00C90B4A" w:rsidRPr="00A53F2D" w:rsidRDefault="00C90B4A">
      <w:pPr>
        <w:spacing w:after="240"/>
        <w:jc w:val="center"/>
        <w:rPr>
          <w:rFonts w:ascii="Times New Roman" w:hAnsi="Times New Roman"/>
          <w:sz w:val="18"/>
          <w:szCs w:val="24"/>
        </w:rPr>
      </w:pPr>
      <w:r w:rsidRPr="00074A9E">
        <w:rPr>
          <w:rFonts w:ascii="Times New Roman" w:hAnsi="Times New Roman"/>
          <w:noProof/>
          <w:sz w:val="24"/>
          <w:szCs w:val="24"/>
          <w:lang w:eastAsia="en-AU"/>
        </w:rPr>
        <w:drawing>
          <wp:inline distT="0" distB="0" distL="0" distR="0" wp14:anchorId="34D7DB52" wp14:editId="5805AB5C">
            <wp:extent cx="2933700" cy="636726"/>
            <wp:effectExtent l="0" t="0" r="0" b="0"/>
            <wp:docPr id="35" name="Picture 35" title="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7273" cy="641842"/>
                    </a:xfrm>
                    <a:prstGeom prst="rect">
                      <a:avLst/>
                    </a:prstGeom>
                    <a:noFill/>
                  </pic:spPr>
                </pic:pic>
              </a:graphicData>
            </a:graphic>
          </wp:inline>
        </w:drawing>
      </w:r>
      <w:r w:rsidR="00D954E8" w:rsidRPr="00D954E8">
        <w:rPr>
          <w:rFonts w:ascii="Times New Roman" w:hAnsi="Times New Roman"/>
          <w:sz w:val="18"/>
          <w:szCs w:val="24"/>
        </w:rPr>
        <w:t xml:space="preserve"> </w:t>
      </w:r>
      <w:r w:rsidR="00D954E8">
        <w:rPr>
          <w:rFonts w:ascii="Times New Roman" w:hAnsi="Times New Roman"/>
          <w:sz w:val="18"/>
          <w:szCs w:val="24"/>
        </w:rPr>
        <w:br/>
      </w:r>
      <w:r w:rsidR="00A53F2D">
        <w:rPr>
          <w:rFonts w:ascii="Times New Roman" w:hAnsi="Times New Roman"/>
          <w:sz w:val="18"/>
          <w:szCs w:val="24"/>
        </w:rPr>
        <w:t xml:space="preserve">The </w:t>
      </w:r>
      <w:r w:rsidR="00D954E8">
        <w:rPr>
          <w:rFonts w:ascii="Times New Roman" w:hAnsi="Times New Roman"/>
          <w:sz w:val="18"/>
          <w:szCs w:val="24"/>
        </w:rPr>
        <w:t>legend</w:t>
      </w:r>
      <w:r w:rsidR="00BA3028" w:rsidRPr="00BA3028">
        <w:rPr>
          <w:rFonts w:ascii="Times New Roman" w:hAnsi="Times New Roman"/>
          <w:sz w:val="18"/>
          <w:szCs w:val="24"/>
        </w:rPr>
        <w:t xml:space="preserve"> </w:t>
      </w:r>
      <w:r w:rsidR="00BA3028">
        <w:rPr>
          <w:rFonts w:ascii="Times New Roman" w:hAnsi="Times New Roman"/>
          <w:sz w:val="18"/>
          <w:szCs w:val="24"/>
        </w:rPr>
        <w:t xml:space="preserve">for </w:t>
      </w:r>
      <w:r w:rsidR="00A53F2D">
        <w:rPr>
          <w:rFonts w:ascii="Times New Roman" w:hAnsi="Times New Roman"/>
          <w:sz w:val="18"/>
          <w:szCs w:val="24"/>
        </w:rPr>
        <w:t xml:space="preserve">Figure 2 </w:t>
      </w:r>
      <w:r w:rsidR="00D954E8">
        <w:rPr>
          <w:rFonts w:ascii="Times New Roman" w:hAnsi="Times New Roman"/>
          <w:sz w:val="18"/>
          <w:szCs w:val="24"/>
        </w:rPr>
        <w:t>indicating APRA-regulated and non-APRA-regulated institutions</w:t>
      </w:r>
      <w:r w:rsidR="00BA3028">
        <w:rPr>
          <w:rFonts w:ascii="Times New Roman" w:hAnsi="Times New Roman"/>
          <w:sz w:val="18"/>
          <w:szCs w:val="24"/>
        </w:rPr>
        <w:t>.</w:t>
      </w:r>
      <w:r w:rsidR="00D954E8">
        <w:rPr>
          <w:rFonts w:ascii="Times New Roman" w:hAnsi="Times New Roman"/>
          <w:sz w:val="18"/>
          <w:szCs w:val="24"/>
        </w:rPr>
        <w:t xml:space="preserve"> </w:t>
      </w:r>
    </w:p>
    <w:p w14:paraId="1F800E15" w14:textId="126F44D3" w:rsidR="00514E83" w:rsidRDefault="00377D4F" w:rsidP="00097F40">
      <w:pPr>
        <w:spacing w:after="240"/>
        <w:jc w:val="both"/>
        <w:rPr>
          <w:rFonts w:ascii="Times New Roman" w:hAnsi="Times New Roman"/>
          <w:sz w:val="24"/>
          <w:szCs w:val="24"/>
        </w:rPr>
      </w:pPr>
      <w:r>
        <w:rPr>
          <w:rFonts w:ascii="Times New Roman" w:hAnsi="Times New Roman"/>
          <w:sz w:val="24"/>
          <w:szCs w:val="24"/>
        </w:rPr>
        <w:t xml:space="preserve">In </w:t>
      </w:r>
      <w:r w:rsidR="00A53F2D">
        <w:rPr>
          <w:rFonts w:ascii="Times New Roman" w:hAnsi="Times New Roman"/>
          <w:sz w:val="24"/>
          <w:szCs w:val="24"/>
        </w:rPr>
        <w:t>Figure 2</w:t>
      </w:r>
      <w:r>
        <w:rPr>
          <w:rFonts w:ascii="Times New Roman" w:hAnsi="Times New Roman"/>
          <w:sz w:val="24"/>
          <w:szCs w:val="24"/>
        </w:rPr>
        <w:t xml:space="preserve"> above, the ADI, life company and RSE licensee are institutions that APRA </w:t>
      </w:r>
      <w:r w:rsidR="00F30DDE">
        <w:rPr>
          <w:rFonts w:ascii="Times New Roman" w:hAnsi="Times New Roman"/>
          <w:sz w:val="24"/>
          <w:szCs w:val="24"/>
        </w:rPr>
        <w:t xml:space="preserve">currently </w:t>
      </w:r>
      <w:r w:rsidR="00315D28">
        <w:rPr>
          <w:rFonts w:ascii="Times New Roman" w:hAnsi="Times New Roman"/>
          <w:sz w:val="24"/>
          <w:szCs w:val="24"/>
        </w:rPr>
        <w:t xml:space="preserve">supervises </w:t>
      </w:r>
      <w:r>
        <w:rPr>
          <w:rFonts w:ascii="Times New Roman" w:hAnsi="Times New Roman"/>
          <w:sz w:val="24"/>
          <w:szCs w:val="24"/>
        </w:rPr>
        <w:t>on a Level 1 (</w:t>
      </w:r>
      <w:r w:rsidR="00514E83">
        <w:rPr>
          <w:rFonts w:ascii="Times New Roman" w:hAnsi="Times New Roman"/>
          <w:sz w:val="24"/>
          <w:szCs w:val="24"/>
        </w:rPr>
        <w:t>stand</w:t>
      </w:r>
      <w:r w:rsidR="009310E1">
        <w:rPr>
          <w:rFonts w:ascii="Times New Roman" w:hAnsi="Times New Roman"/>
          <w:sz w:val="24"/>
          <w:szCs w:val="24"/>
        </w:rPr>
        <w:t>-</w:t>
      </w:r>
      <w:r w:rsidR="00514E83">
        <w:rPr>
          <w:rFonts w:ascii="Times New Roman" w:hAnsi="Times New Roman"/>
          <w:sz w:val="24"/>
          <w:szCs w:val="24"/>
        </w:rPr>
        <w:t>alone</w:t>
      </w:r>
      <w:r>
        <w:rPr>
          <w:rFonts w:ascii="Times New Roman" w:hAnsi="Times New Roman"/>
          <w:sz w:val="24"/>
          <w:szCs w:val="24"/>
        </w:rPr>
        <w:t>) basis</w:t>
      </w:r>
      <w:r w:rsidR="00FC5E55">
        <w:rPr>
          <w:rFonts w:ascii="Times New Roman" w:hAnsi="Times New Roman"/>
          <w:sz w:val="24"/>
          <w:szCs w:val="24"/>
        </w:rPr>
        <w:t xml:space="preserve"> only</w:t>
      </w:r>
      <w:r>
        <w:rPr>
          <w:rFonts w:ascii="Times New Roman" w:hAnsi="Times New Roman"/>
          <w:sz w:val="24"/>
          <w:szCs w:val="24"/>
        </w:rPr>
        <w:t xml:space="preserve">. The Level 2 (industry) group is made up of the </w:t>
      </w:r>
      <w:r w:rsidR="00514E83">
        <w:rPr>
          <w:rFonts w:ascii="Times New Roman" w:hAnsi="Times New Roman"/>
          <w:sz w:val="24"/>
          <w:szCs w:val="24"/>
        </w:rPr>
        <w:t xml:space="preserve">parent </w:t>
      </w:r>
      <w:r>
        <w:rPr>
          <w:rFonts w:ascii="Times New Roman" w:hAnsi="Times New Roman"/>
          <w:sz w:val="24"/>
          <w:szCs w:val="24"/>
        </w:rPr>
        <w:t xml:space="preserve">ADI and </w:t>
      </w:r>
      <w:r w:rsidR="00514E83">
        <w:rPr>
          <w:rFonts w:ascii="Times New Roman" w:hAnsi="Times New Roman"/>
          <w:sz w:val="24"/>
          <w:szCs w:val="24"/>
        </w:rPr>
        <w:t>the subsidiary ADI</w:t>
      </w:r>
      <w:r w:rsidR="00B56219">
        <w:rPr>
          <w:rFonts w:ascii="Times New Roman" w:hAnsi="Times New Roman"/>
          <w:sz w:val="24"/>
          <w:szCs w:val="24"/>
        </w:rPr>
        <w:t xml:space="preserve">. </w:t>
      </w:r>
      <w:r w:rsidR="00514E83">
        <w:rPr>
          <w:rFonts w:ascii="Times New Roman" w:hAnsi="Times New Roman"/>
          <w:sz w:val="24"/>
          <w:szCs w:val="24"/>
        </w:rPr>
        <w:t xml:space="preserve">For the purposes of </w:t>
      </w:r>
      <w:r w:rsidR="00315D28">
        <w:rPr>
          <w:rFonts w:ascii="Times New Roman" w:hAnsi="Times New Roman"/>
          <w:sz w:val="24"/>
          <w:szCs w:val="24"/>
        </w:rPr>
        <w:t xml:space="preserve">APRA’s </w:t>
      </w:r>
      <w:r w:rsidR="00514E83">
        <w:rPr>
          <w:rFonts w:ascii="Times New Roman" w:hAnsi="Times New Roman"/>
          <w:sz w:val="24"/>
          <w:szCs w:val="24"/>
        </w:rPr>
        <w:t xml:space="preserve">Level 2 supervision, the </w:t>
      </w:r>
      <w:r w:rsidR="00315D28">
        <w:rPr>
          <w:rFonts w:ascii="Times New Roman" w:hAnsi="Times New Roman"/>
          <w:sz w:val="24"/>
          <w:szCs w:val="24"/>
        </w:rPr>
        <w:t>l</w:t>
      </w:r>
      <w:r w:rsidR="00514E83">
        <w:rPr>
          <w:rFonts w:ascii="Times New Roman" w:hAnsi="Times New Roman"/>
          <w:sz w:val="24"/>
          <w:szCs w:val="24"/>
        </w:rPr>
        <w:t xml:space="preserve">ife company, </w:t>
      </w:r>
      <w:r w:rsidR="00A24DBD">
        <w:rPr>
          <w:rFonts w:ascii="Times New Roman" w:hAnsi="Times New Roman"/>
          <w:sz w:val="24"/>
          <w:szCs w:val="24"/>
        </w:rPr>
        <w:t xml:space="preserve">RSE </w:t>
      </w:r>
      <w:r w:rsidR="00514E83">
        <w:rPr>
          <w:rFonts w:ascii="Times New Roman" w:hAnsi="Times New Roman"/>
          <w:sz w:val="24"/>
          <w:szCs w:val="24"/>
        </w:rPr>
        <w:t>licensee and unregulated institution are all deconsolidated</w:t>
      </w:r>
      <w:r w:rsidR="00FC5E55">
        <w:rPr>
          <w:rFonts w:ascii="Times New Roman" w:hAnsi="Times New Roman"/>
          <w:sz w:val="24"/>
          <w:szCs w:val="24"/>
        </w:rPr>
        <w:t xml:space="preserve"> and</w:t>
      </w:r>
      <w:r w:rsidR="00514E83">
        <w:rPr>
          <w:rFonts w:ascii="Times New Roman" w:hAnsi="Times New Roman"/>
          <w:sz w:val="24"/>
          <w:szCs w:val="24"/>
        </w:rPr>
        <w:t xml:space="preserve"> excluded from the application of </w:t>
      </w:r>
      <w:r w:rsidR="00315D28">
        <w:rPr>
          <w:rFonts w:ascii="Times New Roman" w:hAnsi="Times New Roman"/>
          <w:sz w:val="24"/>
          <w:szCs w:val="24"/>
        </w:rPr>
        <w:t xml:space="preserve">the ADI </w:t>
      </w:r>
      <w:r w:rsidR="00514E83">
        <w:rPr>
          <w:rFonts w:ascii="Times New Roman" w:hAnsi="Times New Roman"/>
          <w:sz w:val="24"/>
          <w:szCs w:val="24"/>
        </w:rPr>
        <w:t>Level 2</w:t>
      </w:r>
      <w:r w:rsidR="00315D28">
        <w:rPr>
          <w:rFonts w:ascii="Times New Roman" w:hAnsi="Times New Roman"/>
          <w:sz w:val="24"/>
          <w:szCs w:val="24"/>
        </w:rPr>
        <w:t xml:space="preserve"> supervision framework</w:t>
      </w:r>
      <w:r w:rsidR="00514E83">
        <w:rPr>
          <w:rFonts w:ascii="Times New Roman" w:hAnsi="Times New Roman"/>
          <w:sz w:val="24"/>
          <w:szCs w:val="24"/>
        </w:rPr>
        <w:t>.</w:t>
      </w:r>
    </w:p>
    <w:p w14:paraId="0EA91000" w14:textId="77777777" w:rsidR="00A72501" w:rsidRDefault="005A1E85" w:rsidP="00097F40">
      <w:pPr>
        <w:spacing w:after="240"/>
        <w:jc w:val="both"/>
        <w:rPr>
          <w:rFonts w:ascii="Times New Roman" w:hAnsi="Times New Roman"/>
          <w:sz w:val="24"/>
          <w:szCs w:val="24"/>
        </w:rPr>
      </w:pPr>
      <w:r>
        <w:rPr>
          <w:rFonts w:ascii="Times New Roman" w:hAnsi="Times New Roman"/>
          <w:sz w:val="24"/>
          <w:szCs w:val="24"/>
        </w:rPr>
        <w:t xml:space="preserve">APRA’s </w:t>
      </w:r>
      <w:r w:rsidR="00F30DDE">
        <w:rPr>
          <w:rFonts w:ascii="Times New Roman" w:hAnsi="Times New Roman"/>
          <w:sz w:val="24"/>
          <w:szCs w:val="24"/>
        </w:rPr>
        <w:t xml:space="preserve">existing </w:t>
      </w:r>
      <w:r>
        <w:rPr>
          <w:rFonts w:ascii="Times New Roman" w:hAnsi="Times New Roman"/>
          <w:sz w:val="24"/>
          <w:szCs w:val="24"/>
        </w:rPr>
        <w:t>prudential framework</w:t>
      </w:r>
      <w:r w:rsidR="00315D28">
        <w:rPr>
          <w:rFonts w:ascii="Times New Roman" w:hAnsi="Times New Roman"/>
          <w:sz w:val="24"/>
          <w:szCs w:val="24"/>
        </w:rPr>
        <w:t>s</w:t>
      </w:r>
      <w:r>
        <w:rPr>
          <w:rFonts w:ascii="Times New Roman" w:hAnsi="Times New Roman"/>
          <w:sz w:val="24"/>
          <w:szCs w:val="24"/>
        </w:rPr>
        <w:t xml:space="preserve"> </w:t>
      </w:r>
      <w:r w:rsidR="00F30DDE">
        <w:rPr>
          <w:rFonts w:ascii="Times New Roman" w:hAnsi="Times New Roman"/>
          <w:sz w:val="24"/>
          <w:szCs w:val="24"/>
        </w:rPr>
        <w:t xml:space="preserve">do not </w:t>
      </w:r>
      <w:r>
        <w:rPr>
          <w:rFonts w:ascii="Times New Roman" w:hAnsi="Times New Roman"/>
          <w:sz w:val="24"/>
          <w:szCs w:val="24"/>
        </w:rPr>
        <w:t>require the Board of the Level 3 Head to oversee the risks emanating from the unregulated institution. This may be a significant ‘blind spot’ for the Board and APRA where that unregulated institution engages in activities that pose a material risk to APRA-regulated institutions.</w:t>
      </w:r>
      <w:r w:rsidR="00DF14AA">
        <w:rPr>
          <w:rFonts w:ascii="Times New Roman" w:hAnsi="Times New Roman"/>
          <w:sz w:val="24"/>
          <w:szCs w:val="24"/>
        </w:rPr>
        <w:t xml:space="preserve"> If this unregulated institution was the group’s IT services provider, for example, a disruption </w:t>
      </w:r>
      <w:r w:rsidR="00FF7B2D">
        <w:rPr>
          <w:rFonts w:ascii="Times New Roman" w:hAnsi="Times New Roman"/>
          <w:sz w:val="24"/>
          <w:szCs w:val="24"/>
        </w:rPr>
        <w:t xml:space="preserve">to </w:t>
      </w:r>
      <w:r w:rsidR="00DF14AA">
        <w:rPr>
          <w:rFonts w:ascii="Times New Roman" w:hAnsi="Times New Roman"/>
          <w:sz w:val="24"/>
          <w:szCs w:val="24"/>
        </w:rPr>
        <w:t>this institution could have a material impact on the operations on other members of the group.</w:t>
      </w:r>
    </w:p>
    <w:p w14:paraId="06D797B6" w14:textId="532FEBCC" w:rsidR="00257524" w:rsidRDefault="00257524" w:rsidP="00257524">
      <w:pPr>
        <w:spacing w:after="240"/>
        <w:jc w:val="both"/>
        <w:rPr>
          <w:rFonts w:ascii="Times New Roman" w:hAnsi="Times New Roman"/>
          <w:sz w:val="24"/>
          <w:szCs w:val="24"/>
        </w:rPr>
      </w:pPr>
      <w:r w:rsidRPr="00F95616">
        <w:rPr>
          <w:rFonts w:ascii="Times New Roman" w:hAnsi="Times New Roman"/>
          <w:sz w:val="24"/>
          <w:szCs w:val="24"/>
        </w:rPr>
        <w:t xml:space="preserve">APRA has identified </w:t>
      </w:r>
      <w:r>
        <w:rPr>
          <w:rFonts w:ascii="Times New Roman" w:hAnsi="Times New Roman"/>
          <w:sz w:val="24"/>
          <w:szCs w:val="24"/>
        </w:rPr>
        <w:t xml:space="preserve">eight initial </w:t>
      </w:r>
      <w:r w:rsidRPr="00BF5E2E">
        <w:rPr>
          <w:rFonts w:ascii="Times New Roman" w:hAnsi="Times New Roman"/>
          <w:sz w:val="24"/>
          <w:szCs w:val="24"/>
        </w:rPr>
        <w:t>groups</w:t>
      </w:r>
      <w:r w:rsidRPr="00F95616">
        <w:rPr>
          <w:rFonts w:ascii="Times New Roman" w:hAnsi="Times New Roman"/>
          <w:sz w:val="24"/>
          <w:szCs w:val="24"/>
        </w:rPr>
        <w:t xml:space="preserve"> that </w:t>
      </w:r>
      <w:r>
        <w:rPr>
          <w:rFonts w:ascii="Times New Roman" w:hAnsi="Times New Roman"/>
          <w:sz w:val="24"/>
          <w:szCs w:val="24"/>
        </w:rPr>
        <w:t xml:space="preserve">it proposes to be </w:t>
      </w:r>
      <w:r w:rsidRPr="00F95616">
        <w:rPr>
          <w:rFonts w:ascii="Times New Roman" w:hAnsi="Times New Roman"/>
          <w:sz w:val="24"/>
          <w:szCs w:val="24"/>
        </w:rPr>
        <w:t xml:space="preserve">subject </w:t>
      </w:r>
      <w:r>
        <w:rPr>
          <w:rFonts w:ascii="Times New Roman" w:hAnsi="Times New Roman"/>
          <w:sz w:val="24"/>
          <w:szCs w:val="24"/>
        </w:rPr>
        <w:t xml:space="preserve">to </w:t>
      </w:r>
      <w:r w:rsidRPr="00F95616">
        <w:rPr>
          <w:rFonts w:ascii="Times New Roman" w:hAnsi="Times New Roman"/>
          <w:sz w:val="24"/>
          <w:szCs w:val="24"/>
        </w:rPr>
        <w:t xml:space="preserve">conglomerate supervision. </w:t>
      </w:r>
      <w:r w:rsidR="009310E1">
        <w:rPr>
          <w:rFonts w:ascii="Times New Roman" w:hAnsi="Times New Roman"/>
          <w:sz w:val="24"/>
          <w:szCs w:val="24"/>
        </w:rPr>
        <w:t>Given the size of these groups, a</w:t>
      </w:r>
      <w:r>
        <w:rPr>
          <w:rFonts w:ascii="Times New Roman" w:hAnsi="Times New Roman"/>
          <w:sz w:val="24"/>
          <w:szCs w:val="24"/>
        </w:rPr>
        <w:t xml:space="preserve"> material ‘blind spot’ in any of these conglomerate groups could have significant consequences on the financial market.</w:t>
      </w:r>
    </w:p>
    <w:p w14:paraId="17E3CE14" w14:textId="7075C33A" w:rsidR="007301E3" w:rsidRDefault="00445805" w:rsidP="001568F1">
      <w:pPr>
        <w:spacing w:after="240"/>
        <w:jc w:val="both"/>
        <w:rPr>
          <w:rFonts w:ascii="Times New Roman" w:hAnsi="Times New Roman"/>
          <w:sz w:val="24"/>
          <w:szCs w:val="24"/>
        </w:rPr>
      </w:pPr>
      <w:r>
        <w:rPr>
          <w:rFonts w:ascii="Times New Roman" w:hAnsi="Times New Roman"/>
          <w:sz w:val="24"/>
          <w:szCs w:val="24"/>
        </w:rPr>
        <w:t>Under option</w:t>
      </w:r>
      <w:r w:rsidR="00315D28">
        <w:rPr>
          <w:rFonts w:ascii="Times New Roman" w:hAnsi="Times New Roman"/>
          <w:sz w:val="24"/>
          <w:szCs w:val="24"/>
        </w:rPr>
        <w:t xml:space="preserve"> 2</w:t>
      </w:r>
      <w:r>
        <w:rPr>
          <w:rFonts w:ascii="Times New Roman" w:hAnsi="Times New Roman"/>
          <w:sz w:val="24"/>
          <w:szCs w:val="24"/>
        </w:rPr>
        <w:t xml:space="preserve">, </w:t>
      </w:r>
      <w:r w:rsidRPr="000665CE">
        <w:rPr>
          <w:rFonts w:ascii="Times New Roman" w:hAnsi="Times New Roman"/>
          <w:sz w:val="24"/>
          <w:szCs w:val="24"/>
        </w:rPr>
        <w:t xml:space="preserve">APRA </w:t>
      </w:r>
      <w:r>
        <w:rPr>
          <w:rFonts w:ascii="Times New Roman" w:hAnsi="Times New Roman"/>
          <w:sz w:val="24"/>
          <w:szCs w:val="24"/>
        </w:rPr>
        <w:t xml:space="preserve">proposes to </w:t>
      </w:r>
      <w:r w:rsidR="00694853">
        <w:rPr>
          <w:rFonts w:ascii="Times New Roman" w:hAnsi="Times New Roman"/>
          <w:sz w:val="24"/>
          <w:szCs w:val="24"/>
        </w:rPr>
        <w:t xml:space="preserve">implement two out of the four </w:t>
      </w:r>
      <w:r w:rsidR="005D7E20">
        <w:rPr>
          <w:rFonts w:ascii="Times New Roman" w:hAnsi="Times New Roman"/>
          <w:sz w:val="24"/>
          <w:szCs w:val="24"/>
        </w:rPr>
        <w:t xml:space="preserve">proposed </w:t>
      </w:r>
      <w:r w:rsidR="00694853">
        <w:rPr>
          <w:rFonts w:ascii="Times New Roman" w:hAnsi="Times New Roman"/>
          <w:sz w:val="24"/>
          <w:szCs w:val="24"/>
        </w:rPr>
        <w:t xml:space="preserve">components of the Level 3 framework </w:t>
      </w:r>
      <w:r w:rsidR="00496BA7">
        <w:rPr>
          <w:rFonts w:ascii="Times New Roman" w:hAnsi="Times New Roman"/>
          <w:sz w:val="24"/>
          <w:szCs w:val="24"/>
        </w:rPr>
        <w:t>—</w:t>
      </w:r>
      <w:r w:rsidR="00694853">
        <w:rPr>
          <w:rFonts w:ascii="Times New Roman" w:hAnsi="Times New Roman"/>
          <w:sz w:val="24"/>
          <w:szCs w:val="24"/>
        </w:rPr>
        <w:t xml:space="preserve"> </w:t>
      </w:r>
      <w:r>
        <w:rPr>
          <w:rFonts w:ascii="Times New Roman" w:hAnsi="Times New Roman"/>
          <w:sz w:val="24"/>
          <w:szCs w:val="24"/>
        </w:rPr>
        <w:t xml:space="preserve">risk management and governance. </w:t>
      </w:r>
      <w:r w:rsidR="005D7E20">
        <w:rPr>
          <w:rFonts w:ascii="Times New Roman" w:hAnsi="Times New Roman"/>
          <w:sz w:val="24"/>
          <w:szCs w:val="24"/>
        </w:rPr>
        <w:t>This would be effected by applying the existing cross-industry</w:t>
      </w:r>
      <w:r w:rsidR="005D7E20" w:rsidRPr="007C08C7">
        <w:rPr>
          <w:rStyle w:val="StyleFootnoteReference12pt"/>
        </w:rPr>
        <w:footnoteReference w:id="5"/>
      </w:r>
      <w:r w:rsidR="005D7E20">
        <w:rPr>
          <w:rFonts w:ascii="Times New Roman" w:hAnsi="Times New Roman"/>
          <w:sz w:val="24"/>
          <w:szCs w:val="24"/>
        </w:rPr>
        <w:t xml:space="preserve"> governance and risk management prudential standards to Level 3 groups.</w:t>
      </w:r>
    </w:p>
    <w:p w14:paraId="19658825" w14:textId="77777777" w:rsidR="001568F1" w:rsidRDefault="001568F1" w:rsidP="001568F1">
      <w:pPr>
        <w:spacing w:after="240"/>
        <w:jc w:val="both"/>
        <w:rPr>
          <w:rFonts w:ascii="Times New Roman" w:hAnsi="Times New Roman"/>
          <w:sz w:val="24"/>
          <w:szCs w:val="24"/>
        </w:rPr>
      </w:pPr>
      <w:r>
        <w:rPr>
          <w:rFonts w:ascii="Times New Roman" w:hAnsi="Times New Roman"/>
          <w:sz w:val="24"/>
          <w:szCs w:val="24"/>
        </w:rPr>
        <w:t xml:space="preserve">The group governance requirements would require </w:t>
      </w:r>
      <w:r w:rsidR="00445805">
        <w:rPr>
          <w:rFonts w:ascii="Times New Roman" w:hAnsi="Times New Roman"/>
          <w:sz w:val="24"/>
          <w:szCs w:val="24"/>
        </w:rPr>
        <w:t xml:space="preserve">the Head of </w:t>
      </w:r>
      <w:r>
        <w:rPr>
          <w:rFonts w:ascii="Times New Roman" w:hAnsi="Times New Roman"/>
          <w:sz w:val="24"/>
          <w:szCs w:val="24"/>
        </w:rPr>
        <w:t xml:space="preserve">a </w:t>
      </w:r>
      <w:r w:rsidRPr="00D57C38">
        <w:rPr>
          <w:rFonts w:ascii="Times New Roman" w:hAnsi="Times New Roman"/>
          <w:sz w:val="24"/>
          <w:szCs w:val="24"/>
        </w:rPr>
        <w:t xml:space="preserve">Level 3 group </w:t>
      </w:r>
      <w:r>
        <w:rPr>
          <w:rFonts w:ascii="Times New Roman" w:hAnsi="Times New Roman"/>
          <w:sz w:val="24"/>
          <w:szCs w:val="24"/>
        </w:rPr>
        <w:t xml:space="preserve">to </w:t>
      </w:r>
      <w:r w:rsidRPr="00D57C38">
        <w:rPr>
          <w:rFonts w:ascii="Times New Roman" w:hAnsi="Times New Roman"/>
          <w:sz w:val="24"/>
          <w:szCs w:val="24"/>
        </w:rPr>
        <w:t xml:space="preserve">develop and maintain group-wide policies that establish consistent </w:t>
      </w:r>
      <w:r w:rsidR="00445805">
        <w:rPr>
          <w:rFonts w:ascii="Times New Roman" w:hAnsi="Times New Roman"/>
          <w:sz w:val="24"/>
          <w:szCs w:val="24"/>
        </w:rPr>
        <w:t xml:space="preserve">processes and procedures </w:t>
      </w:r>
      <w:r w:rsidRPr="00D57C38">
        <w:rPr>
          <w:rFonts w:ascii="Times New Roman" w:hAnsi="Times New Roman"/>
          <w:sz w:val="24"/>
          <w:szCs w:val="24"/>
        </w:rPr>
        <w:t xml:space="preserve">for </w:t>
      </w:r>
      <w:r w:rsidR="00445805">
        <w:rPr>
          <w:rFonts w:ascii="Times New Roman" w:hAnsi="Times New Roman"/>
          <w:sz w:val="24"/>
          <w:szCs w:val="24"/>
        </w:rPr>
        <w:t xml:space="preserve">group </w:t>
      </w:r>
      <w:r w:rsidRPr="00D57C38">
        <w:rPr>
          <w:rFonts w:ascii="Times New Roman" w:hAnsi="Times New Roman"/>
          <w:sz w:val="24"/>
          <w:szCs w:val="24"/>
        </w:rPr>
        <w:t>governance</w:t>
      </w:r>
      <w:r w:rsidR="00445805">
        <w:rPr>
          <w:rFonts w:ascii="Times New Roman" w:hAnsi="Times New Roman"/>
          <w:sz w:val="24"/>
          <w:szCs w:val="24"/>
        </w:rPr>
        <w:t xml:space="preserve"> and risk management</w:t>
      </w:r>
      <w:r w:rsidR="00315D28">
        <w:rPr>
          <w:rFonts w:ascii="Times New Roman" w:hAnsi="Times New Roman"/>
          <w:sz w:val="24"/>
          <w:szCs w:val="24"/>
        </w:rPr>
        <w:t xml:space="preserve">. Group governance </w:t>
      </w:r>
      <w:r w:rsidR="00445805">
        <w:rPr>
          <w:rFonts w:ascii="Times New Roman" w:hAnsi="Times New Roman"/>
          <w:sz w:val="24"/>
          <w:szCs w:val="24"/>
        </w:rPr>
        <w:t xml:space="preserve">includes </w:t>
      </w:r>
      <w:r w:rsidRPr="00D57C38">
        <w:rPr>
          <w:rFonts w:ascii="Times New Roman" w:hAnsi="Times New Roman"/>
          <w:sz w:val="24"/>
          <w:szCs w:val="24"/>
        </w:rPr>
        <w:t>fitness and propriety of key staff, business continuity management</w:t>
      </w:r>
      <w:r w:rsidR="00445805">
        <w:rPr>
          <w:rFonts w:ascii="Times New Roman" w:hAnsi="Times New Roman"/>
          <w:sz w:val="24"/>
          <w:szCs w:val="24"/>
        </w:rPr>
        <w:t>,</w:t>
      </w:r>
      <w:r w:rsidRPr="00D57C38">
        <w:rPr>
          <w:rFonts w:ascii="Times New Roman" w:hAnsi="Times New Roman"/>
          <w:sz w:val="24"/>
          <w:szCs w:val="24"/>
        </w:rPr>
        <w:t xml:space="preserve"> and </w:t>
      </w:r>
      <w:r w:rsidR="00445805">
        <w:rPr>
          <w:rFonts w:ascii="Times New Roman" w:hAnsi="Times New Roman"/>
          <w:sz w:val="24"/>
          <w:szCs w:val="24"/>
        </w:rPr>
        <w:t xml:space="preserve">the </w:t>
      </w:r>
      <w:r w:rsidRPr="00D57C38">
        <w:rPr>
          <w:rFonts w:ascii="Times New Roman" w:hAnsi="Times New Roman"/>
          <w:sz w:val="24"/>
          <w:szCs w:val="24"/>
        </w:rPr>
        <w:t>outsourcing</w:t>
      </w:r>
      <w:r w:rsidR="00445805">
        <w:rPr>
          <w:rFonts w:ascii="Times New Roman" w:hAnsi="Times New Roman"/>
          <w:sz w:val="24"/>
          <w:szCs w:val="24"/>
        </w:rPr>
        <w:t xml:space="preserve"> </w:t>
      </w:r>
      <w:r w:rsidR="009B078F">
        <w:rPr>
          <w:rFonts w:ascii="Times New Roman" w:hAnsi="Times New Roman"/>
          <w:sz w:val="24"/>
          <w:szCs w:val="24"/>
        </w:rPr>
        <w:t xml:space="preserve">of </w:t>
      </w:r>
      <w:r w:rsidR="00445805">
        <w:rPr>
          <w:rFonts w:ascii="Times New Roman" w:hAnsi="Times New Roman"/>
          <w:sz w:val="24"/>
          <w:szCs w:val="24"/>
        </w:rPr>
        <w:t>activities</w:t>
      </w:r>
      <w:r w:rsidR="009B078F">
        <w:rPr>
          <w:rFonts w:ascii="Times New Roman" w:hAnsi="Times New Roman"/>
          <w:sz w:val="24"/>
          <w:szCs w:val="24"/>
        </w:rPr>
        <w:t xml:space="preserve"> deemed to pose a material risk to the group</w:t>
      </w:r>
      <w:r w:rsidRPr="00D57C38">
        <w:rPr>
          <w:rFonts w:ascii="Times New Roman" w:hAnsi="Times New Roman"/>
          <w:sz w:val="24"/>
          <w:szCs w:val="24"/>
        </w:rPr>
        <w:t>.</w:t>
      </w:r>
      <w:r w:rsidR="00445805">
        <w:rPr>
          <w:rFonts w:ascii="Times New Roman" w:hAnsi="Times New Roman"/>
          <w:sz w:val="24"/>
          <w:szCs w:val="24"/>
        </w:rPr>
        <w:t xml:space="preserve"> APRA </w:t>
      </w:r>
      <w:r w:rsidR="009B078F">
        <w:rPr>
          <w:rFonts w:ascii="Times New Roman" w:hAnsi="Times New Roman"/>
          <w:sz w:val="24"/>
          <w:szCs w:val="24"/>
        </w:rPr>
        <w:t xml:space="preserve">also </w:t>
      </w:r>
      <w:r w:rsidR="00445805">
        <w:rPr>
          <w:rFonts w:ascii="Times New Roman" w:hAnsi="Times New Roman"/>
          <w:sz w:val="24"/>
          <w:szCs w:val="24"/>
        </w:rPr>
        <w:t>proposes that t</w:t>
      </w:r>
      <w:r w:rsidRPr="00D57C38">
        <w:rPr>
          <w:rFonts w:ascii="Times New Roman" w:hAnsi="Times New Roman"/>
          <w:sz w:val="24"/>
          <w:szCs w:val="24"/>
        </w:rPr>
        <w:t xml:space="preserve">he Level 3 Head appoint an auditor </w:t>
      </w:r>
      <w:r w:rsidR="00445805">
        <w:rPr>
          <w:rFonts w:ascii="Times New Roman" w:hAnsi="Times New Roman"/>
          <w:sz w:val="24"/>
          <w:szCs w:val="24"/>
        </w:rPr>
        <w:t xml:space="preserve">to provide independent </w:t>
      </w:r>
      <w:r w:rsidRPr="00D57C38">
        <w:rPr>
          <w:rFonts w:ascii="Times New Roman" w:hAnsi="Times New Roman"/>
          <w:sz w:val="24"/>
          <w:szCs w:val="24"/>
        </w:rPr>
        <w:t>assurance on the appropriateness and effectiveness of group-wide policies</w:t>
      </w:r>
      <w:r>
        <w:rPr>
          <w:rFonts w:ascii="Times New Roman" w:hAnsi="Times New Roman"/>
          <w:sz w:val="24"/>
          <w:szCs w:val="24"/>
        </w:rPr>
        <w:t>.</w:t>
      </w:r>
      <w:r w:rsidR="0069003B">
        <w:rPr>
          <w:rFonts w:ascii="Times New Roman" w:hAnsi="Times New Roman"/>
          <w:sz w:val="24"/>
          <w:szCs w:val="24"/>
        </w:rPr>
        <w:t xml:space="preserve"> These standards aim to ensure that, at a minimum, the governance and risk management practices of Australian financial conglomerates meet established best practice and are overseen by the group Board.</w:t>
      </w:r>
    </w:p>
    <w:p w14:paraId="6724B3BA" w14:textId="389966D7" w:rsidR="005158F5" w:rsidRDefault="001568F1" w:rsidP="005158F5">
      <w:pPr>
        <w:spacing w:after="240"/>
        <w:jc w:val="both"/>
        <w:rPr>
          <w:rFonts w:ascii="Times New Roman" w:hAnsi="Times New Roman"/>
          <w:sz w:val="24"/>
          <w:szCs w:val="24"/>
        </w:rPr>
      </w:pPr>
      <w:r>
        <w:rPr>
          <w:rFonts w:ascii="Times New Roman" w:hAnsi="Times New Roman"/>
          <w:sz w:val="24"/>
          <w:szCs w:val="24"/>
        </w:rPr>
        <w:t xml:space="preserve">The risk management requirements would require a </w:t>
      </w:r>
      <w:r w:rsidRPr="00D57C38">
        <w:rPr>
          <w:rFonts w:ascii="Times New Roman" w:hAnsi="Times New Roman"/>
          <w:sz w:val="24"/>
          <w:szCs w:val="24"/>
        </w:rPr>
        <w:t xml:space="preserve">Level 3 </w:t>
      </w:r>
      <w:r w:rsidR="009B078F">
        <w:rPr>
          <w:rFonts w:ascii="Times New Roman" w:hAnsi="Times New Roman"/>
          <w:sz w:val="24"/>
          <w:szCs w:val="24"/>
        </w:rPr>
        <w:t xml:space="preserve">Head </w:t>
      </w:r>
      <w:r>
        <w:rPr>
          <w:rFonts w:ascii="Times New Roman" w:hAnsi="Times New Roman"/>
          <w:sz w:val="24"/>
          <w:szCs w:val="24"/>
        </w:rPr>
        <w:t xml:space="preserve">to </w:t>
      </w:r>
      <w:r w:rsidRPr="00D57C38">
        <w:rPr>
          <w:rFonts w:ascii="Times New Roman" w:hAnsi="Times New Roman"/>
          <w:sz w:val="24"/>
          <w:szCs w:val="24"/>
        </w:rPr>
        <w:t>develop and maintain a</w:t>
      </w:r>
      <w:r w:rsidR="009B078F">
        <w:rPr>
          <w:rFonts w:ascii="Times New Roman" w:hAnsi="Times New Roman"/>
          <w:sz w:val="24"/>
          <w:szCs w:val="24"/>
        </w:rPr>
        <w:t>n overarching</w:t>
      </w:r>
      <w:r w:rsidRPr="00D57C38">
        <w:rPr>
          <w:rFonts w:ascii="Times New Roman" w:hAnsi="Times New Roman"/>
          <w:sz w:val="24"/>
          <w:szCs w:val="24"/>
        </w:rPr>
        <w:t xml:space="preserve"> group-wide risk management framework. The framework </w:t>
      </w:r>
      <w:r w:rsidR="00496BA7">
        <w:rPr>
          <w:rFonts w:ascii="Times New Roman" w:hAnsi="Times New Roman"/>
          <w:sz w:val="24"/>
          <w:szCs w:val="24"/>
        </w:rPr>
        <w:t>would be required to</w:t>
      </w:r>
      <w:r w:rsidR="00496BA7" w:rsidRPr="00D57C38">
        <w:rPr>
          <w:rFonts w:ascii="Times New Roman" w:hAnsi="Times New Roman"/>
          <w:sz w:val="24"/>
          <w:szCs w:val="24"/>
        </w:rPr>
        <w:t xml:space="preserve"> </w:t>
      </w:r>
      <w:r w:rsidRPr="00D57C38">
        <w:rPr>
          <w:rFonts w:ascii="Times New Roman" w:hAnsi="Times New Roman"/>
          <w:sz w:val="24"/>
          <w:szCs w:val="24"/>
        </w:rPr>
        <w:t xml:space="preserve">include a risk appetite statement, a risk management strategy and a risk management function that address </w:t>
      </w:r>
      <w:r w:rsidR="009B078F">
        <w:rPr>
          <w:rFonts w:ascii="Times New Roman" w:hAnsi="Times New Roman"/>
          <w:sz w:val="24"/>
          <w:szCs w:val="24"/>
        </w:rPr>
        <w:t xml:space="preserve">material </w:t>
      </w:r>
      <w:r w:rsidRPr="00D57C38">
        <w:rPr>
          <w:rFonts w:ascii="Times New Roman" w:hAnsi="Times New Roman"/>
          <w:sz w:val="24"/>
          <w:szCs w:val="24"/>
        </w:rPr>
        <w:t xml:space="preserve">risks across the group. </w:t>
      </w:r>
      <w:r w:rsidR="009B078F">
        <w:rPr>
          <w:rFonts w:ascii="Times New Roman" w:hAnsi="Times New Roman"/>
          <w:sz w:val="24"/>
          <w:szCs w:val="24"/>
        </w:rPr>
        <w:t xml:space="preserve">A consistent and integrated risk management framework </w:t>
      </w:r>
      <w:r w:rsidR="00885888">
        <w:rPr>
          <w:rFonts w:ascii="Times New Roman" w:hAnsi="Times New Roman"/>
          <w:sz w:val="24"/>
          <w:szCs w:val="24"/>
        </w:rPr>
        <w:t xml:space="preserve">would </w:t>
      </w:r>
      <w:r w:rsidR="009B078F">
        <w:rPr>
          <w:rFonts w:ascii="Times New Roman" w:hAnsi="Times New Roman"/>
          <w:sz w:val="24"/>
          <w:szCs w:val="24"/>
        </w:rPr>
        <w:t>assist the Board</w:t>
      </w:r>
      <w:r w:rsidRPr="00D57C38">
        <w:rPr>
          <w:rFonts w:ascii="Times New Roman" w:hAnsi="Times New Roman"/>
          <w:sz w:val="24"/>
          <w:szCs w:val="24"/>
        </w:rPr>
        <w:t xml:space="preserve"> of </w:t>
      </w:r>
      <w:r w:rsidR="009B078F">
        <w:rPr>
          <w:rFonts w:ascii="Times New Roman" w:hAnsi="Times New Roman"/>
          <w:sz w:val="24"/>
          <w:szCs w:val="24"/>
        </w:rPr>
        <w:t xml:space="preserve">a </w:t>
      </w:r>
      <w:r w:rsidRPr="00D57C38">
        <w:rPr>
          <w:rFonts w:ascii="Times New Roman" w:hAnsi="Times New Roman"/>
          <w:sz w:val="24"/>
          <w:szCs w:val="24"/>
        </w:rPr>
        <w:t xml:space="preserve">Level 3 group </w:t>
      </w:r>
      <w:r w:rsidR="00C34BA6">
        <w:rPr>
          <w:rFonts w:ascii="Times New Roman" w:hAnsi="Times New Roman"/>
          <w:sz w:val="24"/>
          <w:szCs w:val="24"/>
        </w:rPr>
        <w:t xml:space="preserve">in </w:t>
      </w:r>
      <w:r w:rsidR="009B078F">
        <w:rPr>
          <w:rFonts w:ascii="Times New Roman" w:hAnsi="Times New Roman"/>
          <w:sz w:val="24"/>
          <w:szCs w:val="24"/>
        </w:rPr>
        <w:t>maintain</w:t>
      </w:r>
      <w:r w:rsidR="00C34BA6">
        <w:rPr>
          <w:rFonts w:ascii="Times New Roman" w:hAnsi="Times New Roman"/>
          <w:sz w:val="24"/>
          <w:szCs w:val="24"/>
        </w:rPr>
        <w:t>ing</w:t>
      </w:r>
      <w:r w:rsidR="009B078F">
        <w:rPr>
          <w:rFonts w:ascii="Times New Roman" w:hAnsi="Times New Roman"/>
          <w:sz w:val="24"/>
          <w:szCs w:val="24"/>
        </w:rPr>
        <w:t xml:space="preserve"> </w:t>
      </w:r>
      <w:r w:rsidRPr="00D57C38">
        <w:rPr>
          <w:rFonts w:ascii="Times New Roman" w:hAnsi="Times New Roman"/>
          <w:sz w:val="24"/>
          <w:szCs w:val="24"/>
        </w:rPr>
        <w:t>oversight of the material risks to the group</w:t>
      </w:r>
      <w:r w:rsidR="009B078F">
        <w:rPr>
          <w:rFonts w:ascii="Times New Roman" w:hAnsi="Times New Roman"/>
          <w:sz w:val="24"/>
          <w:szCs w:val="24"/>
        </w:rPr>
        <w:t>, reducing the potential for ‘blind spots’ from which material risks can emanate</w:t>
      </w:r>
      <w:r w:rsidR="00FD54A2">
        <w:rPr>
          <w:rFonts w:ascii="Times New Roman" w:hAnsi="Times New Roman"/>
          <w:sz w:val="24"/>
          <w:szCs w:val="24"/>
        </w:rPr>
        <w:t xml:space="preserve"> undetected</w:t>
      </w:r>
      <w:r w:rsidR="00377B58">
        <w:rPr>
          <w:rFonts w:ascii="Times New Roman" w:hAnsi="Times New Roman"/>
          <w:sz w:val="24"/>
          <w:szCs w:val="24"/>
        </w:rPr>
        <w:t>.</w:t>
      </w:r>
    </w:p>
    <w:p w14:paraId="060FE0EF" w14:textId="6D735788" w:rsidR="001568F1" w:rsidRPr="00783470" w:rsidRDefault="00783470" w:rsidP="005158F5">
      <w:pPr>
        <w:spacing w:after="240"/>
        <w:jc w:val="both"/>
        <w:rPr>
          <w:rFonts w:ascii="Times New Roman" w:hAnsi="Times New Roman"/>
          <w:sz w:val="24"/>
          <w:szCs w:val="24"/>
        </w:rPr>
      </w:pPr>
      <w:r w:rsidRPr="00783470">
        <w:rPr>
          <w:rFonts w:ascii="Times New Roman" w:hAnsi="Times New Roman"/>
          <w:sz w:val="24"/>
          <w:szCs w:val="24"/>
        </w:rPr>
        <w:t xml:space="preserve">APRA does not propose to apply prudential standards </w:t>
      </w:r>
      <w:r w:rsidR="007301E3">
        <w:rPr>
          <w:rFonts w:ascii="Times New Roman" w:hAnsi="Times New Roman"/>
          <w:sz w:val="24"/>
          <w:szCs w:val="24"/>
        </w:rPr>
        <w:t>to</w:t>
      </w:r>
      <w:r w:rsidR="007301E3" w:rsidRPr="00783470">
        <w:rPr>
          <w:rFonts w:ascii="Times New Roman" w:hAnsi="Times New Roman"/>
          <w:sz w:val="24"/>
          <w:szCs w:val="24"/>
        </w:rPr>
        <w:t xml:space="preserve"> </w:t>
      </w:r>
      <w:r w:rsidRPr="00783470">
        <w:rPr>
          <w:rFonts w:ascii="Times New Roman" w:hAnsi="Times New Roman"/>
          <w:sz w:val="24"/>
          <w:szCs w:val="24"/>
        </w:rPr>
        <w:t>non-APRA-regulated institutions</w:t>
      </w:r>
      <w:r w:rsidR="007301E3">
        <w:rPr>
          <w:rFonts w:ascii="Times New Roman" w:hAnsi="Times New Roman"/>
          <w:sz w:val="24"/>
          <w:szCs w:val="24"/>
        </w:rPr>
        <w:t>;</w:t>
      </w:r>
      <w:r w:rsidRPr="00783470">
        <w:rPr>
          <w:rFonts w:ascii="Times New Roman" w:hAnsi="Times New Roman"/>
          <w:sz w:val="24"/>
          <w:szCs w:val="24"/>
        </w:rPr>
        <w:t xml:space="preserve"> </w:t>
      </w:r>
      <w:r>
        <w:rPr>
          <w:rFonts w:ascii="Times New Roman" w:hAnsi="Times New Roman"/>
          <w:sz w:val="24"/>
          <w:szCs w:val="24"/>
        </w:rPr>
        <w:t xml:space="preserve">these institutions </w:t>
      </w:r>
      <w:r w:rsidR="00FF7B2D">
        <w:rPr>
          <w:rFonts w:ascii="Times New Roman" w:hAnsi="Times New Roman"/>
          <w:sz w:val="24"/>
          <w:szCs w:val="24"/>
        </w:rPr>
        <w:t>are not proposed to</w:t>
      </w:r>
      <w:r>
        <w:rPr>
          <w:rFonts w:ascii="Times New Roman" w:hAnsi="Times New Roman"/>
          <w:sz w:val="24"/>
          <w:szCs w:val="24"/>
        </w:rPr>
        <w:t xml:space="preserve"> become APRA-regulated</w:t>
      </w:r>
      <w:r w:rsidRPr="00783470">
        <w:rPr>
          <w:rFonts w:ascii="Times New Roman" w:hAnsi="Times New Roman"/>
          <w:sz w:val="24"/>
          <w:szCs w:val="24"/>
        </w:rPr>
        <w:t xml:space="preserve">. The Head of the group (an APRA-regulated institution) </w:t>
      </w:r>
      <w:r w:rsidR="00897216">
        <w:rPr>
          <w:rFonts w:ascii="Times New Roman" w:hAnsi="Times New Roman"/>
          <w:sz w:val="24"/>
          <w:szCs w:val="24"/>
        </w:rPr>
        <w:t>would be</w:t>
      </w:r>
      <w:r w:rsidR="00897216" w:rsidRPr="00783470">
        <w:rPr>
          <w:rFonts w:ascii="Times New Roman" w:hAnsi="Times New Roman"/>
          <w:sz w:val="24"/>
          <w:szCs w:val="24"/>
        </w:rPr>
        <w:t xml:space="preserve"> </w:t>
      </w:r>
      <w:r w:rsidRPr="00783470">
        <w:rPr>
          <w:rFonts w:ascii="Times New Roman" w:hAnsi="Times New Roman"/>
          <w:sz w:val="24"/>
          <w:szCs w:val="24"/>
        </w:rPr>
        <w:t xml:space="preserve">required to apply </w:t>
      </w:r>
      <w:r>
        <w:rPr>
          <w:rFonts w:ascii="Times New Roman" w:hAnsi="Times New Roman"/>
          <w:sz w:val="24"/>
          <w:szCs w:val="24"/>
        </w:rPr>
        <w:t xml:space="preserve">its </w:t>
      </w:r>
      <w:r w:rsidRPr="00783470">
        <w:rPr>
          <w:rFonts w:ascii="Times New Roman" w:hAnsi="Times New Roman"/>
          <w:sz w:val="24"/>
          <w:szCs w:val="24"/>
        </w:rPr>
        <w:t xml:space="preserve">policies to activities and persons that are considered, by the Head of the group, as posing a material risk to APRA-regulated institutions in the group. The Head of a group has the flexibility to modify these policies for particular functions or subsidiaries, </w:t>
      </w:r>
      <w:r w:rsidR="00642DE4">
        <w:rPr>
          <w:rFonts w:ascii="Times New Roman" w:hAnsi="Times New Roman"/>
          <w:sz w:val="24"/>
          <w:szCs w:val="24"/>
        </w:rPr>
        <w:t>provided</w:t>
      </w:r>
      <w:r w:rsidRPr="00783470">
        <w:rPr>
          <w:rFonts w:ascii="Times New Roman" w:hAnsi="Times New Roman"/>
          <w:sz w:val="24"/>
          <w:szCs w:val="24"/>
        </w:rPr>
        <w:t xml:space="preserve"> it is aware of and can justify these differences. Essentially, </w:t>
      </w:r>
      <w:r w:rsidR="002E493C">
        <w:rPr>
          <w:rFonts w:ascii="Times New Roman" w:hAnsi="Times New Roman"/>
          <w:sz w:val="24"/>
          <w:szCs w:val="24"/>
        </w:rPr>
        <w:t xml:space="preserve">under the Level 3 framework, </w:t>
      </w:r>
      <w:r w:rsidRPr="00783470">
        <w:rPr>
          <w:rFonts w:ascii="Times New Roman" w:hAnsi="Times New Roman"/>
          <w:sz w:val="24"/>
          <w:szCs w:val="24"/>
        </w:rPr>
        <w:t xml:space="preserve">the Head of the group </w:t>
      </w:r>
      <w:r w:rsidR="00C34BA6">
        <w:rPr>
          <w:rFonts w:ascii="Times New Roman" w:hAnsi="Times New Roman"/>
          <w:sz w:val="24"/>
          <w:szCs w:val="24"/>
        </w:rPr>
        <w:t xml:space="preserve">must </w:t>
      </w:r>
      <w:r>
        <w:rPr>
          <w:rFonts w:ascii="Times New Roman" w:hAnsi="Times New Roman"/>
          <w:sz w:val="24"/>
          <w:szCs w:val="24"/>
        </w:rPr>
        <w:t xml:space="preserve">be able </w:t>
      </w:r>
      <w:r w:rsidRPr="00783470">
        <w:rPr>
          <w:rFonts w:ascii="Times New Roman" w:hAnsi="Times New Roman"/>
          <w:sz w:val="24"/>
          <w:szCs w:val="24"/>
        </w:rPr>
        <w:t xml:space="preserve">to demonstrate </w:t>
      </w:r>
      <w:r>
        <w:rPr>
          <w:rFonts w:ascii="Times New Roman" w:hAnsi="Times New Roman"/>
          <w:sz w:val="24"/>
          <w:szCs w:val="24"/>
        </w:rPr>
        <w:t xml:space="preserve">to APRA </w:t>
      </w:r>
      <w:r w:rsidRPr="00783470">
        <w:rPr>
          <w:rFonts w:ascii="Times New Roman" w:hAnsi="Times New Roman"/>
          <w:sz w:val="24"/>
          <w:szCs w:val="24"/>
        </w:rPr>
        <w:t xml:space="preserve">that it is aware of the material risks to the group and is overseeing the management of these risks. APRA </w:t>
      </w:r>
      <w:r w:rsidR="00811BC8">
        <w:rPr>
          <w:rFonts w:ascii="Times New Roman" w:hAnsi="Times New Roman"/>
          <w:sz w:val="24"/>
          <w:szCs w:val="24"/>
        </w:rPr>
        <w:t>may</w:t>
      </w:r>
      <w:r w:rsidRPr="00783470">
        <w:rPr>
          <w:rFonts w:ascii="Times New Roman" w:hAnsi="Times New Roman"/>
          <w:sz w:val="24"/>
          <w:szCs w:val="24"/>
        </w:rPr>
        <w:t xml:space="preserve"> only impose regulatory adjustments (including capital requirements) or other requirements on the Head of the conglomerate and on other APRA-regulated institutions</w:t>
      </w:r>
      <w:r w:rsidR="00811BC8">
        <w:rPr>
          <w:rFonts w:ascii="Times New Roman" w:hAnsi="Times New Roman"/>
          <w:sz w:val="24"/>
          <w:szCs w:val="24"/>
        </w:rPr>
        <w:t xml:space="preserve"> in the group, if</w:t>
      </w:r>
      <w:r w:rsidRPr="00783470">
        <w:rPr>
          <w:rFonts w:ascii="Times New Roman" w:hAnsi="Times New Roman"/>
          <w:sz w:val="24"/>
          <w:szCs w:val="24"/>
        </w:rPr>
        <w:t xml:space="preserve"> necessary</w:t>
      </w:r>
      <w:r w:rsidR="00811BC8">
        <w:rPr>
          <w:rFonts w:ascii="Times New Roman" w:hAnsi="Times New Roman"/>
          <w:sz w:val="24"/>
          <w:szCs w:val="24"/>
        </w:rPr>
        <w:t>, to account for any additional risk from other group members.</w:t>
      </w:r>
    </w:p>
    <w:p w14:paraId="2A34D5B1" w14:textId="77777777" w:rsidR="000F1DDE" w:rsidRPr="009832A9" w:rsidRDefault="000F1DDE" w:rsidP="00513B54">
      <w:pPr>
        <w:pStyle w:val="Heading5"/>
        <w:rPr>
          <w:rStyle w:val="Emphasis"/>
        </w:rPr>
      </w:pPr>
      <w:r w:rsidRPr="00513B54">
        <w:rPr>
          <w:rStyle w:val="Emphasis"/>
        </w:rPr>
        <w:t>Benefits</w:t>
      </w:r>
    </w:p>
    <w:p w14:paraId="47F6A8DD" w14:textId="77777777" w:rsidR="00EC3783" w:rsidRDefault="00E66ED9" w:rsidP="00E66ED9">
      <w:pPr>
        <w:spacing w:after="240"/>
        <w:jc w:val="both"/>
        <w:rPr>
          <w:rFonts w:ascii="Times New Roman" w:hAnsi="Times New Roman"/>
          <w:sz w:val="24"/>
          <w:szCs w:val="24"/>
        </w:rPr>
      </w:pPr>
      <w:r w:rsidRPr="000665CE">
        <w:rPr>
          <w:rFonts w:ascii="Times New Roman" w:hAnsi="Times New Roman"/>
          <w:sz w:val="24"/>
          <w:szCs w:val="24"/>
        </w:rPr>
        <w:t xml:space="preserve">The primary benefit of this option is that it would ensure that a conglomerate group’s </w:t>
      </w:r>
      <w:r w:rsidR="002C7F0B">
        <w:rPr>
          <w:rFonts w:ascii="Times New Roman" w:hAnsi="Times New Roman"/>
          <w:sz w:val="24"/>
          <w:szCs w:val="24"/>
        </w:rPr>
        <w:t>governance</w:t>
      </w:r>
      <w:r w:rsidR="00E1731B">
        <w:rPr>
          <w:rFonts w:ascii="Times New Roman" w:hAnsi="Times New Roman"/>
          <w:sz w:val="24"/>
          <w:szCs w:val="24"/>
        </w:rPr>
        <w:t xml:space="preserve"> </w:t>
      </w:r>
      <w:r w:rsidRPr="000665CE">
        <w:rPr>
          <w:rFonts w:ascii="Times New Roman" w:hAnsi="Times New Roman"/>
          <w:sz w:val="24"/>
          <w:szCs w:val="24"/>
        </w:rPr>
        <w:t xml:space="preserve">and risk management </w:t>
      </w:r>
      <w:r w:rsidR="00E1731B">
        <w:rPr>
          <w:rFonts w:ascii="Times New Roman" w:hAnsi="Times New Roman"/>
          <w:sz w:val="24"/>
          <w:szCs w:val="24"/>
        </w:rPr>
        <w:t xml:space="preserve">practices </w:t>
      </w:r>
      <w:r w:rsidRPr="000665CE">
        <w:rPr>
          <w:rFonts w:ascii="Times New Roman" w:hAnsi="Times New Roman"/>
          <w:sz w:val="24"/>
          <w:szCs w:val="24"/>
        </w:rPr>
        <w:t>m</w:t>
      </w:r>
      <w:r>
        <w:rPr>
          <w:rFonts w:ascii="Times New Roman" w:hAnsi="Times New Roman"/>
          <w:sz w:val="24"/>
          <w:szCs w:val="24"/>
        </w:rPr>
        <w:t>e</w:t>
      </w:r>
      <w:r w:rsidRPr="000665CE">
        <w:rPr>
          <w:rFonts w:ascii="Times New Roman" w:hAnsi="Times New Roman"/>
          <w:sz w:val="24"/>
          <w:szCs w:val="24"/>
        </w:rPr>
        <w:t xml:space="preserve">et </w:t>
      </w:r>
      <w:r w:rsidR="00E1731B">
        <w:rPr>
          <w:rFonts w:ascii="Times New Roman" w:hAnsi="Times New Roman"/>
          <w:sz w:val="24"/>
          <w:szCs w:val="24"/>
        </w:rPr>
        <w:t>industry best practice</w:t>
      </w:r>
      <w:r w:rsidR="000E56CA">
        <w:rPr>
          <w:rFonts w:ascii="Times New Roman" w:hAnsi="Times New Roman"/>
          <w:sz w:val="24"/>
          <w:szCs w:val="24"/>
        </w:rPr>
        <w:t>.</w:t>
      </w:r>
      <w:r w:rsidR="00F566AF" w:rsidRPr="00F566AF">
        <w:rPr>
          <w:rFonts w:ascii="Times New Roman" w:hAnsi="Times New Roman"/>
          <w:sz w:val="24"/>
          <w:szCs w:val="24"/>
        </w:rPr>
        <w:t xml:space="preserve"> </w:t>
      </w:r>
      <w:r w:rsidR="00EC3783">
        <w:rPr>
          <w:rFonts w:ascii="Times New Roman" w:hAnsi="Times New Roman"/>
          <w:sz w:val="24"/>
          <w:szCs w:val="24"/>
        </w:rPr>
        <w:t>Further, these proposals would ensure that the Board of the Head of the group is overseeing the material risks to the group, no matter wher</w:t>
      </w:r>
      <w:r w:rsidR="00377B58">
        <w:rPr>
          <w:rFonts w:ascii="Times New Roman" w:hAnsi="Times New Roman"/>
          <w:sz w:val="24"/>
          <w:szCs w:val="24"/>
        </w:rPr>
        <w:t>e these material risks emanate.</w:t>
      </w:r>
      <w:r w:rsidR="001E4347" w:rsidRPr="001E4347">
        <w:rPr>
          <w:rFonts w:ascii="Times New Roman" w:hAnsi="Times New Roman"/>
          <w:sz w:val="24"/>
          <w:szCs w:val="24"/>
        </w:rPr>
        <w:t xml:space="preserve"> </w:t>
      </w:r>
      <w:r w:rsidR="001E4347">
        <w:rPr>
          <w:rFonts w:ascii="Times New Roman" w:hAnsi="Times New Roman"/>
          <w:sz w:val="24"/>
          <w:szCs w:val="24"/>
        </w:rPr>
        <w:t>For example, a person within a group whose activities and decisions pose a material risk to the group’s APRA-regulated institutions would be assessed to the same level of fitness and propriety no matter where they operate.</w:t>
      </w:r>
    </w:p>
    <w:p w14:paraId="5CB8FDA6" w14:textId="77777777" w:rsidR="00E66ED9" w:rsidRDefault="00F6239B" w:rsidP="00E66ED9">
      <w:pPr>
        <w:spacing w:after="240"/>
        <w:jc w:val="both"/>
        <w:rPr>
          <w:rFonts w:ascii="Times New Roman" w:hAnsi="Times New Roman"/>
          <w:sz w:val="24"/>
          <w:szCs w:val="24"/>
        </w:rPr>
      </w:pPr>
      <w:r>
        <w:rPr>
          <w:rFonts w:ascii="Times New Roman" w:hAnsi="Times New Roman"/>
          <w:sz w:val="24"/>
          <w:szCs w:val="24"/>
        </w:rPr>
        <w:t>Potential Level 3</w:t>
      </w:r>
      <w:r w:rsidR="00F566AF" w:rsidRPr="00783470">
        <w:rPr>
          <w:rFonts w:ascii="Times New Roman" w:hAnsi="Times New Roman"/>
          <w:sz w:val="24"/>
          <w:szCs w:val="24"/>
        </w:rPr>
        <w:t xml:space="preserve"> groups </w:t>
      </w:r>
      <w:r w:rsidR="00F566AF">
        <w:rPr>
          <w:rFonts w:ascii="Times New Roman" w:hAnsi="Times New Roman"/>
          <w:sz w:val="24"/>
          <w:szCs w:val="24"/>
        </w:rPr>
        <w:t xml:space="preserve">have indicated </w:t>
      </w:r>
      <w:r>
        <w:rPr>
          <w:rFonts w:ascii="Times New Roman" w:hAnsi="Times New Roman"/>
          <w:sz w:val="24"/>
          <w:szCs w:val="24"/>
        </w:rPr>
        <w:t xml:space="preserve">to APRA </w:t>
      </w:r>
      <w:r w:rsidR="00F566AF">
        <w:rPr>
          <w:rFonts w:ascii="Times New Roman" w:hAnsi="Times New Roman"/>
          <w:sz w:val="24"/>
          <w:szCs w:val="24"/>
        </w:rPr>
        <w:t xml:space="preserve">that they already </w:t>
      </w:r>
      <w:r w:rsidR="00F566AF" w:rsidRPr="00783470">
        <w:rPr>
          <w:rFonts w:ascii="Times New Roman" w:hAnsi="Times New Roman"/>
          <w:sz w:val="24"/>
          <w:szCs w:val="24"/>
        </w:rPr>
        <w:t xml:space="preserve">have group-wide </w:t>
      </w:r>
      <w:r w:rsidR="00F566AF">
        <w:rPr>
          <w:rFonts w:ascii="Times New Roman" w:hAnsi="Times New Roman"/>
          <w:sz w:val="24"/>
          <w:szCs w:val="24"/>
        </w:rPr>
        <w:t xml:space="preserve">governance and risk management </w:t>
      </w:r>
      <w:r w:rsidR="00F566AF" w:rsidRPr="00783470">
        <w:rPr>
          <w:rFonts w:ascii="Times New Roman" w:hAnsi="Times New Roman"/>
          <w:sz w:val="24"/>
          <w:szCs w:val="24"/>
        </w:rPr>
        <w:t>policies and procedures, meaning that the</w:t>
      </w:r>
      <w:r w:rsidR="00F566AF">
        <w:rPr>
          <w:rFonts w:ascii="Times New Roman" w:hAnsi="Times New Roman"/>
          <w:sz w:val="24"/>
          <w:szCs w:val="24"/>
        </w:rPr>
        <w:t>se aspects of the</w:t>
      </w:r>
      <w:r w:rsidR="00F566AF" w:rsidRPr="00783470">
        <w:rPr>
          <w:rFonts w:ascii="Times New Roman" w:hAnsi="Times New Roman"/>
          <w:sz w:val="24"/>
          <w:szCs w:val="24"/>
        </w:rPr>
        <w:t xml:space="preserve"> Level 3 framework </w:t>
      </w:r>
      <w:r w:rsidR="00F566AF">
        <w:rPr>
          <w:rFonts w:ascii="Times New Roman" w:hAnsi="Times New Roman"/>
          <w:sz w:val="24"/>
          <w:szCs w:val="24"/>
        </w:rPr>
        <w:t>largely codify</w:t>
      </w:r>
      <w:r w:rsidR="00F566AF" w:rsidRPr="00783470">
        <w:rPr>
          <w:rFonts w:ascii="Times New Roman" w:hAnsi="Times New Roman"/>
          <w:sz w:val="24"/>
          <w:szCs w:val="24"/>
        </w:rPr>
        <w:t xml:space="preserve"> </w:t>
      </w:r>
      <w:r w:rsidR="00F566AF">
        <w:rPr>
          <w:rFonts w:ascii="Times New Roman" w:hAnsi="Times New Roman"/>
          <w:sz w:val="24"/>
          <w:szCs w:val="24"/>
        </w:rPr>
        <w:t xml:space="preserve">existing </w:t>
      </w:r>
      <w:r w:rsidR="00F566AF" w:rsidRPr="00783470">
        <w:rPr>
          <w:rFonts w:ascii="Times New Roman" w:hAnsi="Times New Roman"/>
          <w:sz w:val="24"/>
          <w:szCs w:val="24"/>
        </w:rPr>
        <w:t>practice.</w:t>
      </w:r>
      <w:r w:rsidR="00EC3783">
        <w:rPr>
          <w:rFonts w:ascii="Times New Roman" w:hAnsi="Times New Roman"/>
          <w:sz w:val="24"/>
          <w:szCs w:val="24"/>
        </w:rPr>
        <w:t xml:space="preserve"> </w:t>
      </w:r>
      <w:r w:rsidR="00207D50">
        <w:rPr>
          <w:rFonts w:ascii="Times New Roman" w:hAnsi="Times New Roman"/>
          <w:sz w:val="24"/>
          <w:szCs w:val="24"/>
        </w:rPr>
        <w:t>Where this is the case, the quantitative benefits of this option are expected to be negligible.</w:t>
      </w:r>
    </w:p>
    <w:p w14:paraId="3FE7C191" w14:textId="6180D607" w:rsidR="00EC3783" w:rsidRDefault="00B630B9" w:rsidP="00E66ED9">
      <w:pPr>
        <w:spacing w:after="240"/>
        <w:jc w:val="both"/>
        <w:rPr>
          <w:rFonts w:ascii="Times New Roman" w:hAnsi="Times New Roman"/>
          <w:sz w:val="24"/>
          <w:szCs w:val="24"/>
        </w:rPr>
      </w:pPr>
      <w:r>
        <w:rPr>
          <w:rFonts w:ascii="Times New Roman" w:hAnsi="Times New Roman"/>
          <w:sz w:val="24"/>
          <w:szCs w:val="24"/>
        </w:rPr>
        <w:t xml:space="preserve">For conglomerates </w:t>
      </w:r>
      <w:r w:rsidR="00207D50">
        <w:rPr>
          <w:rFonts w:ascii="Times New Roman" w:hAnsi="Times New Roman"/>
          <w:sz w:val="24"/>
          <w:szCs w:val="24"/>
        </w:rPr>
        <w:t xml:space="preserve">that do not have appropriate group-wide policies, the benefit of this option </w:t>
      </w:r>
      <w:r w:rsidR="00897216">
        <w:rPr>
          <w:rFonts w:ascii="Times New Roman" w:hAnsi="Times New Roman"/>
          <w:sz w:val="24"/>
          <w:szCs w:val="24"/>
        </w:rPr>
        <w:t xml:space="preserve">would be </w:t>
      </w:r>
      <w:r w:rsidR="00207D50">
        <w:rPr>
          <w:rFonts w:ascii="Times New Roman" w:hAnsi="Times New Roman"/>
          <w:sz w:val="24"/>
          <w:szCs w:val="24"/>
        </w:rPr>
        <w:t xml:space="preserve">to ensure groups </w:t>
      </w:r>
      <w:r w:rsidR="00207D50" w:rsidRPr="00940474">
        <w:rPr>
          <w:rFonts w:ascii="Times New Roman" w:hAnsi="Times New Roman"/>
          <w:sz w:val="24"/>
          <w:szCs w:val="24"/>
        </w:rPr>
        <w:t>enjoy better governance</w:t>
      </w:r>
      <w:r>
        <w:rPr>
          <w:rFonts w:ascii="Times New Roman" w:hAnsi="Times New Roman"/>
          <w:sz w:val="24"/>
          <w:szCs w:val="24"/>
        </w:rPr>
        <w:t xml:space="preserve"> and risk management</w:t>
      </w:r>
      <w:r w:rsidR="00207D50" w:rsidRPr="00940474">
        <w:rPr>
          <w:rFonts w:ascii="Times New Roman" w:hAnsi="Times New Roman"/>
          <w:sz w:val="24"/>
          <w:szCs w:val="24"/>
        </w:rPr>
        <w:t>, both at th</w:t>
      </w:r>
      <w:r w:rsidR="00207D50">
        <w:rPr>
          <w:rFonts w:ascii="Times New Roman" w:hAnsi="Times New Roman"/>
          <w:sz w:val="24"/>
          <w:szCs w:val="24"/>
        </w:rPr>
        <w:t xml:space="preserve">e management and </w:t>
      </w:r>
      <w:r w:rsidR="009310E1">
        <w:rPr>
          <w:rFonts w:ascii="Times New Roman" w:hAnsi="Times New Roman"/>
          <w:sz w:val="24"/>
          <w:szCs w:val="24"/>
        </w:rPr>
        <w:t>B</w:t>
      </w:r>
      <w:r w:rsidR="00207D50">
        <w:rPr>
          <w:rFonts w:ascii="Times New Roman" w:hAnsi="Times New Roman"/>
          <w:sz w:val="24"/>
          <w:szCs w:val="24"/>
        </w:rPr>
        <w:t xml:space="preserve">oard levels. </w:t>
      </w:r>
      <w:r w:rsidR="00207D50" w:rsidRPr="00940474">
        <w:rPr>
          <w:rFonts w:ascii="Times New Roman" w:hAnsi="Times New Roman"/>
          <w:sz w:val="24"/>
          <w:szCs w:val="24"/>
        </w:rPr>
        <w:t xml:space="preserve">This means that unexpected losses to shareholders and other stakeholders will </w:t>
      </w:r>
      <w:r w:rsidR="00C34BA6">
        <w:rPr>
          <w:rFonts w:ascii="Times New Roman" w:hAnsi="Times New Roman"/>
          <w:sz w:val="24"/>
          <w:szCs w:val="24"/>
        </w:rPr>
        <w:t xml:space="preserve">be </w:t>
      </w:r>
      <w:r w:rsidR="00207D50" w:rsidRPr="00940474">
        <w:rPr>
          <w:rFonts w:ascii="Times New Roman" w:hAnsi="Times New Roman"/>
          <w:sz w:val="24"/>
          <w:szCs w:val="24"/>
        </w:rPr>
        <w:t>reduce</w:t>
      </w:r>
      <w:r w:rsidR="00C34BA6">
        <w:rPr>
          <w:rFonts w:ascii="Times New Roman" w:hAnsi="Times New Roman"/>
          <w:sz w:val="24"/>
          <w:szCs w:val="24"/>
        </w:rPr>
        <w:t>d</w:t>
      </w:r>
      <w:r w:rsidR="00885888">
        <w:rPr>
          <w:rFonts w:ascii="Times New Roman" w:hAnsi="Times New Roman"/>
          <w:sz w:val="24"/>
          <w:szCs w:val="24"/>
        </w:rPr>
        <w:t xml:space="preserve"> so</w:t>
      </w:r>
      <w:r w:rsidR="00207D50" w:rsidRPr="00940474">
        <w:rPr>
          <w:rFonts w:ascii="Times New Roman" w:hAnsi="Times New Roman"/>
          <w:sz w:val="24"/>
          <w:szCs w:val="24"/>
        </w:rPr>
        <w:t xml:space="preserve"> the failure rate </w:t>
      </w:r>
      <w:r w:rsidR="00207D50">
        <w:rPr>
          <w:rFonts w:ascii="Times New Roman" w:hAnsi="Times New Roman"/>
          <w:sz w:val="24"/>
          <w:szCs w:val="24"/>
        </w:rPr>
        <w:t>of APRA-</w:t>
      </w:r>
      <w:r w:rsidR="00207D50" w:rsidRPr="00940474">
        <w:rPr>
          <w:rFonts w:ascii="Times New Roman" w:hAnsi="Times New Roman"/>
          <w:sz w:val="24"/>
          <w:szCs w:val="24"/>
        </w:rPr>
        <w:t>regulated institutions will fall over time.</w:t>
      </w:r>
      <w:r w:rsidR="00207D50">
        <w:rPr>
          <w:rFonts w:ascii="Times New Roman" w:hAnsi="Times New Roman"/>
          <w:sz w:val="24"/>
          <w:szCs w:val="24"/>
        </w:rPr>
        <w:t xml:space="preserve"> T</w:t>
      </w:r>
      <w:r w:rsidR="00207D50" w:rsidRPr="00940474">
        <w:rPr>
          <w:rFonts w:ascii="Times New Roman" w:hAnsi="Times New Roman"/>
          <w:sz w:val="24"/>
          <w:szCs w:val="24"/>
        </w:rPr>
        <w:t xml:space="preserve">his improvement in industry risk management and governance </w:t>
      </w:r>
      <w:r w:rsidR="00F966CA">
        <w:rPr>
          <w:rFonts w:ascii="Times New Roman" w:hAnsi="Times New Roman"/>
          <w:sz w:val="24"/>
          <w:szCs w:val="24"/>
        </w:rPr>
        <w:t xml:space="preserve">across Australian financial conglomerates </w:t>
      </w:r>
      <w:r w:rsidR="00207D50" w:rsidRPr="00940474">
        <w:rPr>
          <w:rFonts w:ascii="Times New Roman" w:hAnsi="Times New Roman"/>
          <w:sz w:val="24"/>
          <w:szCs w:val="24"/>
        </w:rPr>
        <w:t xml:space="preserve">means that systemic risk </w:t>
      </w:r>
      <w:r w:rsidR="00897216">
        <w:rPr>
          <w:rFonts w:ascii="Times New Roman" w:hAnsi="Times New Roman"/>
          <w:sz w:val="24"/>
          <w:szCs w:val="24"/>
        </w:rPr>
        <w:t>would be</w:t>
      </w:r>
      <w:r w:rsidR="00897216" w:rsidRPr="00940474">
        <w:rPr>
          <w:rFonts w:ascii="Times New Roman" w:hAnsi="Times New Roman"/>
          <w:sz w:val="24"/>
          <w:szCs w:val="24"/>
        </w:rPr>
        <w:t xml:space="preserve"> </w:t>
      </w:r>
      <w:r w:rsidR="00207D50" w:rsidRPr="00940474">
        <w:rPr>
          <w:rFonts w:ascii="Times New Roman" w:hAnsi="Times New Roman"/>
          <w:sz w:val="24"/>
          <w:szCs w:val="24"/>
        </w:rPr>
        <w:t xml:space="preserve">likely to fall, because there </w:t>
      </w:r>
      <w:r w:rsidR="00897216">
        <w:rPr>
          <w:rFonts w:ascii="Times New Roman" w:hAnsi="Times New Roman"/>
          <w:sz w:val="24"/>
          <w:szCs w:val="24"/>
        </w:rPr>
        <w:t>would be</w:t>
      </w:r>
      <w:r w:rsidR="00897216" w:rsidRPr="00940474">
        <w:rPr>
          <w:rFonts w:ascii="Times New Roman" w:hAnsi="Times New Roman"/>
          <w:sz w:val="24"/>
          <w:szCs w:val="24"/>
        </w:rPr>
        <w:t xml:space="preserve"> </w:t>
      </w:r>
      <w:r w:rsidR="00207D50" w:rsidRPr="00940474">
        <w:rPr>
          <w:rFonts w:ascii="Times New Roman" w:hAnsi="Times New Roman"/>
          <w:sz w:val="24"/>
          <w:szCs w:val="24"/>
        </w:rPr>
        <w:t>an accepted collective approach to good practices.</w:t>
      </w:r>
    </w:p>
    <w:p w14:paraId="38F99F9C" w14:textId="77777777" w:rsidR="000F1DDE" w:rsidRPr="00513B54" w:rsidRDefault="000F1DDE" w:rsidP="00513B54">
      <w:pPr>
        <w:pStyle w:val="Heading5"/>
        <w:rPr>
          <w:rStyle w:val="Emphasis"/>
        </w:rPr>
      </w:pPr>
      <w:r w:rsidRPr="00513B54">
        <w:rPr>
          <w:rStyle w:val="Emphasis"/>
        </w:rPr>
        <w:t>Costs</w:t>
      </w:r>
    </w:p>
    <w:p w14:paraId="5B6CE588" w14:textId="269FC31B" w:rsidR="00257524" w:rsidRDefault="00257524" w:rsidP="00E66ED9">
      <w:pPr>
        <w:spacing w:after="240"/>
        <w:jc w:val="both"/>
        <w:rPr>
          <w:rFonts w:ascii="Times New Roman" w:hAnsi="Times New Roman"/>
          <w:sz w:val="24"/>
          <w:szCs w:val="24"/>
        </w:rPr>
      </w:pPr>
      <w:r w:rsidRPr="000665CE">
        <w:rPr>
          <w:rFonts w:ascii="Times New Roman" w:hAnsi="Times New Roman"/>
          <w:sz w:val="24"/>
          <w:szCs w:val="24"/>
        </w:rPr>
        <w:t xml:space="preserve">Under </w:t>
      </w:r>
      <w:r w:rsidR="00C86F95">
        <w:rPr>
          <w:rFonts w:ascii="Times New Roman" w:hAnsi="Times New Roman"/>
          <w:sz w:val="24"/>
          <w:szCs w:val="24"/>
        </w:rPr>
        <w:t xml:space="preserve">this </w:t>
      </w:r>
      <w:r w:rsidRPr="000665CE">
        <w:rPr>
          <w:rFonts w:ascii="Times New Roman" w:hAnsi="Times New Roman"/>
          <w:sz w:val="24"/>
          <w:szCs w:val="24"/>
        </w:rPr>
        <w:t>option</w:t>
      </w:r>
      <w:r w:rsidR="00C86F95">
        <w:rPr>
          <w:rFonts w:ascii="Times New Roman" w:hAnsi="Times New Roman"/>
          <w:sz w:val="24"/>
          <w:szCs w:val="24"/>
        </w:rPr>
        <w:t>,</w:t>
      </w:r>
      <w:r>
        <w:rPr>
          <w:rFonts w:ascii="Times New Roman" w:hAnsi="Times New Roman"/>
          <w:sz w:val="24"/>
          <w:szCs w:val="24"/>
        </w:rPr>
        <w:t xml:space="preserve"> </w:t>
      </w:r>
      <w:r w:rsidRPr="000665CE">
        <w:rPr>
          <w:rFonts w:ascii="Times New Roman" w:hAnsi="Times New Roman"/>
          <w:sz w:val="24"/>
          <w:szCs w:val="24"/>
        </w:rPr>
        <w:t>the Level 3 framework would be limited to the two components that would impose</w:t>
      </w:r>
      <w:r w:rsidR="0039739A">
        <w:rPr>
          <w:rFonts w:ascii="Times New Roman" w:hAnsi="Times New Roman"/>
          <w:sz w:val="24"/>
          <w:szCs w:val="24"/>
        </w:rPr>
        <w:t xml:space="preserve"> negligible</w:t>
      </w:r>
      <w:r w:rsidRPr="000665CE">
        <w:rPr>
          <w:rFonts w:ascii="Times New Roman" w:hAnsi="Times New Roman"/>
          <w:sz w:val="24"/>
          <w:szCs w:val="24"/>
        </w:rPr>
        <w:t xml:space="preserve"> compliance costs on conglomerate groups</w:t>
      </w:r>
      <w:r>
        <w:rPr>
          <w:rFonts w:ascii="Times New Roman" w:hAnsi="Times New Roman"/>
          <w:sz w:val="24"/>
          <w:szCs w:val="24"/>
        </w:rPr>
        <w:t>: group governance and risk management requirements</w:t>
      </w:r>
      <w:r w:rsidRPr="000665CE">
        <w:rPr>
          <w:rFonts w:ascii="Times New Roman" w:hAnsi="Times New Roman"/>
          <w:sz w:val="24"/>
          <w:szCs w:val="24"/>
        </w:rPr>
        <w:t>.</w:t>
      </w:r>
      <w:r w:rsidR="00CA300A">
        <w:rPr>
          <w:rFonts w:ascii="Times New Roman" w:hAnsi="Times New Roman"/>
          <w:sz w:val="24"/>
          <w:szCs w:val="24"/>
        </w:rPr>
        <w:t xml:space="preserve"> </w:t>
      </w:r>
      <w:r w:rsidR="00137EBA">
        <w:rPr>
          <w:rFonts w:ascii="Times New Roman" w:hAnsi="Times New Roman"/>
          <w:sz w:val="24"/>
          <w:szCs w:val="24"/>
        </w:rPr>
        <w:t>Further, t</w:t>
      </w:r>
      <w:r w:rsidR="00CA300A">
        <w:rPr>
          <w:rFonts w:ascii="Times New Roman" w:hAnsi="Times New Roman"/>
          <w:sz w:val="24"/>
          <w:szCs w:val="24"/>
        </w:rPr>
        <w:t xml:space="preserve">his option </w:t>
      </w:r>
      <w:r w:rsidR="00897216">
        <w:rPr>
          <w:rFonts w:ascii="Times New Roman" w:hAnsi="Times New Roman"/>
          <w:sz w:val="24"/>
          <w:szCs w:val="24"/>
        </w:rPr>
        <w:t xml:space="preserve">would </w:t>
      </w:r>
      <w:r w:rsidR="00CA300A">
        <w:rPr>
          <w:rFonts w:ascii="Times New Roman" w:hAnsi="Times New Roman"/>
          <w:sz w:val="24"/>
          <w:szCs w:val="24"/>
        </w:rPr>
        <w:t xml:space="preserve">not </w:t>
      </w:r>
      <w:r w:rsidR="00137EBA">
        <w:rPr>
          <w:rFonts w:ascii="Times New Roman" w:hAnsi="Times New Roman"/>
          <w:sz w:val="24"/>
          <w:szCs w:val="24"/>
        </w:rPr>
        <w:t xml:space="preserve">impose costs associated with Level 3 groups having </w:t>
      </w:r>
      <w:r w:rsidR="00CA300A">
        <w:rPr>
          <w:rFonts w:ascii="Times New Roman" w:hAnsi="Times New Roman"/>
          <w:sz w:val="24"/>
          <w:szCs w:val="24"/>
        </w:rPr>
        <w:t xml:space="preserve">appropriate systems and controls to manage </w:t>
      </w:r>
      <w:r w:rsidR="00137EBA">
        <w:rPr>
          <w:rFonts w:ascii="Times New Roman" w:hAnsi="Times New Roman"/>
          <w:sz w:val="24"/>
          <w:szCs w:val="24"/>
        </w:rPr>
        <w:t xml:space="preserve">internal and external </w:t>
      </w:r>
      <w:r w:rsidR="00CA300A">
        <w:rPr>
          <w:rFonts w:ascii="Times New Roman" w:hAnsi="Times New Roman"/>
          <w:sz w:val="24"/>
          <w:szCs w:val="24"/>
        </w:rPr>
        <w:t>risk exposures</w:t>
      </w:r>
      <w:r w:rsidR="00137EBA">
        <w:rPr>
          <w:rFonts w:ascii="Times New Roman" w:hAnsi="Times New Roman"/>
          <w:sz w:val="24"/>
          <w:szCs w:val="24"/>
        </w:rPr>
        <w:t>.</w:t>
      </w:r>
    </w:p>
    <w:p w14:paraId="7BAE85A5" w14:textId="5A0CA040" w:rsidR="002B3C5F" w:rsidRDefault="002B3C5F" w:rsidP="00E66ED9">
      <w:pPr>
        <w:spacing w:after="240"/>
        <w:jc w:val="both"/>
        <w:rPr>
          <w:rFonts w:ascii="Times New Roman" w:hAnsi="Times New Roman"/>
          <w:sz w:val="24"/>
          <w:szCs w:val="24"/>
        </w:rPr>
      </w:pPr>
      <w:r>
        <w:rPr>
          <w:rFonts w:ascii="Times New Roman" w:hAnsi="Times New Roman"/>
          <w:sz w:val="24"/>
          <w:szCs w:val="24"/>
        </w:rPr>
        <w:t xml:space="preserve">Potential Level 3 groups have </w:t>
      </w:r>
      <w:r w:rsidR="003515BB">
        <w:rPr>
          <w:rFonts w:ascii="Times New Roman" w:hAnsi="Times New Roman"/>
          <w:sz w:val="24"/>
          <w:szCs w:val="24"/>
        </w:rPr>
        <w:t xml:space="preserve">informed APRA </w:t>
      </w:r>
      <w:r>
        <w:rPr>
          <w:rFonts w:ascii="Times New Roman" w:hAnsi="Times New Roman"/>
          <w:sz w:val="24"/>
          <w:szCs w:val="24"/>
        </w:rPr>
        <w:t xml:space="preserve">that they already largely meet the proposed group requirements. </w:t>
      </w:r>
      <w:r w:rsidR="00CF6CC4">
        <w:rPr>
          <w:rFonts w:ascii="Times New Roman" w:hAnsi="Times New Roman"/>
          <w:sz w:val="24"/>
          <w:szCs w:val="24"/>
        </w:rPr>
        <w:t xml:space="preserve">For example, they already have a group Chief Risk Officer and separate Board Audit and Risk Committees. </w:t>
      </w:r>
      <w:r w:rsidR="00581666">
        <w:rPr>
          <w:rFonts w:ascii="Times New Roman" w:hAnsi="Times New Roman"/>
          <w:sz w:val="24"/>
          <w:szCs w:val="24"/>
        </w:rPr>
        <w:t>Given this, APRA assumes that there are negligible c</w:t>
      </w:r>
      <w:r>
        <w:rPr>
          <w:rFonts w:ascii="Times New Roman" w:hAnsi="Times New Roman"/>
          <w:sz w:val="24"/>
          <w:szCs w:val="24"/>
        </w:rPr>
        <w:t xml:space="preserve">osts associated </w:t>
      </w:r>
      <w:r w:rsidR="00F6239B">
        <w:rPr>
          <w:rFonts w:ascii="Times New Roman" w:hAnsi="Times New Roman"/>
          <w:sz w:val="24"/>
          <w:szCs w:val="24"/>
        </w:rPr>
        <w:t xml:space="preserve">with </w:t>
      </w:r>
      <w:r w:rsidR="00581666">
        <w:rPr>
          <w:rFonts w:ascii="Times New Roman" w:hAnsi="Times New Roman"/>
          <w:sz w:val="24"/>
          <w:szCs w:val="24"/>
        </w:rPr>
        <w:t xml:space="preserve">implementing group-wide behavioural </w:t>
      </w:r>
      <w:r>
        <w:rPr>
          <w:rFonts w:ascii="Times New Roman" w:hAnsi="Times New Roman"/>
          <w:sz w:val="24"/>
          <w:szCs w:val="24"/>
        </w:rPr>
        <w:t>policies.</w:t>
      </w:r>
    </w:p>
    <w:p w14:paraId="3CF14659" w14:textId="3EE40F51" w:rsidR="00E66ED9" w:rsidRPr="000665CE" w:rsidRDefault="00CF6CC4" w:rsidP="00E66ED9">
      <w:pPr>
        <w:spacing w:after="240"/>
        <w:jc w:val="both"/>
        <w:rPr>
          <w:rFonts w:ascii="Times New Roman" w:hAnsi="Times New Roman"/>
          <w:sz w:val="24"/>
          <w:szCs w:val="24"/>
        </w:rPr>
      </w:pPr>
      <w:r>
        <w:rPr>
          <w:rFonts w:ascii="Times New Roman" w:hAnsi="Times New Roman"/>
          <w:sz w:val="24"/>
          <w:szCs w:val="24"/>
        </w:rPr>
        <w:t>However, t</w:t>
      </w:r>
      <w:r w:rsidR="00E66ED9" w:rsidRPr="000665CE">
        <w:rPr>
          <w:rFonts w:ascii="Times New Roman" w:hAnsi="Times New Roman"/>
          <w:sz w:val="24"/>
          <w:szCs w:val="24"/>
        </w:rPr>
        <w:t xml:space="preserve">his option would leave in place potential </w:t>
      </w:r>
      <w:r w:rsidR="000E56CA">
        <w:rPr>
          <w:rFonts w:ascii="Times New Roman" w:hAnsi="Times New Roman"/>
          <w:sz w:val="24"/>
          <w:szCs w:val="24"/>
        </w:rPr>
        <w:t>vulnerabilities</w:t>
      </w:r>
      <w:r w:rsidR="00E66ED9" w:rsidRPr="000665CE">
        <w:rPr>
          <w:rFonts w:ascii="Times New Roman" w:hAnsi="Times New Roman"/>
          <w:sz w:val="24"/>
          <w:szCs w:val="24"/>
        </w:rPr>
        <w:t xml:space="preserve"> relating to the adequate capitalisation of a conglomerate group’s non-APRA-regulated operations</w:t>
      </w:r>
      <w:r w:rsidR="000E56CA">
        <w:rPr>
          <w:rFonts w:ascii="Times New Roman" w:hAnsi="Times New Roman"/>
          <w:sz w:val="24"/>
          <w:szCs w:val="24"/>
        </w:rPr>
        <w:t>,</w:t>
      </w:r>
      <w:r w:rsidR="00E66ED9" w:rsidRPr="000665CE">
        <w:rPr>
          <w:rFonts w:ascii="Times New Roman" w:hAnsi="Times New Roman"/>
          <w:sz w:val="24"/>
          <w:szCs w:val="24"/>
        </w:rPr>
        <w:t xml:space="preserve"> and to potential capital upgrading or double gearing</w:t>
      </w:r>
      <w:r w:rsidR="000E56CA">
        <w:rPr>
          <w:rFonts w:ascii="Times New Roman" w:hAnsi="Times New Roman"/>
          <w:sz w:val="24"/>
          <w:szCs w:val="24"/>
        </w:rPr>
        <w:t xml:space="preserve"> within the group</w:t>
      </w:r>
      <w:r w:rsidR="00E66ED9" w:rsidRPr="000665CE">
        <w:rPr>
          <w:rFonts w:ascii="Times New Roman" w:hAnsi="Times New Roman"/>
          <w:sz w:val="24"/>
          <w:szCs w:val="24"/>
        </w:rPr>
        <w:t xml:space="preserve">. </w:t>
      </w:r>
      <w:r w:rsidR="009F5001" w:rsidRPr="000665CE">
        <w:rPr>
          <w:rFonts w:ascii="Times New Roman" w:hAnsi="Times New Roman"/>
          <w:sz w:val="24"/>
          <w:szCs w:val="24"/>
        </w:rPr>
        <w:t xml:space="preserve">It would leave market imbalances that exist </w:t>
      </w:r>
      <w:r w:rsidR="00DC08E2">
        <w:rPr>
          <w:rFonts w:ascii="Times New Roman" w:hAnsi="Times New Roman"/>
          <w:sz w:val="24"/>
          <w:szCs w:val="24"/>
        </w:rPr>
        <w:t xml:space="preserve">from </w:t>
      </w:r>
      <w:r w:rsidR="009F5001" w:rsidRPr="000665CE">
        <w:rPr>
          <w:rFonts w:ascii="Times New Roman" w:hAnsi="Times New Roman"/>
          <w:sz w:val="24"/>
          <w:szCs w:val="24"/>
        </w:rPr>
        <w:t>undercapitalisation</w:t>
      </w:r>
      <w:r w:rsidR="009F5001">
        <w:rPr>
          <w:rFonts w:ascii="Times New Roman" w:hAnsi="Times New Roman"/>
          <w:sz w:val="24"/>
          <w:szCs w:val="24"/>
        </w:rPr>
        <w:t xml:space="preserve"> of non-APRA-regulated group members</w:t>
      </w:r>
      <w:r w:rsidR="009F5001" w:rsidRPr="000665CE">
        <w:rPr>
          <w:rFonts w:ascii="Times New Roman" w:hAnsi="Times New Roman"/>
          <w:sz w:val="24"/>
          <w:szCs w:val="24"/>
        </w:rPr>
        <w:t>.</w:t>
      </w:r>
      <w:r w:rsidR="009F5001">
        <w:rPr>
          <w:rFonts w:ascii="Times New Roman" w:hAnsi="Times New Roman"/>
          <w:sz w:val="24"/>
          <w:szCs w:val="24"/>
        </w:rPr>
        <w:t xml:space="preserve"> Option 2 </w:t>
      </w:r>
      <w:r w:rsidR="00E66ED9" w:rsidRPr="000665CE">
        <w:rPr>
          <w:rFonts w:ascii="Times New Roman" w:hAnsi="Times New Roman"/>
          <w:sz w:val="24"/>
          <w:szCs w:val="24"/>
        </w:rPr>
        <w:t xml:space="preserve">would also not require a conglomerate group to adequately identify, monitor and manage its aggregate risk exposures and ITEs. APRA would continue to monitor these potential </w:t>
      </w:r>
      <w:r w:rsidR="000E56CA">
        <w:rPr>
          <w:rFonts w:ascii="Times New Roman" w:hAnsi="Times New Roman"/>
          <w:sz w:val="24"/>
          <w:szCs w:val="24"/>
        </w:rPr>
        <w:t>aggregate risks</w:t>
      </w:r>
      <w:r w:rsidR="00E66ED9" w:rsidRPr="000665CE">
        <w:rPr>
          <w:rFonts w:ascii="Times New Roman" w:hAnsi="Times New Roman"/>
          <w:sz w:val="24"/>
          <w:szCs w:val="24"/>
        </w:rPr>
        <w:t xml:space="preserve"> through </w:t>
      </w:r>
      <w:r w:rsidR="00E66ED9" w:rsidRPr="000665CE">
        <w:rPr>
          <w:rFonts w:ascii="Times New Roman" w:hAnsi="Times New Roman"/>
          <w:i/>
          <w:sz w:val="24"/>
          <w:szCs w:val="24"/>
        </w:rPr>
        <w:t>ad hoc</w:t>
      </w:r>
      <w:r w:rsidR="00E66ED9" w:rsidRPr="000665CE">
        <w:rPr>
          <w:rFonts w:ascii="Times New Roman" w:hAnsi="Times New Roman"/>
          <w:sz w:val="24"/>
          <w:szCs w:val="24"/>
        </w:rPr>
        <w:t xml:space="preserve"> supervisory arrangements, which </w:t>
      </w:r>
      <w:r w:rsidR="00E66ED9">
        <w:rPr>
          <w:rFonts w:ascii="Times New Roman" w:hAnsi="Times New Roman"/>
          <w:sz w:val="24"/>
          <w:szCs w:val="24"/>
        </w:rPr>
        <w:t xml:space="preserve">are comparatively inefficient and </w:t>
      </w:r>
      <w:r w:rsidR="00E66ED9" w:rsidRPr="000665CE">
        <w:rPr>
          <w:rFonts w:ascii="Times New Roman" w:hAnsi="Times New Roman"/>
          <w:sz w:val="24"/>
          <w:szCs w:val="24"/>
        </w:rPr>
        <w:t xml:space="preserve">could </w:t>
      </w:r>
      <w:r w:rsidR="00E66ED9">
        <w:rPr>
          <w:rFonts w:ascii="Times New Roman" w:hAnsi="Times New Roman"/>
          <w:sz w:val="24"/>
          <w:szCs w:val="24"/>
        </w:rPr>
        <w:t xml:space="preserve">leave </w:t>
      </w:r>
      <w:r w:rsidR="000E56CA">
        <w:rPr>
          <w:rFonts w:ascii="Times New Roman" w:hAnsi="Times New Roman"/>
          <w:sz w:val="24"/>
          <w:szCs w:val="24"/>
        </w:rPr>
        <w:t>material risks unaddressed.</w:t>
      </w:r>
    </w:p>
    <w:p w14:paraId="0F24A584" w14:textId="77777777" w:rsidR="002E6BA9" w:rsidRPr="00513B54" w:rsidRDefault="002E6BA9" w:rsidP="00513B54">
      <w:pPr>
        <w:pStyle w:val="Heading4"/>
      </w:pPr>
      <w:r w:rsidRPr="00513B54">
        <w:t xml:space="preserve">Option 3 — </w:t>
      </w:r>
      <w:r w:rsidR="00885888" w:rsidRPr="00513B54">
        <w:t>full implementation of a Level 3 framework</w:t>
      </w:r>
      <w:r w:rsidR="005158F5" w:rsidRPr="00513B54">
        <w:t xml:space="preserve"> </w:t>
      </w:r>
    </w:p>
    <w:p w14:paraId="0BEE82FC" w14:textId="470265E9" w:rsidR="001568F1" w:rsidRDefault="001568F1" w:rsidP="001568F1">
      <w:pPr>
        <w:spacing w:after="240"/>
        <w:jc w:val="both"/>
        <w:rPr>
          <w:rFonts w:ascii="Times New Roman" w:hAnsi="Times New Roman"/>
          <w:sz w:val="24"/>
          <w:szCs w:val="24"/>
        </w:rPr>
      </w:pPr>
      <w:r w:rsidRPr="000665CE">
        <w:rPr>
          <w:rFonts w:ascii="Times New Roman" w:hAnsi="Times New Roman"/>
          <w:sz w:val="24"/>
          <w:szCs w:val="24"/>
        </w:rPr>
        <w:t>Under this option, APRA would implement all four components of the Level 3 framework</w:t>
      </w:r>
      <w:r w:rsidR="00D258DB" w:rsidRPr="00D258DB">
        <w:rPr>
          <w:rFonts w:ascii="Times New Roman" w:hAnsi="Times New Roman"/>
          <w:sz w:val="24"/>
          <w:szCs w:val="24"/>
        </w:rPr>
        <w:t xml:space="preserve"> </w:t>
      </w:r>
      <w:r w:rsidR="00CF6CC4">
        <w:rPr>
          <w:rFonts w:ascii="Times New Roman" w:hAnsi="Times New Roman"/>
          <w:sz w:val="24"/>
          <w:szCs w:val="24"/>
        </w:rPr>
        <w:t>—</w:t>
      </w:r>
      <w:r w:rsidR="00694853">
        <w:rPr>
          <w:rFonts w:ascii="Times New Roman" w:hAnsi="Times New Roman"/>
          <w:sz w:val="24"/>
          <w:szCs w:val="24"/>
        </w:rPr>
        <w:t xml:space="preserve"> risk management, governance, risk exposures and capital adequacy</w:t>
      </w:r>
      <w:r>
        <w:rPr>
          <w:rFonts w:ascii="Times New Roman" w:hAnsi="Times New Roman"/>
          <w:sz w:val="24"/>
          <w:szCs w:val="24"/>
        </w:rPr>
        <w:t xml:space="preserve">. </w:t>
      </w:r>
      <w:r w:rsidR="006F4A24">
        <w:rPr>
          <w:rFonts w:ascii="Times New Roman" w:hAnsi="Times New Roman"/>
          <w:sz w:val="24"/>
          <w:szCs w:val="24"/>
        </w:rPr>
        <w:t xml:space="preserve">Given </w:t>
      </w:r>
      <w:r w:rsidR="00F966CA">
        <w:rPr>
          <w:rFonts w:ascii="Times New Roman" w:hAnsi="Times New Roman"/>
          <w:sz w:val="24"/>
          <w:szCs w:val="24"/>
        </w:rPr>
        <w:t xml:space="preserve">that </w:t>
      </w:r>
      <w:r w:rsidR="006F4A24">
        <w:rPr>
          <w:rFonts w:ascii="Times New Roman" w:hAnsi="Times New Roman"/>
          <w:sz w:val="24"/>
          <w:szCs w:val="24"/>
        </w:rPr>
        <w:t>the costs and benefits of group risk management and governance are discussed in option 2, this section focus</w:t>
      </w:r>
      <w:r w:rsidR="00CF6CC4">
        <w:rPr>
          <w:rFonts w:ascii="Times New Roman" w:hAnsi="Times New Roman"/>
          <w:sz w:val="24"/>
          <w:szCs w:val="24"/>
        </w:rPr>
        <w:t>es</w:t>
      </w:r>
      <w:r w:rsidR="006F4A24">
        <w:rPr>
          <w:rFonts w:ascii="Times New Roman" w:hAnsi="Times New Roman"/>
          <w:sz w:val="24"/>
          <w:szCs w:val="24"/>
        </w:rPr>
        <w:t xml:space="preserve"> on the costs and benefits of managing risk exposures and capital adequacy</w:t>
      </w:r>
      <w:r w:rsidRPr="000665CE">
        <w:rPr>
          <w:rFonts w:ascii="Times New Roman" w:hAnsi="Times New Roman"/>
          <w:sz w:val="24"/>
          <w:szCs w:val="24"/>
        </w:rPr>
        <w:t>.</w:t>
      </w:r>
    </w:p>
    <w:p w14:paraId="5823C2B4" w14:textId="2C8DA523" w:rsidR="001568F1" w:rsidRDefault="00897216" w:rsidP="001568F1">
      <w:pPr>
        <w:spacing w:after="240"/>
        <w:jc w:val="both"/>
        <w:rPr>
          <w:rFonts w:ascii="Times New Roman" w:hAnsi="Times New Roman"/>
          <w:sz w:val="24"/>
          <w:szCs w:val="24"/>
        </w:rPr>
      </w:pPr>
      <w:r>
        <w:rPr>
          <w:rFonts w:ascii="Times New Roman" w:hAnsi="Times New Roman"/>
          <w:sz w:val="24"/>
          <w:szCs w:val="24"/>
        </w:rPr>
        <w:t xml:space="preserve">Under this proposal, </w:t>
      </w:r>
      <w:r w:rsidR="00D258DB">
        <w:rPr>
          <w:rFonts w:ascii="Times New Roman" w:hAnsi="Times New Roman"/>
          <w:sz w:val="24"/>
          <w:szCs w:val="24"/>
        </w:rPr>
        <w:t xml:space="preserve">APRA </w:t>
      </w:r>
      <w:r>
        <w:rPr>
          <w:rFonts w:ascii="Times New Roman" w:hAnsi="Times New Roman"/>
          <w:sz w:val="24"/>
          <w:szCs w:val="24"/>
        </w:rPr>
        <w:t>would</w:t>
      </w:r>
      <w:r w:rsidR="00324C74">
        <w:rPr>
          <w:rFonts w:ascii="Times New Roman" w:hAnsi="Times New Roman"/>
          <w:sz w:val="24"/>
          <w:szCs w:val="24"/>
        </w:rPr>
        <w:t xml:space="preserve"> require </w:t>
      </w:r>
      <w:r w:rsidR="001568F1">
        <w:rPr>
          <w:rFonts w:ascii="Times New Roman" w:hAnsi="Times New Roman"/>
          <w:sz w:val="24"/>
          <w:szCs w:val="24"/>
        </w:rPr>
        <w:t>Level 3 group</w:t>
      </w:r>
      <w:r w:rsidR="00324C74">
        <w:rPr>
          <w:rFonts w:ascii="Times New Roman" w:hAnsi="Times New Roman"/>
          <w:sz w:val="24"/>
          <w:szCs w:val="24"/>
        </w:rPr>
        <w:t>s</w:t>
      </w:r>
      <w:r w:rsidR="001568F1" w:rsidRPr="00686B56">
        <w:rPr>
          <w:rFonts w:ascii="Times New Roman" w:hAnsi="Times New Roman"/>
          <w:sz w:val="24"/>
          <w:szCs w:val="24"/>
        </w:rPr>
        <w:t xml:space="preserve"> </w:t>
      </w:r>
      <w:r w:rsidR="001568F1">
        <w:rPr>
          <w:rFonts w:ascii="Times New Roman" w:hAnsi="Times New Roman"/>
          <w:sz w:val="24"/>
          <w:szCs w:val="24"/>
        </w:rPr>
        <w:t xml:space="preserve">to </w:t>
      </w:r>
      <w:r w:rsidR="001568F1" w:rsidRPr="00686B56">
        <w:rPr>
          <w:rFonts w:ascii="Times New Roman" w:hAnsi="Times New Roman"/>
          <w:sz w:val="24"/>
          <w:szCs w:val="24"/>
        </w:rPr>
        <w:t>develop and maintain risk exposure policies to ensure that a concentration of risk in one part of, or across, a Level</w:t>
      </w:r>
      <w:r w:rsidR="008B6AEB">
        <w:rPr>
          <w:rFonts w:ascii="Times New Roman" w:hAnsi="Times New Roman"/>
          <w:sz w:val="24"/>
          <w:szCs w:val="24"/>
        </w:rPr>
        <w:t> </w:t>
      </w:r>
      <w:r w:rsidR="001568F1" w:rsidRPr="00686B56">
        <w:rPr>
          <w:rFonts w:ascii="Times New Roman" w:hAnsi="Times New Roman"/>
          <w:sz w:val="24"/>
          <w:szCs w:val="24"/>
        </w:rPr>
        <w:t xml:space="preserve">3 group must not pose a threat to the APRA-regulated institutions in the group. In order to adequately manage this risk, Level 3 groups </w:t>
      </w:r>
      <w:r w:rsidR="001568F1">
        <w:rPr>
          <w:rFonts w:ascii="Times New Roman" w:hAnsi="Times New Roman"/>
          <w:sz w:val="24"/>
          <w:szCs w:val="24"/>
        </w:rPr>
        <w:t xml:space="preserve">would be required to </w:t>
      </w:r>
      <w:r w:rsidR="001568F1" w:rsidRPr="00686B56">
        <w:rPr>
          <w:rFonts w:ascii="Times New Roman" w:hAnsi="Times New Roman"/>
          <w:sz w:val="24"/>
          <w:szCs w:val="24"/>
        </w:rPr>
        <w:t xml:space="preserve">have systems and processes in place to monitor aggregate risk exposures across the group as well as intra-group transactions and exposures. The governance, data capabilities, and risk reporting </w:t>
      </w:r>
      <w:r w:rsidR="001568F1">
        <w:rPr>
          <w:rFonts w:ascii="Times New Roman" w:hAnsi="Times New Roman"/>
          <w:sz w:val="24"/>
          <w:szCs w:val="24"/>
        </w:rPr>
        <w:t xml:space="preserve">would </w:t>
      </w:r>
      <w:r w:rsidR="001568F1" w:rsidRPr="00686B56">
        <w:rPr>
          <w:rFonts w:ascii="Times New Roman" w:hAnsi="Times New Roman"/>
          <w:sz w:val="24"/>
          <w:szCs w:val="24"/>
        </w:rPr>
        <w:t xml:space="preserve">be </w:t>
      </w:r>
      <w:r w:rsidR="001568F1">
        <w:rPr>
          <w:rFonts w:ascii="Times New Roman" w:hAnsi="Times New Roman"/>
          <w:sz w:val="24"/>
          <w:szCs w:val="24"/>
        </w:rPr>
        <w:t xml:space="preserve">required to be </w:t>
      </w:r>
      <w:r w:rsidR="001568F1" w:rsidRPr="00686B56">
        <w:rPr>
          <w:rFonts w:ascii="Times New Roman" w:hAnsi="Times New Roman"/>
          <w:sz w:val="24"/>
          <w:szCs w:val="24"/>
        </w:rPr>
        <w:t>meaningful and support decision making</w:t>
      </w:r>
      <w:r w:rsidR="001568F1">
        <w:rPr>
          <w:rFonts w:ascii="Times New Roman" w:hAnsi="Times New Roman"/>
          <w:sz w:val="24"/>
          <w:szCs w:val="24"/>
        </w:rPr>
        <w:t>.</w:t>
      </w:r>
      <w:r w:rsidR="00694853">
        <w:rPr>
          <w:rFonts w:ascii="Times New Roman" w:hAnsi="Times New Roman"/>
          <w:sz w:val="24"/>
          <w:szCs w:val="24"/>
        </w:rPr>
        <w:t xml:space="preserve"> </w:t>
      </w:r>
    </w:p>
    <w:p w14:paraId="6EF16654" w14:textId="5104EB48" w:rsidR="001568F1" w:rsidRPr="00757341" w:rsidRDefault="001568F1" w:rsidP="001568F1">
      <w:pPr>
        <w:spacing w:after="240"/>
        <w:jc w:val="both"/>
        <w:rPr>
          <w:rFonts w:ascii="Times New Roman" w:hAnsi="Times New Roman"/>
          <w:sz w:val="24"/>
          <w:szCs w:val="24"/>
        </w:rPr>
      </w:pPr>
      <w:r>
        <w:rPr>
          <w:rFonts w:ascii="Times New Roman" w:hAnsi="Times New Roman"/>
          <w:sz w:val="24"/>
          <w:szCs w:val="24"/>
        </w:rPr>
        <w:t>The capital adequacy requirements would require a</w:t>
      </w:r>
      <w:r w:rsidRPr="00757341">
        <w:rPr>
          <w:rFonts w:ascii="Times New Roman" w:hAnsi="Times New Roman"/>
          <w:sz w:val="24"/>
          <w:szCs w:val="24"/>
        </w:rPr>
        <w:t xml:space="preserve"> Level 3 group </w:t>
      </w:r>
      <w:r>
        <w:rPr>
          <w:rFonts w:ascii="Times New Roman" w:hAnsi="Times New Roman"/>
          <w:sz w:val="24"/>
          <w:szCs w:val="24"/>
        </w:rPr>
        <w:t xml:space="preserve">to </w:t>
      </w:r>
      <w:r w:rsidRPr="00757341">
        <w:rPr>
          <w:rFonts w:ascii="Times New Roman" w:hAnsi="Times New Roman"/>
          <w:sz w:val="24"/>
          <w:szCs w:val="24"/>
        </w:rPr>
        <w:t xml:space="preserve">have sufficient capital such that the ability of its APRA-regulated institutions to meet their obligations to </w:t>
      </w:r>
      <w:r w:rsidR="00763356">
        <w:rPr>
          <w:rFonts w:ascii="Times New Roman" w:hAnsi="Times New Roman"/>
          <w:sz w:val="24"/>
          <w:szCs w:val="24"/>
        </w:rPr>
        <w:t>d</w:t>
      </w:r>
      <w:r w:rsidR="00274376">
        <w:rPr>
          <w:rFonts w:ascii="Times New Roman" w:hAnsi="Times New Roman"/>
          <w:sz w:val="24"/>
          <w:szCs w:val="24"/>
        </w:rPr>
        <w:t>epositors, policyholders and</w:t>
      </w:r>
      <w:r w:rsidR="00CF6CC4">
        <w:rPr>
          <w:rFonts w:ascii="Times New Roman" w:hAnsi="Times New Roman"/>
          <w:sz w:val="24"/>
          <w:szCs w:val="24"/>
        </w:rPr>
        <w:t>/or</w:t>
      </w:r>
      <w:r w:rsidR="00274376">
        <w:rPr>
          <w:rFonts w:ascii="Times New Roman" w:hAnsi="Times New Roman"/>
          <w:sz w:val="24"/>
          <w:szCs w:val="24"/>
        </w:rPr>
        <w:t xml:space="preserve"> superannuation members</w:t>
      </w:r>
      <w:r w:rsidRPr="00757341">
        <w:rPr>
          <w:rFonts w:ascii="Times New Roman" w:hAnsi="Times New Roman"/>
          <w:sz w:val="24"/>
          <w:szCs w:val="24"/>
        </w:rPr>
        <w:t xml:space="preserve"> is not adversely impacted by risks emanating from non-APRA-regulated institutions of the group.</w:t>
      </w:r>
      <w:r>
        <w:rPr>
          <w:rFonts w:ascii="Times New Roman" w:hAnsi="Times New Roman"/>
          <w:sz w:val="24"/>
          <w:szCs w:val="24"/>
        </w:rPr>
        <w:t xml:space="preserve"> </w:t>
      </w:r>
      <w:r w:rsidR="00CB124B">
        <w:rPr>
          <w:rFonts w:ascii="Times New Roman" w:hAnsi="Times New Roman"/>
          <w:sz w:val="24"/>
          <w:szCs w:val="24"/>
        </w:rPr>
        <w:t xml:space="preserve">To ensure the level of capital held by a conglomerate group is adequate, APRA proposes </w:t>
      </w:r>
      <w:r w:rsidRPr="00757341">
        <w:rPr>
          <w:rFonts w:ascii="Times New Roman" w:hAnsi="Times New Roman"/>
          <w:sz w:val="24"/>
          <w:szCs w:val="24"/>
        </w:rPr>
        <w:t xml:space="preserve">two </w:t>
      </w:r>
      <w:r w:rsidR="00CB124B">
        <w:rPr>
          <w:rFonts w:ascii="Times New Roman" w:hAnsi="Times New Roman"/>
          <w:sz w:val="24"/>
          <w:szCs w:val="24"/>
        </w:rPr>
        <w:t>requirements</w:t>
      </w:r>
      <w:r w:rsidRPr="00757341">
        <w:rPr>
          <w:rFonts w:ascii="Times New Roman" w:hAnsi="Times New Roman"/>
          <w:sz w:val="24"/>
          <w:szCs w:val="24"/>
        </w:rPr>
        <w:t>:</w:t>
      </w:r>
    </w:p>
    <w:p w14:paraId="3DEF96C8" w14:textId="2E58C975" w:rsidR="001568F1" w:rsidRPr="00513B54" w:rsidRDefault="001568F1" w:rsidP="00513B54">
      <w:pPr>
        <w:pStyle w:val="ListParagraph"/>
      </w:pPr>
      <w:r w:rsidRPr="00513B54">
        <w:t xml:space="preserve">a Level 3 group </w:t>
      </w:r>
      <w:r w:rsidR="003030DB">
        <w:t>would be required</w:t>
      </w:r>
      <w:r w:rsidR="003030DB" w:rsidRPr="00513B54">
        <w:t xml:space="preserve"> </w:t>
      </w:r>
      <w:r w:rsidRPr="00513B54">
        <w:t>at all times have eligible capital (Level</w:t>
      </w:r>
      <w:r w:rsidR="00CF6CC4">
        <w:t> </w:t>
      </w:r>
      <w:r w:rsidRPr="00513B54">
        <w:t>3 EC) in excess of its Prudential Capital Requirement (Level 3 PCR</w:t>
      </w:r>
      <w:r w:rsidRPr="00513B54">
        <w:rPr>
          <w:rStyle w:val="FootnoteReference"/>
        </w:rPr>
        <w:footnoteReference w:id="6"/>
      </w:r>
      <w:r w:rsidRPr="00513B54">
        <w:t>); and</w:t>
      </w:r>
    </w:p>
    <w:p w14:paraId="2B7850A6" w14:textId="1F355C8E" w:rsidR="001568F1" w:rsidRPr="00513B54" w:rsidRDefault="001568F1" w:rsidP="00513B54">
      <w:pPr>
        <w:pStyle w:val="ListParagraph"/>
      </w:pPr>
      <w:r w:rsidRPr="00513B54">
        <w:t xml:space="preserve">where a non-APRA-regulated institution is undercapitalised, the Level 3 group </w:t>
      </w:r>
      <w:r w:rsidR="003030DB">
        <w:t>would be required to</w:t>
      </w:r>
      <w:r w:rsidR="003030DB" w:rsidRPr="00513B54">
        <w:t xml:space="preserve"> </w:t>
      </w:r>
      <w:r w:rsidRPr="00513B54">
        <w:t>be able to cover this shortfall in a timely manner, including in stressed conditions (capital shortfall assessment).</w:t>
      </w:r>
    </w:p>
    <w:p w14:paraId="41BAA98D" w14:textId="7F29BFE1" w:rsidR="00B56A9F" w:rsidRDefault="001568F1" w:rsidP="001568F1">
      <w:pPr>
        <w:spacing w:after="240"/>
        <w:jc w:val="both"/>
        <w:rPr>
          <w:rFonts w:ascii="Times New Roman" w:hAnsi="Times New Roman"/>
          <w:sz w:val="24"/>
          <w:szCs w:val="24"/>
        </w:rPr>
      </w:pPr>
      <w:r w:rsidRPr="00757341">
        <w:rPr>
          <w:rFonts w:ascii="Times New Roman" w:hAnsi="Times New Roman"/>
          <w:sz w:val="24"/>
          <w:szCs w:val="24"/>
        </w:rPr>
        <w:t xml:space="preserve">The Level 3 PCR </w:t>
      </w:r>
      <w:r w:rsidR="00CB124B">
        <w:rPr>
          <w:rFonts w:ascii="Times New Roman" w:hAnsi="Times New Roman"/>
          <w:sz w:val="24"/>
          <w:szCs w:val="24"/>
        </w:rPr>
        <w:t>is proposed to</w:t>
      </w:r>
      <w:r w:rsidR="00CB124B" w:rsidRPr="00757341">
        <w:rPr>
          <w:rFonts w:ascii="Times New Roman" w:hAnsi="Times New Roman"/>
          <w:sz w:val="24"/>
          <w:szCs w:val="24"/>
        </w:rPr>
        <w:t xml:space="preserve"> </w:t>
      </w:r>
      <w:r w:rsidRPr="00757341">
        <w:rPr>
          <w:rFonts w:ascii="Times New Roman" w:hAnsi="Times New Roman"/>
          <w:sz w:val="24"/>
          <w:szCs w:val="24"/>
        </w:rPr>
        <w:t xml:space="preserve">reflect all material risks to </w:t>
      </w:r>
      <w:r w:rsidR="00763356">
        <w:rPr>
          <w:rFonts w:ascii="Times New Roman" w:hAnsi="Times New Roman"/>
          <w:sz w:val="24"/>
          <w:szCs w:val="24"/>
        </w:rPr>
        <w:t>d</w:t>
      </w:r>
      <w:r w:rsidR="00274376">
        <w:rPr>
          <w:rFonts w:ascii="Times New Roman" w:hAnsi="Times New Roman"/>
          <w:sz w:val="24"/>
          <w:szCs w:val="24"/>
        </w:rPr>
        <w:t>epositors, policyholders and</w:t>
      </w:r>
      <w:r w:rsidR="00CF6CC4">
        <w:rPr>
          <w:rFonts w:ascii="Times New Roman" w:hAnsi="Times New Roman"/>
          <w:sz w:val="24"/>
          <w:szCs w:val="24"/>
        </w:rPr>
        <w:t>/or</w:t>
      </w:r>
      <w:r w:rsidR="00274376">
        <w:rPr>
          <w:rFonts w:ascii="Times New Roman" w:hAnsi="Times New Roman"/>
          <w:sz w:val="24"/>
          <w:szCs w:val="24"/>
        </w:rPr>
        <w:t xml:space="preserve"> superannuation members</w:t>
      </w:r>
      <w:r w:rsidRPr="00757341">
        <w:rPr>
          <w:rFonts w:ascii="Times New Roman" w:hAnsi="Times New Roman"/>
          <w:sz w:val="24"/>
          <w:szCs w:val="24"/>
        </w:rPr>
        <w:t xml:space="preserve"> of the Level 3 group</w:t>
      </w:r>
      <w:r w:rsidR="00DE2317">
        <w:rPr>
          <w:rFonts w:ascii="Times New Roman" w:hAnsi="Times New Roman"/>
          <w:sz w:val="24"/>
          <w:szCs w:val="24"/>
        </w:rPr>
        <w:t>.</w:t>
      </w:r>
      <w:r w:rsidR="00CB124B">
        <w:rPr>
          <w:rFonts w:ascii="Times New Roman" w:hAnsi="Times New Roman"/>
          <w:sz w:val="24"/>
          <w:szCs w:val="24"/>
        </w:rPr>
        <w:t xml:space="preserve"> </w:t>
      </w:r>
      <w:r w:rsidR="00DE2317">
        <w:rPr>
          <w:rFonts w:ascii="Times New Roman" w:hAnsi="Times New Roman"/>
          <w:sz w:val="24"/>
          <w:szCs w:val="24"/>
        </w:rPr>
        <w:t>W</w:t>
      </w:r>
      <w:r>
        <w:rPr>
          <w:rFonts w:ascii="Times New Roman" w:hAnsi="Times New Roman"/>
          <w:sz w:val="24"/>
          <w:szCs w:val="24"/>
        </w:rPr>
        <w:t xml:space="preserve">here </w:t>
      </w:r>
      <w:r w:rsidRPr="00757341">
        <w:rPr>
          <w:rFonts w:ascii="Times New Roman" w:hAnsi="Times New Roman"/>
          <w:sz w:val="24"/>
          <w:szCs w:val="24"/>
        </w:rPr>
        <w:t>non-APRA-regulated activities</w:t>
      </w:r>
      <w:r>
        <w:rPr>
          <w:rFonts w:ascii="Times New Roman" w:hAnsi="Times New Roman"/>
          <w:sz w:val="24"/>
          <w:szCs w:val="24"/>
        </w:rPr>
        <w:t xml:space="preserve"> do not expose </w:t>
      </w:r>
      <w:r w:rsidR="00D63542">
        <w:rPr>
          <w:rFonts w:ascii="Times New Roman" w:hAnsi="Times New Roman"/>
          <w:sz w:val="24"/>
          <w:szCs w:val="24"/>
        </w:rPr>
        <w:t xml:space="preserve">these </w:t>
      </w:r>
      <w:r>
        <w:rPr>
          <w:rFonts w:ascii="Times New Roman" w:hAnsi="Times New Roman"/>
          <w:sz w:val="24"/>
          <w:szCs w:val="24"/>
        </w:rPr>
        <w:t xml:space="preserve">beneficiaries to </w:t>
      </w:r>
      <w:r w:rsidR="00CB124B">
        <w:rPr>
          <w:rFonts w:ascii="Times New Roman" w:hAnsi="Times New Roman"/>
          <w:sz w:val="24"/>
          <w:szCs w:val="24"/>
        </w:rPr>
        <w:t xml:space="preserve">material </w:t>
      </w:r>
      <w:r>
        <w:rPr>
          <w:rFonts w:ascii="Times New Roman" w:hAnsi="Times New Roman"/>
          <w:sz w:val="24"/>
          <w:szCs w:val="24"/>
        </w:rPr>
        <w:t>risk</w:t>
      </w:r>
      <w:r w:rsidR="00CB124B">
        <w:rPr>
          <w:rFonts w:ascii="Times New Roman" w:hAnsi="Times New Roman"/>
          <w:sz w:val="24"/>
          <w:szCs w:val="24"/>
        </w:rPr>
        <w:t>,</w:t>
      </w:r>
      <w:r>
        <w:rPr>
          <w:rFonts w:ascii="Times New Roman" w:hAnsi="Times New Roman"/>
          <w:sz w:val="24"/>
          <w:szCs w:val="24"/>
        </w:rPr>
        <w:t xml:space="preserve"> these activities </w:t>
      </w:r>
      <w:r w:rsidR="003030DB">
        <w:rPr>
          <w:rFonts w:ascii="Times New Roman" w:hAnsi="Times New Roman"/>
          <w:sz w:val="24"/>
          <w:szCs w:val="24"/>
        </w:rPr>
        <w:t xml:space="preserve">would </w:t>
      </w:r>
      <w:r>
        <w:rPr>
          <w:rFonts w:ascii="Times New Roman" w:hAnsi="Times New Roman"/>
          <w:sz w:val="24"/>
          <w:szCs w:val="24"/>
        </w:rPr>
        <w:t xml:space="preserve">not </w:t>
      </w:r>
      <w:r w:rsidR="003030DB">
        <w:rPr>
          <w:rFonts w:ascii="Times New Roman" w:hAnsi="Times New Roman"/>
          <w:sz w:val="24"/>
          <w:szCs w:val="24"/>
        </w:rPr>
        <w:t xml:space="preserve">be </w:t>
      </w:r>
      <w:r>
        <w:rPr>
          <w:rFonts w:ascii="Times New Roman" w:hAnsi="Times New Roman"/>
          <w:sz w:val="24"/>
          <w:szCs w:val="24"/>
        </w:rPr>
        <w:t>included in the Level 3 PCR.</w:t>
      </w:r>
      <w:r w:rsidRPr="00513B54">
        <w:rPr>
          <w:rStyle w:val="StyleFootnoteReference12pt"/>
        </w:rPr>
        <w:footnoteReference w:id="7"/>
      </w:r>
      <w:r w:rsidR="00B56A9F">
        <w:rPr>
          <w:rFonts w:ascii="Times New Roman" w:hAnsi="Times New Roman"/>
          <w:sz w:val="24"/>
          <w:szCs w:val="24"/>
        </w:rPr>
        <w:t xml:space="preserve"> </w:t>
      </w:r>
      <w:r w:rsidR="00DE2317">
        <w:rPr>
          <w:rFonts w:ascii="Times New Roman" w:hAnsi="Times New Roman"/>
          <w:sz w:val="24"/>
          <w:szCs w:val="24"/>
        </w:rPr>
        <w:t>T</w:t>
      </w:r>
      <w:r w:rsidR="00EA4735">
        <w:rPr>
          <w:rFonts w:ascii="Times New Roman" w:hAnsi="Times New Roman"/>
          <w:sz w:val="24"/>
          <w:szCs w:val="24"/>
        </w:rPr>
        <w:t xml:space="preserve">he </w:t>
      </w:r>
      <w:r w:rsidR="00B56A9F">
        <w:rPr>
          <w:rFonts w:ascii="Times New Roman" w:hAnsi="Times New Roman"/>
          <w:sz w:val="24"/>
          <w:szCs w:val="24"/>
        </w:rPr>
        <w:t xml:space="preserve">group </w:t>
      </w:r>
      <w:r w:rsidR="00DE2317">
        <w:rPr>
          <w:rFonts w:ascii="Times New Roman" w:hAnsi="Times New Roman"/>
          <w:sz w:val="24"/>
          <w:szCs w:val="24"/>
        </w:rPr>
        <w:t xml:space="preserve">therefore </w:t>
      </w:r>
      <w:r w:rsidR="00B56A9F">
        <w:rPr>
          <w:rFonts w:ascii="Times New Roman" w:hAnsi="Times New Roman"/>
          <w:sz w:val="24"/>
          <w:szCs w:val="24"/>
        </w:rPr>
        <w:t>need</w:t>
      </w:r>
      <w:r w:rsidR="00DE2317">
        <w:rPr>
          <w:rFonts w:ascii="Times New Roman" w:hAnsi="Times New Roman"/>
          <w:sz w:val="24"/>
          <w:szCs w:val="24"/>
        </w:rPr>
        <w:t xml:space="preserve"> only</w:t>
      </w:r>
      <w:r w:rsidR="00B56A9F">
        <w:rPr>
          <w:rFonts w:ascii="Times New Roman" w:hAnsi="Times New Roman"/>
          <w:sz w:val="24"/>
          <w:szCs w:val="24"/>
        </w:rPr>
        <w:t xml:space="preserve"> have </w:t>
      </w:r>
      <w:r w:rsidR="00EA4735">
        <w:rPr>
          <w:rFonts w:ascii="Times New Roman" w:hAnsi="Times New Roman"/>
          <w:sz w:val="24"/>
          <w:szCs w:val="24"/>
        </w:rPr>
        <w:t xml:space="preserve">sufficient </w:t>
      </w:r>
      <w:r w:rsidR="00B56A9F">
        <w:rPr>
          <w:rFonts w:ascii="Times New Roman" w:hAnsi="Times New Roman"/>
          <w:sz w:val="24"/>
          <w:szCs w:val="24"/>
        </w:rPr>
        <w:t xml:space="preserve">loss absorbing capital to protect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sidR="00EA4735">
        <w:rPr>
          <w:rFonts w:ascii="Times New Roman" w:hAnsi="Times New Roman"/>
          <w:sz w:val="24"/>
          <w:szCs w:val="24"/>
        </w:rPr>
        <w:t xml:space="preserve"> </w:t>
      </w:r>
      <w:r w:rsidR="005244C3">
        <w:rPr>
          <w:rFonts w:ascii="Times New Roman" w:hAnsi="Times New Roman"/>
          <w:sz w:val="24"/>
          <w:szCs w:val="24"/>
        </w:rPr>
        <w:t xml:space="preserve">against </w:t>
      </w:r>
      <w:r w:rsidR="00EA4735">
        <w:rPr>
          <w:rFonts w:ascii="Times New Roman" w:hAnsi="Times New Roman"/>
          <w:sz w:val="24"/>
          <w:szCs w:val="24"/>
        </w:rPr>
        <w:t xml:space="preserve">the risks </w:t>
      </w:r>
      <w:r w:rsidR="005244C3">
        <w:rPr>
          <w:rFonts w:ascii="Times New Roman" w:hAnsi="Times New Roman"/>
          <w:sz w:val="24"/>
          <w:szCs w:val="24"/>
        </w:rPr>
        <w:t xml:space="preserve">from </w:t>
      </w:r>
      <w:r w:rsidR="00B56A9F">
        <w:rPr>
          <w:rFonts w:ascii="Times New Roman" w:hAnsi="Times New Roman"/>
          <w:sz w:val="24"/>
          <w:szCs w:val="24"/>
        </w:rPr>
        <w:t xml:space="preserve">non-APRA-regulated </w:t>
      </w:r>
      <w:r w:rsidR="00921619">
        <w:rPr>
          <w:rFonts w:ascii="Times New Roman" w:hAnsi="Times New Roman"/>
          <w:sz w:val="24"/>
          <w:szCs w:val="24"/>
        </w:rPr>
        <w:t>activities</w:t>
      </w:r>
      <w:r w:rsidR="00B56A9F">
        <w:rPr>
          <w:rFonts w:ascii="Times New Roman" w:hAnsi="Times New Roman"/>
          <w:sz w:val="24"/>
          <w:szCs w:val="24"/>
        </w:rPr>
        <w:t xml:space="preserve"> of </w:t>
      </w:r>
      <w:r w:rsidR="00921619">
        <w:rPr>
          <w:rFonts w:ascii="Times New Roman" w:hAnsi="Times New Roman"/>
          <w:sz w:val="24"/>
          <w:szCs w:val="24"/>
        </w:rPr>
        <w:t>a</w:t>
      </w:r>
      <w:r w:rsidR="00B56A9F">
        <w:rPr>
          <w:rFonts w:ascii="Times New Roman" w:hAnsi="Times New Roman"/>
          <w:sz w:val="24"/>
          <w:szCs w:val="24"/>
        </w:rPr>
        <w:t xml:space="preserve"> group</w:t>
      </w:r>
      <w:r w:rsidR="00DE2317">
        <w:rPr>
          <w:rFonts w:ascii="Times New Roman" w:hAnsi="Times New Roman"/>
          <w:sz w:val="24"/>
          <w:szCs w:val="24"/>
        </w:rPr>
        <w:t xml:space="preserve">; any risks from non-APRA-regulated subsidiaries that do not lead to material risks to </w:t>
      </w:r>
      <w:r w:rsidR="00D63542">
        <w:rPr>
          <w:rFonts w:ascii="Times New Roman" w:hAnsi="Times New Roman"/>
          <w:sz w:val="24"/>
          <w:szCs w:val="24"/>
        </w:rPr>
        <w:t xml:space="preserve">these </w:t>
      </w:r>
      <w:r w:rsidR="00DE2317">
        <w:rPr>
          <w:rFonts w:ascii="Times New Roman" w:hAnsi="Times New Roman"/>
          <w:sz w:val="24"/>
          <w:szCs w:val="24"/>
        </w:rPr>
        <w:t xml:space="preserve">beneficiaries </w:t>
      </w:r>
      <w:r w:rsidR="00D63542">
        <w:rPr>
          <w:rFonts w:ascii="Times New Roman" w:hAnsi="Times New Roman"/>
          <w:sz w:val="24"/>
          <w:szCs w:val="24"/>
        </w:rPr>
        <w:t>—</w:t>
      </w:r>
      <w:r w:rsidR="00DE2317">
        <w:rPr>
          <w:rFonts w:ascii="Times New Roman" w:hAnsi="Times New Roman"/>
          <w:sz w:val="24"/>
          <w:szCs w:val="24"/>
        </w:rPr>
        <w:t xml:space="preserve"> even if those risks are material to the standalone non-APRA-regulated subsidiary </w:t>
      </w:r>
      <w:r w:rsidR="00D63542">
        <w:rPr>
          <w:rFonts w:ascii="Times New Roman" w:hAnsi="Times New Roman"/>
          <w:sz w:val="24"/>
          <w:szCs w:val="24"/>
        </w:rPr>
        <w:t>—</w:t>
      </w:r>
      <w:r w:rsidR="00DE2317">
        <w:rPr>
          <w:rFonts w:ascii="Times New Roman" w:hAnsi="Times New Roman"/>
          <w:sz w:val="24"/>
          <w:szCs w:val="24"/>
        </w:rPr>
        <w:t xml:space="preserve"> </w:t>
      </w:r>
      <w:r w:rsidR="003030DB">
        <w:rPr>
          <w:rFonts w:ascii="Times New Roman" w:hAnsi="Times New Roman"/>
          <w:sz w:val="24"/>
          <w:szCs w:val="24"/>
        </w:rPr>
        <w:t xml:space="preserve">would be </w:t>
      </w:r>
      <w:r w:rsidR="00DE2317">
        <w:rPr>
          <w:rFonts w:ascii="Times New Roman" w:hAnsi="Times New Roman"/>
          <w:sz w:val="24"/>
          <w:szCs w:val="24"/>
        </w:rPr>
        <w:t>excluded from the Level 3 PCR</w:t>
      </w:r>
      <w:r w:rsidR="00B56A9F">
        <w:rPr>
          <w:rFonts w:ascii="Times New Roman" w:hAnsi="Times New Roman"/>
          <w:sz w:val="24"/>
          <w:szCs w:val="24"/>
        </w:rPr>
        <w:t>.</w:t>
      </w:r>
    </w:p>
    <w:p w14:paraId="3107575F" w14:textId="2C2ECCB4" w:rsidR="005244C3" w:rsidRDefault="00EA4735" w:rsidP="001568F1">
      <w:pPr>
        <w:spacing w:after="240"/>
        <w:jc w:val="both"/>
        <w:rPr>
          <w:rFonts w:ascii="Times New Roman" w:hAnsi="Times New Roman"/>
          <w:sz w:val="24"/>
          <w:szCs w:val="24"/>
        </w:rPr>
      </w:pPr>
      <w:r>
        <w:rPr>
          <w:rFonts w:ascii="Times New Roman" w:hAnsi="Times New Roman"/>
          <w:sz w:val="24"/>
          <w:szCs w:val="24"/>
        </w:rPr>
        <w:t>APRA</w:t>
      </w:r>
      <w:r w:rsidR="003030DB">
        <w:rPr>
          <w:rFonts w:ascii="Times New Roman" w:hAnsi="Times New Roman"/>
          <w:sz w:val="24"/>
          <w:szCs w:val="24"/>
        </w:rPr>
        <w:t xml:space="preserve"> </w:t>
      </w:r>
      <w:r w:rsidR="00D708ED">
        <w:rPr>
          <w:rFonts w:ascii="Times New Roman" w:hAnsi="Times New Roman"/>
          <w:sz w:val="24"/>
          <w:szCs w:val="24"/>
        </w:rPr>
        <w:t>proposes</w:t>
      </w:r>
      <w:r w:rsidR="003030DB">
        <w:rPr>
          <w:rFonts w:ascii="Times New Roman" w:hAnsi="Times New Roman"/>
          <w:sz w:val="24"/>
          <w:szCs w:val="24"/>
        </w:rPr>
        <w:t xml:space="preserve"> that it</w:t>
      </w:r>
      <w:r>
        <w:rPr>
          <w:rFonts w:ascii="Times New Roman" w:hAnsi="Times New Roman"/>
          <w:sz w:val="24"/>
          <w:szCs w:val="24"/>
        </w:rPr>
        <w:t xml:space="preserve">s existing Level 1 and Level 2 regulatory frameworks </w:t>
      </w:r>
      <w:r w:rsidR="003030DB">
        <w:rPr>
          <w:rFonts w:ascii="Times New Roman" w:hAnsi="Times New Roman"/>
          <w:sz w:val="24"/>
          <w:szCs w:val="24"/>
        </w:rPr>
        <w:t xml:space="preserve">would </w:t>
      </w:r>
      <w:r>
        <w:rPr>
          <w:rFonts w:ascii="Times New Roman" w:hAnsi="Times New Roman"/>
          <w:sz w:val="24"/>
          <w:szCs w:val="24"/>
        </w:rPr>
        <w:t>remain</w:t>
      </w:r>
      <w:r w:rsidR="00DE2317">
        <w:rPr>
          <w:rFonts w:ascii="Times New Roman" w:hAnsi="Times New Roman"/>
          <w:sz w:val="24"/>
          <w:szCs w:val="24"/>
        </w:rPr>
        <w:t xml:space="preserve"> in place</w:t>
      </w:r>
      <w:r>
        <w:rPr>
          <w:rFonts w:ascii="Times New Roman" w:hAnsi="Times New Roman"/>
          <w:sz w:val="24"/>
          <w:szCs w:val="24"/>
        </w:rPr>
        <w:t xml:space="preserve">, requiring APRA-regulated institutions </w:t>
      </w:r>
      <w:r w:rsidR="00EC450C">
        <w:rPr>
          <w:rFonts w:ascii="Times New Roman" w:hAnsi="Times New Roman"/>
          <w:sz w:val="24"/>
          <w:szCs w:val="24"/>
        </w:rPr>
        <w:t xml:space="preserve">in a group </w:t>
      </w:r>
      <w:r>
        <w:rPr>
          <w:rFonts w:ascii="Times New Roman" w:hAnsi="Times New Roman"/>
          <w:sz w:val="24"/>
          <w:szCs w:val="24"/>
        </w:rPr>
        <w:t>to be adequately capitalised</w:t>
      </w:r>
      <w:r w:rsidR="00921619">
        <w:rPr>
          <w:rFonts w:ascii="Times New Roman" w:hAnsi="Times New Roman"/>
          <w:sz w:val="24"/>
          <w:szCs w:val="24"/>
        </w:rPr>
        <w:t xml:space="preserve"> at a</w:t>
      </w:r>
      <w:r w:rsidR="00DE2317">
        <w:rPr>
          <w:rFonts w:ascii="Times New Roman" w:hAnsi="Times New Roman"/>
          <w:sz w:val="24"/>
          <w:szCs w:val="24"/>
        </w:rPr>
        <w:t xml:space="preserve"> standalone and single industry</w:t>
      </w:r>
      <w:r w:rsidR="00921619">
        <w:rPr>
          <w:rFonts w:ascii="Times New Roman" w:hAnsi="Times New Roman"/>
          <w:sz w:val="24"/>
          <w:szCs w:val="24"/>
        </w:rPr>
        <w:t xml:space="preserve"> level. </w:t>
      </w:r>
      <w:r w:rsidR="008B7B54">
        <w:rPr>
          <w:rFonts w:ascii="Times New Roman" w:hAnsi="Times New Roman"/>
          <w:sz w:val="24"/>
          <w:szCs w:val="24"/>
        </w:rPr>
        <w:t xml:space="preserve">However, APRA </w:t>
      </w:r>
      <w:r w:rsidR="003030DB">
        <w:rPr>
          <w:rFonts w:ascii="Times New Roman" w:hAnsi="Times New Roman"/>
          <w:sz w:val="24"/>
          <w:szCs w:val="24"/>
        </w:rPr>
        <w:t xml:space="preserve">would </w:t>
      </w:r>
      <w:r w:rsidR="008B7B54">
        <w:rPr>
          <w:rFonts w:ascii="Times New Roman" w:hAnsi="Times New Roman"/>
          <w:sz w:val="24"/>
          <w:szCs w:val="24"/>
        </w:rPr>
        <w:t xml:space="preserve">not require non-APRA-regulated institutions to hold </w:t>
      </w:r>
      <w:r w:rsidR="00090297">
        <w:rPr>
          <w:rFonts w:ascii="Times New Roman" w:hAnsi="Times New Roman"/>
          <w:sz w:val="24"/>
          <w:szCs w:val="24"/>
        </w:rPr>
        <w:t xml:space="preserve">locally any </w:t>
      </w:r>
      <w:r w:rsidR="008B7B54">
        <w:rPr>
          <w:rFonts w:ascii="Times New Roman" w:hAnsi="Times New Roman"/>
          <w:sz w:val="24"/>
          <w:szCs w:val="24"/>
        </w:rPr>
        <w:t xml:space="preserve">capital </w:t>
      </w:r>
      <w:r w:rsidR="00090297">
        <w:rPr>
          <w:rFonts w:ascii="Times New Roman" w:hAnsi="Times New Roman"/>
          <w:sz w:val="24"/>
          <w:szCs w:val="24"/>
        </w:rPr>
        <w:t xml:space="preserve">needed </w:t>
      </w:r>
      <w:r w:rsidR="008B7B54">
        <w:rPr>
          <w:rFonts w:ascii="Times New Roman" w:hAnsi="Times New Roman"/>
          <w:sz w:val="24"/>
          <w:szCs w:val="24"/>
        </w:rPr>
        <w:t xml:space="preserve">to cover their contribution to the Level 3 PCR. </w:t>
      </w:r>
      <w:r w:rsidR="00090297">
        <w:rPr>
          <w:rFonts w:ascii="Times New Roman" w:hAnsi="Times New Roman"/>
          <w:sz w:val="24"/>
          <w:szCs w:val="24"/>
        </w:rPr>
        <w:t>(</w:t>
      </w:r>
      <w:r w:rsidR="00EC450C">
        <w:rPr>
          <w:rFonts w:ascii="Times New Roman" w:hAnsi="Times New Roman"/>
          <w:sz w:val="24"/>
          <w:szCs w:val="24"/>
        </w:rPr>
        <w:t xml:space="preserve">The ‘Problem’ section above explains why non-APRA-regulated institutions </w:t>
      </w:r>
      <w:r w:rsidR="008B7B54">
        <w:rPr>
          <w:rFonts w:ascii="Times New Roman" w:hAnsi="Times New Roman"/>
          <w:sz w:val="24"/>
          <w:szCs w:val="24"/>
        </w:rPr>
        <w:t xml:space="preserve">in a group </w:t>
      </w:r>
      <w:r w:rsidR="00EC450C">
        <w:rPr>
          <w:rFonts w:ascii="Times New Roman" w:hAnsi="Times New Roman"/>
          <w:sz w:val="24"/>
          <w:szCs w:val="24"/>
        </w:rPr>
        <w:t xml:space="preserve">can </w:t>
      </w:r>
      <w:r w:rsidR="0083299D">
        <w:rPr>
          <w:rFonts w:ascii="Times New Roman" w:hAnsi="Times New Roman"/>
          <w:sz w:val="24"/>
          <w:szCs w:val="24"/>
        </w:rPr>
        <w:t>be undercapitalised</w:t>
      </w:r>
      <w:r w:rsidR="00EC450C">
        <w:rPr>
          <w:rFonts w:ascii="Times New Roman" w:hAnsi="Times New Roman"/>
          <w:sz w:val="24"/>
          <w:szCs w:val="24"/>
        </w:rPr>
        <w:t xml:space="preserve">, and the risks associated with </w:t>
      </w:r>
      <w:r w:rsidR="00B439F9">
        <w:rPr>
          <w:rFonts w:ascii="Times New Roman" w:hAnsi="Times New Roman"/>
          <w:sz w:val="24"/>
          <w:szCs w:val="24"/>
        </w:rPr>
        <w:t>this reduced ability to absorb losses</w:t>
      </w:r>
      <w:r w:rsidR="00EC450C">
        <w:rPr>
          <w:rFonts w:ascii="Times New Roman" w:hAnsi="Times New Roman"/>
          <w:sz w:val="24"/>
          <w:szCs w:val="24"/>
        </w:rPr>
        <w:t>.</w:t>
      </w:r>
      <w:r w:rsidR="00090297">
        <w:rPr>
          <w:rFonts w:ascii="Times New Roman" w:hAnsi="Times New Roman"/>
          <w:sz w:val="24"/>
          <w:szCs w:val="24"/>
        </w:rPr>
        <w:t>)</w:t>
      </w:r>
      <w:r w:rsidR="00EC450C">
        <w:rPr>
          <w:rFonts w:ascii="Times New Roman" w:hAnsi="Times New Roman"/>
          <w:sz w:val="24"/>
          <w:szCs w:val="24"/>
        </w:rPr>
        <w:t xml:space="preserve"> APRA proposes </w:t>
      </w:r>
      <w:r w:rsidR="00090297">
        <w:rPr>
          <w:rFonts w:ascii="Times New Roman" w:hAnsi="Times New Roman"/>
          <w:sz w:val="24"/>
          <w:szCs w:val="24"/>
        </w:rPr>
        <w:t xml:space="preserve">instead that a </w:t>
      </w:r>
      <w:r w:rsidR="00AB6134">
        <w:rPr>
          <w:rFonts w:ascii="Times New Roman" w:hAnsi="Times New Roman"/>
          <w:sz w:val="24"/>
          <w:szCs w:val="24"/>
        </w:rPr>
        <w:t>group</w:t>
      </w:r>
      <w:r w:rsidR="00090297">
        <w:rPr>
          <w:rFonts w:ascii="Times New Roman" w:hAnsi="Times New Roman"/>
          <w:sz w:val="24"/>
          <w:szCs w:val="24"/>
        </w:rPr>
        <w:t xml:space="preserve"> </w:t>
      </w:r>
      <w:r w:rsidR="003030DB">
        <w:rPr>
          <w:rFonts w:ascii="Times New Roman" w:hAnsi="Times New Roman"/>
          <w:sz w:val="24"/>
          <w:szCs w:val="24"/>
        </w:rPr>
        <w:t xml:space="preserve">be </w:t>
      </w:r>
      <w:r w:rsidR="00090297">
        <w:rPr>
          <w:rFonts w:ascii="Times New Roman" w:hAnsi="Times New Roman"/>
          <w:sz w:val="24"/>
          <w:szCs w:val="24"/>
        </w:rPr>
        <w:t xml:space="preserve">able </w:t>
      </w:r>
      <w:r w:rsidR="0083299D">
        <w:rPr>
          <w:rFonts w:ascii="Times New Roman" w:hAnsi="Times New Roman"/>
          <w:sz w:val="24"/>
          <w:szCs w:val="24"/>
        </w:rPr>
        <w:t xml:space="preserve">to </w:t>
      </w:r>
      <w:r w:rsidR="00AB6134">
        <w:rPr>
          <w:rFonts w:ascii="Times New Roman" w:hAnsi="Times New Roman"/>
          <w:sz w:val="24"/>
          <w:szCs w:val="24"/>
        </w:rPr>
        <w:t xml:space="preserve">demonstrate that capital can be </w:t>
      </w:r>
      <w:r w:rsidR="0083299D">
        <w:rPr>
          <w:rFonts w:ascii="Times New Roman" w:hAnsi="Times New Roman"/>
          <w:sz w:val="24"/>
          <w:szCs w:val="24"/>
        </w:rPr>
        <w:t xml:space="preserve">transferred </w:t>
      </w:r>
      <w:r w:rsidR="00AB6134">
        <w:rPr>
          <w:rFonts w:ascii="Times New Roman" w:hAnsi="Times New Roman"/>
          <w:sz w:val="24"/>
          <w:szCs w:val="24"/>
        </w:rPr>
        <w:t xml:space="preserve">to </w:t>
      </w:r>
      <w:r w:rsidR="00090297">
        <w:rPr>
          <w:rFonts w:ascii="Times New Roman" w:hAnsi="Times New Roman"/>
          <w:sz w:val="24"/>
          <w:szCs w:val="24"/>
        </w:rPr>
        <w:t xml:space="preserve">undercapitalised non-APRA-regulated </w:t>
      </w:r>
      <w:r w:rsidR="00AB6134">
        <w:rPr>
          <w:rFonts w:ascii="Times New Roman" w:hAnsi="Times New Roman"/>
          <w:sz w:val="24"/>
          <w:szCs w:val="24"/>
        </w:rPr>
        <w:t xml:space="preserve">institutions </w:t>
      </w:r>
      <w:r w:rsidR="00B439F9">
        <w:rPr>
          <w:rFonts w:ascii="Times New Roman" w:hAnsi="Times New Roman"/>
          <w:sz w:val="24"/>
          <w:szCs w:val="24"/>
        </w:rPr>
        <w:t xml:space="preserve">to absorb losses </w:t>
      </w:r>
      <w:r w:rsidR="00AB6134">
        <w:rPr>
          <w:rFonts w:ascii="Times New Roman" w:hAnsi="Times New Roman"/>
          <w:sz w:val="24"/>
          <w:szCs w:val="24"/>
        </w:rPr>
        <w:t xml:space="preserve">as and when the need arises. </w:t>
      </w:r>
      <w:r w:rsidR="00352CF3">
        <w:rPr>
          <w:rFonts w:ascii="Times New Roman" w:hAnsi="Times New Roman"/>
          <w:sz w:val="24"/>
          <w:szCs w:val="24"/>
        </w:rPr>
        <w:t xml:space="preserve">For example, where a non-APRA-regulated institution contributes $100 to the Level 3 PCR and only holds </w:t>
      </w:r>
      <w:r w:rsidR="008148B4">
        <w:rPr>
          <w:rFonts w:ascii="Times New Roman" w:hAnsi="Times New Roman"/>
          <w:sz w:val="24"/>
          <w:szCs w:val="24"/>
        </w:rPr>
        <w:t xml:space="preserve">Level 3 EC worth </w:t>
      </w:r>
      <w:r w:rsidR="00352CF3">
        <w:rPr>
          <w:rFonts w:ascii="Times New Roman" w:hAnsi="Times New Roman"/>
          <w:sz w:val="24"/>
          <w:szCs w:val="24"/>
        </w:rPr>
        <w:t xml:space="preserve">$50, the group </w:t>
      </w:r>
      <w:r w:rsidR="003030DB">
        <w:rPr>
          <w:rFonts w:ascii="Times New Roman" w:hAnsi="Times New Roman"/>
          <w:sz w:val="24"/>
          <w:szCs w:val="24"/>
        </w:rPr>
        <w:t xml:space="preserve">would </w:t>
      </w:r>
      <w:r w:rsidR="00352CF3">
        <w:rPr>
          <w:rFonts w:ascii="Times New Roman" w:hAnsi="Times New Roman"/>
          <w:sz w:val="24"/>
          <w:szCs w:val="24"/>
        </w:rPr>
        <w:t xml:space="preserve">need to demonstrate that there is an additional $50 somewhere in the rest of the group that can be transferred, without hindrance, to that institution if the need arises. </w:t>
      </w:r>
      <w:r w:rsidR="00DF0810">
        <w:rPr>
          <w:rFonts w:ascii="Times New Roman" w:hAnsi="Times New Roman"/>
          <w:sz w:val="24"/>
          <w:szCs w:val="24"/>
        </w:rPr>
        <w:t>The second requirement acknowledges that t</w:t>
      </w:r>
      <w:r w:rsidR="00AB6134">
        <w:rPr>
          <w:rFonts w:ascii="Times New Roman" w:hAnsi="Times New Roman"/>
          <w:sz w:val="24"/>
          <w:szCs w:val="24"/>
        </w:rPr>
        <w:t xml:space="preserve">he amount </w:t>
      </w:r>
      <w:r w:rsidR="008148B4">
        <w:rPr>
          <w:rFonts w:ascii="Times New Roman" w:hAnsi="Times New Roman"/>
          <w:sz w:val="24"/>
          <w:szCs w:val="24"/>
        </w:rPr>
        <w:t>of transferable</w:t>
      </w:r>
      <w:r w:rsidR="00B439F9">
        <w:rPr>
          <w:rFonts w:ascii="Times New Roman" w:hAnsi="Times New Roman"/>
          <w:sz w:val="24"/>
          <w:szCs w:val="24"/>
        </w:rPr>
        <w:t xml:space="preserve"> </w:t>
      </w:r>
      <w:r w:rsidR="00AB6134">
        <w:rPr>
          <w:rFonts w:ascii="Times New Roman" w:hAnsi="Times New Roman"/>
          <w:sz w:val="24"/>
          <w:szCs w:val="24"/>
        </w:rPr>
        <w:t xml:space="preserve">capital </w:t>
      </w:r>
      <w:r w:rsidR="00DC08E2">
        <w:rPr>
          <w:rFonts w:ascii="Times New Roman" w:hAnsi="Times New Roman"/>
          <w:sz w:val="24"/>
          <w:szCs w:val="24"/>
        </w:rPr>
        <w:t xml:space="preserve">needed </w:t>
      </w:r>
      <w:r w:rsidR="00AB6134">
        <w:rPr>
          <w:rFonts w:ascii="Times New Roman" w:hAnsi="Times New Roman"/>
          <w:sz w:val="24"/>
          <w:szCs w:val="24"/>
        </w:rPr>
        <w:t>depends on the degree that non-APRA-regulated institutions are undercapitalised</w:t>
      </w:r>
      <w:r w:rsidR="008148B4">
        <w:rPr>
          <w:rFonts w:ascii="Times New Roman" w:hAnsi="Times New Roman"/>
          <w:sz w:val="24"/>
          <w:szCs w:val="24"/>
        </w:rPr>
        <w:t>, and the availability of that transferable capital may change under stressed conditions</w:t>
      </w:r>
      <w:r w:rsidR="00AB6134">
        <w:rPr>
          <w:rFonts w:ascii="Times New Roman" w:hAnsi="Times New Roman"/>
          <w:sz w:val="24"/>
          <w:szCs w:val="24"/>
        </w:rPr>
        <w:t>.</w:t>
      </w:r>
    </w:p>
    <w:p w14:paraId="01AFA67E" w14:textId="5211696D" w:rsidR="003E24B1" w:rsidRDefault="004C567C" w:rsidP="003E24B1">
      <w:pPr>
        <w:spacing w:after="240"/>
        <w:jc w:val="both"/>
        <w:rPr>
          <w:rFonts w:ascii="Times New Roman" w:hAnsi="Times New Roman"/>
          <w:sz w:val="24"/>
          <w:szCs w:val="24"/>
        </w:rPr>
      </w:pPr>
      <w:r>
        <w:rPr>
          <w:rFonts w:ascii="Times New Roman" w:hAnsi="Times New Roman"/>
          <w:sz w:val="24"/>
          <w:szCs w:val="24"/>
        </w:rPr>
        <w:t xml:space="preserve">APRA considers a group that meets these two requirements to have adequate capital to protect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Pr>
          <w:rFonts w:ascii="Times New Roman" w:hAnsi="Times New Roman"/>
          <w:sz w:val="24"/>
          <w:szCs w:val="24"/>
        </w:rPr>
        <w:t xml:space="preserve"> from the material risks </w:t>
      </w:r>
      <w:r w:rsidR="00405632">
        <w:rPr>
          <w:rFonts w:ascii="Times New Roman" w:hAnsi="Times New Roman"/>
          <w:sz w:val="24"/>
          <w:szCs w:val="24"/>
        </w:rPr>
        <w:t xml:space="preserve">posed by </w:t>
      </w:r>
      <w:r>
        <w:rPr>
          <w:rFonts w:ascii="Times New Roman" w:hAnsi="Times New Roman"/>
          <w:sz w:val="24"/>
          <w:szCs w:val="24"/>
        </w:rPr>
        <w:t xml:space="preserve">non-APRA-regulated institutions in the group. </w:t>
      </w:r>
      <w:r w:rsidR="001568F1">
        <w:rPr>
          <w:rFonts w:ascii="Times New Roman" w:hAnsi="Times New Roman"/>
          <w:sz w:val="24"/>
          <w:szCs w:val="24"/>
        </w:rPr>
        <w:t xml:space="preserve">The capital adequacy component would be monitored </w:t>
      </w:r>
      <w:r w:rsidR="00405632">
        <w:rPr>
          <w:rFonts w:ascii="Times New Roman" w:hAnsi="Times New Roman"/>
          <w:sz w:val="24"/>
          <w:szCs w:val="24"/>
        </w:rPr>
        <w:t xml:space="preserve">via a </w:t>
      </w:r>
      <w:r w:rsidR="001568F1">
        <w:rPr>
          <w:rFonts w:ascii="Times New Roman" w:hAnsi="Times New Roman"/>
          <w:sz w:val="24"/>
          <w:szCs w:val="24"/>
        </w:rPr>
        <w:t>quarterly submission of two new reporting forms</w:t>
      </w:r>
      <w:r w:rsidR="001568F1" w:rsidRPr="003C099E">
        <w:rPr>
          <w:rFonts w:ascii="Times New Roman" w:hAnsi="Times New Roman"/>
          <w:sz w:val="24"/>
          <w:szCs w:val="24"/>
        </w:rPr>
        <w:t xml:space="preserve"> </w:t>
      </w:r>
      <w:r w:rsidR="00405632">
        <w:rPr>
          <w:rFonts w:ascii="Times New Roman" w:hAnsi="Times New Roman"/>
          <w:sz w:val="24"/>
          <w:szCs w:val="24"/>
        </w:rPr>
        <w:t>to APRA</w:t>
      </w:r>
      <w:r w:rsidR="00D63542">
        <w:rPr>
          <w:rFonts w:ascii="Times New Roman" w:hAnsi="Times New Roman"/>
          <w:sz w:val="24"/>
          <w:szCs w:val="24"/>
        </w:rPr>
        <w:t xml:space="preserve"> (yet to be developed)</w:t>
      </w:r>
      <w:r w:rsidR="001568F1">
        <w:rPr>
          <w:rFonts w:ascii="Times New Roman" w:hAnsi="Times New Roman"/>
          <w:sz w:val="24"/>
          <w:szCs w:val="24"/>
        </w:rPr>
        <w:t>.</w:t>
      </w:r>
    </w:p>
    <w:p w14:paraId="4A92CE1E" w14:textId="77777777" w:rsidR="003E24B1" w:rsidRDefault="003E24B1" w:rsidP="003E24B1">
      <w:pPr>
        <w:spacing w:after="240"/>
        <w:jc w:val="both"/>
        <w:rPr>
          <w:rFonts w:ascii="Times New Roman" w:hAnsi="Times New Roman"/>
          <w:sz w:val="24"/>
          <w:szCs w:val="24"/>
        </w:rPr>
      </w:pPr>
      <w:r>
        <w:rPr>
          <w:rFonts w:ascii="Times New Roman" w:hAnsi="Times New Roman"/>
          <w:sz w:val="24"/>
          <w:szCs w:val="24"/>
        </w:rPr>
        <w:t xml:space="preserve">APRA proposes that Level 3 capital adequacy </w:t>
      </w:r>
      <w:r w:rsidR="002128B8">
        <w:rPr>
          <w:rFonts w:ascii="Times New Roman" w:hAnsi="Times New Roman"/>
          <w:sz w:val="24"/>
          <w:szCs w:val="24"/>
        </w:rPr>
        <w:t xml:space="preserve">(Level 3 EC and Level 3 PCR) </w:t>
      </w:r>
      <w:r>
        <w:rPr>
          <w:rFonts w:ascii="Times New Roman" w:hAnsi="Times New Roman"/>
          <w:sz w:val="24"/>
          <w:szCs w:val="24"/>
        </w:rPr>
        <w:t>be based on a Common Equity Tier 1 (CET1) capital</w:t>
      </w:r>
      <w:r w:rsidR="00CA15D8">
        <w:rPr>
          <w:rFonts w:ascii="Times New Roman" w:hAnsi="Times New Roman"/>
          <w:sz w:val="24"/>
          <w:szCs w:val="24"/>
        </w:rPr>
        <w:t xml:space="preserve"> approach</w:t>
      </w:r>
      <w:r>
        <w:rPr>
          <w:rFonts w:ascii="Times New Roman" w:hAnsi="Times New Roman"/>
          <w:sz w:val="24"/>
          <w:szCs w:val="24"/>
        </w:rPr>
        <w:t xml:space="preserve">. </w:t>
      </w:r>
      <w:r w:rsidR="0021152E">
        <w:rPr>
          <w:rFonts w:ascii="Times New Roman" w:hAnsi="Times New Roman"/>
          <w:sz w:val="24"/>
          <w:szCs w:val="24"/>
        </w:rPr>
        <w:t xml:space="preserve">APRA considers that CET1 is the most appropriate form of capital </w:t>
      </w:r>
      <w:r w:rsidR="008B2334">
        <w:rPr>
          <w:rFonts w:ascii="Times New Roman" w:hAnsi="Times New Roman"/>
          <w:sz w:val="24"/>
          <w:szCs w:val="24"/>
        </w:rPr>
        <w:t>as it</w:t>
      </w:r>
      <w:r w:rsidR="0021152E">
        <w:rPr>
          <w:rFonts w:ascii="Times New Roman" w:hAnsi="Times New Roman"/>
          <w:sz w:val="24"/>
          <w:szCs w:val="24"/>
        </w:rPr>
        <w:t>:</w:t>
      </w:r>
    </w:p>
    <w:p w14:paraId="7CFA4464" w14:textId="77777777" w:rsidR="0021152E" w:rsidRPr="00513B54" w:rsidRDefault="00B11D81" w:rsidP="00513B54">
      <w:pPr>
        <w:pStyle w:val="ListParagraph"/>
      </w:pPr>
      <w:r w:rsidRPr="00513B54">
        <w:t xml:space="preserve">is </w:t>
      </w:r>
      <w:r w:rsidR="0021152E" w:rsidRPr="00513B54">
        <w:t>broadly consistent with the basis on which market judgements of capital adequacy of most financial services institutions and groups are made;</w:t>
      </w:r>
    </w:p>
    <w:p w14:paraId="281EABF6" w14:textId="77777777" w:rsidR="0021152E" w:rsidRPr="00513B54" w:rsidRDefault="00B11D81" w:rsidP="00513B54">
      <w:pPr>
        <w:pStyle w:val="ListParagraph"/>
      </w:pPr>
      <w:r w:rsidRPr="00513B54">
        <w:t xml:space="preserve">is </w:t>
      </w:r>
      <w:r w:rsidR="0021152E" w:rsidRPr="00513B54">
        <w:t>easily identifiable across both APRA-regulated and non-APRA-regulated institutions;</w:t>
      </w:r>
    </w:p>
    <w:p w14:paraId="3BB7CB1E" w14:textId="77777777" w:rsidR="0021152E" w:rsidRPr="00513B54" w:rsidRDefault="0021152E" w:rsidP="00513B54">
      <w:pPr>
        <w:pStyle w:val="ListParagraph"/>
      </w:pPr>
      <w:r w:rsidRPr="00513B54">
        <w:t>minimises unnecessary complexity in the calculation of capital at Level 3; and</w:t>
      </w:r>
    </w:p>
    <w:p w14:paraId="14F81412" w14:textId="77777777" w:rsidR="0021152E" w:rsidRPr="00513B54" w:rsidRDefault="00B11D81" w:rsidP="00513B54">
      <w:pPr>
        <w:pStyle w:val="ListParagraph"/>
      </w:pPr>
      <w:r w:rsidRPr="00513B54">
        <w:t xml:space="preserve">is </w:t>
      </w:r>
      <w:r w:rsidR="0021152E" w:rsidRPr="00513B54">
        <w:t>the highest quality and most fungible form of capital available to the group</w:t>
      </w:r>
      <w:r w:rsidR="008B2334" w:rsidRPr="00513B54">
        <w:t>, which is particularly important for managing risks during times of financial stress.</w:t>
      </w:r>
    </w:p>
    <w:p w14:paraId="0C26A5AC" w14:textId="77777777" w:rsidR="00165E32" w:rsidRDefault="00B11D81" w:rsidP="001568F1">
      <w:pPr>
        <w:spacing w:after="240"/>
        <w:jc w:val="both"/>
        <w:rPr>
          <w:rFonts w:ascii="Times New Roman" w:hAnsi="Times New Roman"/>
          <w:sz w:val="24"/>
          <w:szCs w:val="24"/>
        </w:rPr>
      </w:pPr>
      <w:r>
        <w:rPr>
          <w:rFonts w:ascii="Times New Roman" w:hAnsi="Times New Roman"/>
          <w:sz w:val="24"/>
          <w:szCs w:val="24"/>
        </w:rPr>
        <w:t>Key elements of CET1 capital include</w:t>
      </w:r>
      <w:r w:rsidR="0005253C">
        <w:rPr>
          <w:rFonts w:ascii="Times New Roman" w:hAnsi="Times New Roman"/>
          <w:sz w:val="24"/>
          <w:szCs w:val="24"/>
        </w:rPr>
        <w:t>, but are not limited to,</w:t>
      </w:r>
      <w:r>
        <w:rPr>
          <w:rFonts w:ascii="Times New Roman" w:hAnsi="Times New Roman"/>
          <w:sz w:val="24"/>
          <w:szCs w:val="24"/>
        </w:rPr>
        <w:t xml:space="preserve"> </w:t>
      </w:r>
      <w:r w:rsidRPr="00AC7E25">
        <w:rPr>
          <w:rFonts w:ascii="Times New Roman" w:hAnsi="Times New Roman"/>
          <w:sz w:val="24"/>
          <w:szCs w:val="24"/>
        </w:rPr>
        <w:t>paid-up ordinary shares issued by the Level 3 Head</w:t>
      </w:r>
      <w:r>
        <w:rPr>
          <w:rFonts w:ascii="Times New Roman" w:hAnsi="Times New Roman"/>
          <w:sz w:val="24"/>
          <w:szCs w:val="24"/>
        </w:rPr>
        <w:t>, retained earnings, and undistributed current year earnings based on the group’s consolidated accounts.</w:t>
      </w:r>
      <w:r w:rsidR="0005253C">
        <w:rPr>
          <w:rFonts w:ascii="Times New Roman" w:hAnsi="Times New Roman"/>
          <w:sz w:val="24"/>
          <w:szCs w:val="24"/>
        </w:rPr>
        <w:t xml:space="preserve"> </w:t>
      </w:r>
      <w:r w:rsidR="00165E32">
        <w:rPr>
          <w:rFonts w:ascii="Times New Roman" w:hAnsi="Times New Roman"/>
          <w:sz w:val="24"/>
          <w:szCs w:val="24"/>
        </w:rPr>
        <w:t xml:space="preserve">The </w:t>
      </w:r>
      <w:r w:rsidR="004D7C36">
        <w:rPr>
          <w:rFonts w:ascii="Times New Roman" w:hAnsi="Times New Roman"/>
          <w:sz w:val="24"/>
          <w:szCs w:val="24"/>
        </w:rPr>
        <w:t>rationale for</w:t>
      </w:r>
      <w:r w:rsidR="00165E32">
        <w:rPr>
          <w:rFonts w:ascii="Times New Roman" w:hAnsi="Times New Roman"/>
          <w:sz w:val="24"/>
          <w:szCs w:val="24"/>
        </w:rPr>
        <w:t xml:space="preserve"> using the group’s consolidated accounts is to </w:t>
      </w:r>
      <w:r w:rsidR="004D7C36">
        <w:rPr>
          <w:rFonts w:ascii="Times New Roman" w:hAnsi="Times New Roman"/>
          <w:sz w:val="24"/>
          <w:szCs w:val="24"/>
        </w:rPr>
        <w:t xml:space="preserve">understand the </w:t>
      </w:r>
      <w:r w:rsidR="005A725B">
        <w:rPr>
          <w:rFonts w:ascii="Times New Roman" w:hAnsi="Times New Roman"/>
          <w:sz w:val="24"/>
          <w:szCs w:val="24"/>
        </w:rPr>
        <w:t xml:space="preserve">capitalisation of the </w:t>
      </w:r>
      <w:r w:rsidR="00165E32" w:rsidRPr="000665CE">
        <w:rPr>
          <w:rFonts w:ascii="Times New Roman" w:hAnsi="Times New Roman"/>
          <w:sz w:val="24"/>
          <w:szCs w:val="24"/>
        </w:rPr>
        <w:t>group</w:t>
      </w:r>
      <w:r w:rsidR="005A725B">
        <w:rPr>
          <w:rFonts w:ascii="Times New Roman" w:hAnsi="Times New Roman"/>
          <w:sz w:val="24"/>
          <w:szCs w:val="24"/>
        </w:rPr>
        <w:t xml:space="preserve">, reducing the risk that </w:t>
      </w:r>
      <w:r w:rsidR="00165E32" w:rsidRPr="000665CE">
        <w:rPr>
          <w:rFonts w:ascii="Times New Roman" w:hAnsi="Times New Roman"/>
          <w:sz w:val="24"/>
          <w:szCs w:val="24"/>
        </w:rPr>
        <w:t>capital upgrading or double gearing</w:t>
      </w:r>
      <w:r w:rsidR="00165E32">
        <w:rPr>
          <w:rFonts w:ascii="Times New Roman" w:hAnsi="Times New Roman"/>
          <w:sz w:val="24"/>
          <w:szCs w:val="24"/>
        </w:rPr>
        <w:t xml:space="preserve"> </w:t>
      </w:r>
      <w:r w:rsidR="00460537">
        <w:rPr>
          <w:rFonts w:ascii="Times New Roman" w:hAnsi="Times New Roman"/>
          <w:sz w:val="24"/>
          <w:szCs w:val="24"/>
        </w:rPr>
        <w:t xml:space="preserve">from intra-group transactions </w:t>
      </w:r>
      <w:r w:rsidR="005A725B">
        <w:rPr>
          <w:rFonts w:ascii="Times New Roman" w:hAnsi="Times New Roman"/>
          <w:sz w:val="24"/>
          <w:szCs w:val="24"/>
        </w:rPr>
        <w:t>will occur undetected</w:t>
      </w:r>
      <w:r w:rsidR="00165E32" w:rsidRPr="000665CE">
        <w:rPr>
          <w:rFonts w:ascii="Times New Roman" w:hAnsi="Times New Roman"/>
          <w:sz w:val="24"/>
          <w:szCs w:val="24"/>
        </w:rPr>
        <w:t>.</w:t>
      </w:r>
    </w:p>
    <w:p w14:paraId="41AE74A0" w14:textId="77777777" w:rsidR="00F55C9A" w:rsidRDefault="00F55C9A" w:rsidP="00377B58">
      <w:pPr>
        <w:spacing w:after="240"/>
        <w:jc w:val="both"/>
        <w:rPr>
          <w:rFonts w:ascii="Times New Roman" w:hAnsi="Times New Roman"/>
          <w:sz w:val="24"/>
          <w:szCs w:val="24"/>
        </w:rPr>
      </w:pPr>
      <w:r>
        <w:rPr>
          <w:rFonts w:ascii="Times New Roman" w:hAnsi="Times New Roman"/>
          <w:sz w:val="24"/>
          <w:szCs w:val="24"/>
        </w:rPr>
        <w:t>APRA proposes that t</w:t>
      </w:r>
      <w:r w:rsidRPr="00AC7E25">
        <w:rPr>
          <w:rFonts w:ascii="Times New Roman" w:hAnsi="Times New Roman"/>
          <w:sz w:val="24"/>
          <w:szCs w:val="24"/>
        </w:rPr>
        <w:t xml:space="preserve">he Level 3 PCR </w:t>
      </w:r>
      <w:r>
        <w:rPr>
          <w:rFonts w:ascii="Times New Roman" w:hAnsi="Times New Roman"/>
          <w:sz w:val="24"/>
          <w:szCs w:val="24"/>
        </w:rPr>
        <w:t>be</w:t>
      </w:r>
      <w:r w:rsidRPr="00AC7E25">
        <w:rPr>
          <w:rFonts w:ascii="Times New Roman" w:hAnsi="Times New Roman"/>
          <w:sz w:val="24"/>
          <w:szCs w:val="24"/>
        </w:rPr>
        <w:t xml:space="preserve"> determined by aggregating the required capital for six ‘industry blocks’</w:t>
      </w:r>
      <w:r>
        <w:rPr>
          <w:rFonts w:ascii="Times New Roman" w:hAnsi="Times New Roman"/>
          <w:sz w:val="24"/>
          <w:szCs w:val="24"/>
        </w:rPr>
        <w:t xml:space="preserve"> consisting of</w:t>
      </w:r>
      <w:r w:rsidRPr="00AC7E25">
        <w:rPr>
          <w:rFonts w:ascii="Times New Roman" w:hAnsi="Times New Roman"/>
          <w:sz w:val="24"/>
          <w:szCs w:val="24"/>
        </w:rPr>
        <w:t xml:space="preserve"> four APRA-regulated blocks and two non-APRA-regulated blocks, plus a Level 3 supervisory adjustment, if </w:t>
      </w:r>
      <w:r w:rsidR="00F6239B">
        <w:rPr>
          <w:rFonts w:ascii="Times New Roman" w:hAnsi="Times New Roman"/>
          <w:sz w:val="24"/>
          <w:szCs w:val="24"/>
        </w:rPr>
        <w:t>necessary</w:t>
      </w:r>
      <w:r w:rsidRPr="00AC7E25">
        <w:rPr>
          <w:rFonts w:ascii="Times New Roman" w:hAnsi="Times New Roman"/>
          <w:sz w:val="24"/>
          <w:szCs w:val="24"/>
        </w:rPr>
        <w:t>.</w:t>
      </w:r>
      <w:r>
        <w:rPr>
          <w:rFonts w:ascii="Times New Roman" w:hAnsi="Times New Roman"/>
          <w:sz w:val="24"/>
          <w:szCs w:val="24"/>
        </w:rPr>
        <w:t xml:space="preserve"> These six blocks are:</w:t>
      </w:r>
    </w:p>
    <w:p w14:paraId="5CBD005B" w14:textId="01065677" w:rsidR="00F55C9A" w:rsidRPr="00513B54" w:rsidRDefault="00F55C9A" w:rsidP="00513B54">
      <w:pPr>
        <w:pStyle w:val="ListParagraph"/>
      </w:pPr>
      <w:r w:rsidRPr="00513B54">
        <w:t xml:space="preserve">ADI block </w:t>
      </w:r>
      <w:r w:rsidR="00D63542">
        <w:t>—</w:t>
      </w:r>
      <w:r w:rsidRPr="00513B54">
        <w:t xml:space="preserve"> the ADI Level 2 group, or, if there is no Level 2 group, the ADI and equivalent overseas deposit-taking institutions;</w:t>
      </w:r>
    </w:p>
    <w:p w14:paraId="59C381EB" w14:textId="6B2FBADD" w:rsidR="00F55C9A" w:rsidRPr="00513B54" w:rsidRDefault="00F55C9A" w:rsidP="00513B54">
      <w:pPr>
        <w:pStyle w:val="ListParagraph"/>
      </w:pPr>
      <w:r w:rsidRPr="00513B54">
        <w:t xml:space="preserve">GI block </w:t>
      </w:r>
      <w:r w:rsidR="00D63542">
        <w:t>—</w:t>
      </w:r>
      <w:r w:rsidRPr="00513B54">
        <w:t xml:space="preserve"> the general insurance Level 2 group, or, if there is no Level 2 group, the general insurers and equivalent overseas general insurers;</w:t>
      </w:r>
    </w:p>
    <w:p w14:paraId="3C5BEC90" w14:textId="2120B3DD" w:rsidR="00F55C9A" w:rsidRPr="00513B54" w:rsidRDefault="00F55C9A" w:rsidP="00513B54">
      <w:pPr>
        <w:pStyle w:val="ListParagraph"/>
      </w:pPr>
      <w:r w:rsidRPr="00513B54">
        <w:t xml:space="preserve">LI block </w:t>
      </w:r>
      <w:r w:rsidR="00D63542">
        <w:t>—</w:t>
      </w:r>
      <w:r w:rsidRPr="00513B54">
        <w:t xml:space="preserve"> the life companies (including friendly societies) and equivalent overseas institutions engaged in life insurance business;</w:t>
      </w:r>
    </w:p>
    <w:p w14:paraId="2D8F2223" w14:textId="7EA0E2CC" w:rsidR="00F55C9A" w:rsidRPr="00513B54" w:rsidRDefault="00F55C9A" w:rsidP="00513B54">
      <w:pPr>
        <w:pStyle w:val="ListParagraph"/>
      </w:pPr>
      <w:r w:rsidRPr="00513B54">
        <w:t xml:space="preserve">Super block </w:t>
      </w:r>
      <w:r w:rsidR="00D63542">
        <w:t>—</w:t>
      </w:r>
      <w:r w:rsidRPr="00513B54">
        <w:t xml:space="preserve"> the RSE licensees;</w:t>
      </w:r>
    </w:p>
    <w:p w14:paraId="671D59AD" w14:textId="7D29B12E" w:rsidR="00F55C9A" w:rsidRPr="00513B54" w:rsidRDefault="00804C43" w:rsidP="00513B54">
      <w:pPr>
        <w:pStyle w:val="ListParagraph"/>
      </w:pPr>
      <w:r>
        <w:t>Funds management (</w:t>
      </w:r>
      <w:r w:rsidR="00F55C9A" w:rsidRPr="00513B54">
        <w:t>FM</w:t>
      </w:r>
      <w:r>
        <w:t>)</w:t>
      </w:r>
      <w:r w:rsidR="00F55C9A" w:rsidRPr="00513B54">
        <w:t xml:space="preserve"> block </w:t>
      </w:r>
      <w:r w:rsidR="00D63542">
        <w:t>—</w:t>
      </w:r>
      <w:r w:rsidR="00F55C9A" w:rsidRPr="00513B54">
        <w:t xml:space="preserve"> all institutions conducting </w:t>
      </w:r>
      <w:r w:rsidR="00F6239B" w:rsidRPr="00513B54">
        <w:t>funds management</w:t>
      </w:r>
      <w:r w:rsidR="00F55C9A" w:rsidRPr="00513B54">
        <w:t xml:space="preserve"> activities not captured in the ADI, LI or Super blocks (including the non-superannuation </w:t>
      </w:r>
      <w:r w:rsidR="00F6239B" w:rsidRPr="00513B54">
        <w:t>funds management</w:t>
      </w:r>
      <w:r w:rsidR="00F55C9A" w:rsidRPr="00513B54">
        <w:t xml:space="preserve"> activities of dual regulated entities); and</w:t>
      </w:r>
    </w:p>
    <w:p w14:paraId="6C062E31" w14:textId="437F2254" w:rsidR="00F55C9A" w:rsidRPr="00513B54" w:rsidRDefault="00F55C9A" w:rsidP="00513B54">
      <w:pPr>
        <w:pStyle w:val="ListParagraph"/>
      </w:pPr>
      <w:r w:rsidRPr="00F247D3">
        <w:t xml:space="preserve">OA block </w:t>
      </w:r>
      <w:r w:rsidR="00D63542">
        <w:t>—</w:t>
      </w:r>
      <w:r w:rsidRPr="00513B54">
        <w:t xml:space="preserve"> all other Level 3 institutions.</w:t>
      </w:r>
    </w:p>
    <w:p w14:paraId="442700AA" w14:textId="7F54CAA7" w:rsidR="00C236CA" w:rsidRPr="00AC7E25" w:rsidRDefault="00460537" w:rsidP="00377B58">
      <w:pPr>
        <w:spacing w:after="240"/>
        <w:jc w:val="both"/>
        <w:rPr>
          <w:rFonts w:ascii="Times New Roman" w:hAnsi="Times New Roman"/>
          <w:sz w:val="24"/>
          <w:szCs w:val="24"/>
        </w:rPr>
      </w:pPr>
      <w:r w:rsidRPr="00AC7E25">
        <w:rPr>
          <w:rFonts w:ascii="Times New Roman" w:hAnsi="Times New Roman"/>
          <w:sz w:val="24"/>
          <w:szCs w:val="24"/>
        </w:rPr>
        <w:t>APRA</w:t>
      </w:r>
      <w:r w:rsidR="007A6281" w:rsidRPr="00AC7E25">
        <w:rPr>
          <w:rFonts w:ascii="Times New Roman" w:hAnsi="Times New Roman"/>
          <w:sz w:val="24"/>
          <w:szCs w:val="24"/>
        </w:rPr>
        <w:t xml:space="preserve"> proposes to use the CET1 requirements under its</w:t>
      </w:r>
      <w:r w:rsidRPr="00AC7E25">
        <w:rPr>
          <w:rFonts w:ascii="Times New Roman" w:hAnsi="Times New Roman"/>
          <w:sz w:val="24"/>
          <w:szCs w:val="24"/>
        </w:rPr>
        <w:t xml:space="preserve"> current Level 1 and Level 2 </w:t>
      </w:r>
      <w:r w:rsidR="007A6281" w:rsidRPr="00AC7E25">
        <w:rPr>
          <w:rFonts w:ascii="Times New Roman" w:hAnsi="Times New Roman"/>
          <w:sz w:val="24"/>
          <w:szCs w:val="24"/>
        </w:rPr>
        <w:t>frameworks as the basis for determining the APRA-regulated block</w:t>
      </w:r>
      <w:r w:rsidR="00342AFB">
        <w:rPr>
          <w:rFonts w:ascii="Times New Roman" w:hAnsi="Times New Roman"/>
          <w:sz w:val="24"/>
          <w:szCs w:val="24"/>
        </w:rPr>
        <w:t>s’</w:t>
      </w:r>
      <w:r w:rsidR="007A6281" w:rsidRPr="00AC7E25">
        <w:rPr>
          <w:rFonts w:ascii="Times New Roman" w:hAnsi="Times New Roman"/>
          <w:sz w:val="24"/>
          <w:szCs w:val="24"/>
        </w:rPr>
        <w:t xml:space="preserve"> contribution</w:t>
      </w:r>
      <w:r w:rsidR="00C236CA" w:rsidRPr="00AC7E25">
        <w:rPr>
          <w:rFonts w:ascii="Times New Roman" w:hAnsi="Times New Roman"/>
          <w:sz w:val="24"/>
          <w:szCs w:val="24"/>
        </w:rPr>
        <w:t>s</w:t>
      </w:r>
      <w:r w:rsidR="007A6281" w:rsidRPr="00AC7E25">
        <w:rPr>
          <w:rFonts w:ascii="Times New Roman" w:hAnsi="Times New Roman"/>
          <w:sz w:val="24"/>
          <w:szCs w:val="24"/>
        </w:rPr>
        <w:t xml:space="preserve"> to </w:t>
      </w:r>
      <w:r w:rsidR="00342AFB">
        <w:rPr>
          <w:rFonts w:ascii="Times New Roman" w:hAnsi="Times New Roman"/>
          <w:sz w:val="24"/>
          <w:szCs w:val="24"/>
        </w:rPr>
        <w:t xml:space="preserve">the </w:t>
      </w:r>
      <w:r w:rsidR="007A6281" w:rsidRPr="00AC7E25">
        <w:rPr>
          <w:rFonts w:ascii="Times New Roman" w:hAnsi="Times New Roman"/>
          <w:sz w:val="24"/>
          <w:szCs w:val="24"/>
        </w:rPr>
        <w:t>Level 3 PCR.</w:t>
      </w:r>
      <w:r w:rsidR="00E216F1" w:rsidRPr="00AC7E25">
        <w:rPr>
          <w:rFonts w:ascii="Times New Roman" w:hAnsi="Times New Roman"/>
          <w:sz w:val="24"/>
          <w:szCs w:val="24"/>
        </w:rPr>
        <w:t xml:space="preserve"> For the FM and OA blocks, APRA proposes that groups develop internal capital models that determine the level of risk posed by </w:t>
      </w:r>
      <w:r w:rsidR="00C5323E" w:rsidRPr="00AC7E25">
        <w:rPr>
          <w:rFonts w:ascii="Times New Roman" w:hAnsi="Times New Roman"/>
          <w:sz w:val="24"/>
          <w:szCs w:val="24"/>
        </w:rPr>
        <w:t xml:space="preserve">their </w:t>
      </w:r>
      <w:r w:rsidR="00E216F1" w:rsidRPr="00AC7E25">
        <w:rPr>
          <w:rFonts w:ascii="Times New Roman" w:hAnsi="Times New Roman"/>
          <w:sz w:val="24"/>
          <w:szCs w:val="24"/>
        </w:rPr>
        <w:t>non-APRA-regulated activities</w:t>
      </w:r>
      <w:r w:rsidR="00C236CA" w:rsidRPr="00AC7E25">
        <w:rPr>
          <w:rFonts w:ascii="Times New Roman" w:hAnsi="Times New Roman"/>
          <w:sz w:val="24"/>
          <w:szCs w:val="24"/>
        </w:rPr>
        <w:t>.</w:t>
      </w:r>
      <w:r w:rsidR="00342AFB">
        <w:rPr>
          <w:rFonts w:ascii="Times New Roman" w:hAnsi="Times New Roman"/>
          <w:sz w:val="24"/>
          <w:szCs w:val="24"/>
        </w:rPr>
        <w:t xml:space="preserve"> These models </w:t>
      </w:r>
      <w:r w:rsidR="00804C43">
        <w:rPr>
          <w:rFonts w:ascii="Times New Roman" w:hAnsi="Times New Roman"/>
          <w:sz w:val="24"/>
          <w:szCs w:val="24"/>
        </w:rPr>
        <w:t xml:space="preserve">could </w:t>
      </w:r>
      <w:r w:rsidR="00342AFB">
        <w:rPr>
          <w:rFonts w:ascii="Times New Roman" w:hAnsi="Times New Roman"/>
          <w:sz w:val="24"/>
          <w:szCs w:val="24"/>
        </w:rPr>
        <w:t>be based on groups’ existing internal economic capital models.</w:t>
      </w:r>
    </w:p>
    <w:p w14:paraId="27516522" w14:textId="77777777" w:rsidR="001568F1" w:rsidRPr="00953AEB" w:rsidRDefault="001568F1" w:rsidP="00377B58">
      <w:pPr>
        <w:spacing w:after="240"/>
        <w:jc w:val="both"/>
        <w:rPr>
          <w:rFonts w:ascii="Times New Roman" w:hAnsi="Times New Roman"/>
          <w:sz w:val="24"/>
          <w:szCs w:val="24"/>
        </w:rPr>
      </w:pPr>
      <w:r w:rsidRPr="00953AEB">
        <w:rPr>
          <w:rFonts w:ascii="Times New Roman" w:hAnsi="Times New Roman"/>
          <w:sz w:val="24"/>
          <w:szCs w:val="24"/>
        </w:rPr>
        <w:t xml:space="preserve">Under option 3, the Level 3 framework would replace the relevant </w:t>
      </w:r>
      <w:r w:rsidRPr="00513B54">
        <w:rPr>
          <w:rStyle w:val="Emphasis"/>
        </w:rPr>
        <w:t>ad hoc</w:t>
      </w:r>
      <w:r w:rsidRPr="00513B54">
        <w:rPr>
          <w:rFonts w:ascii="Times New Roman" w:hAnsi="Times New Roman"/>
          <w:sz w:val="24"/>
        </w:rPr>
        <w:t xml:space="preserve"> </w:t>
      </w:r>
      <w:r w:rsidRPr="00953AEB">
        <w:rPr>
          <w:rFonts w:ascii="Times New Roman" w:hAnsi="Times New Roman"/>
          <w:sz w:val="24"/>
          <w:szCs w:val="24"/>
        </w:rPr>
        <w:t>supervisory arrangements currently in place for conglomerate groups.</w:t>
      </w:r>
    </w:p>
    <w:p w14:paraId="78A187FD" w14:textId="77777777" w:rsidR="000F1DDE" w:rsidRPr="00513B54" w:rsidRDefault="000F1DDE" w:rsidP="00513B54">
      <w:pPr>
        <w:pStyle w:val="Heading5"/>
        <w:rPr>
          <w:rStyle w:val="Emphasis"/>
        </w:rPr>
      </w:pPr>
      <w:r w:rsidRPr="00513B54">
        <w:rPr>
          <w:rStyle w:val="Emphasis"/>
        </w:rPr>
        <w:t>Benefits</w:t>
      </w:r>
    </w:p>
    <w:p w14:paraId="67EAEF6A" w14:textId="2B244802" w:rsidR="0032798D" w:rsidRDefault="0032798D" w:rsidP="0032798D">
      <w:pPr>
        <w:spacing w:after="240"/>
        <w:jc w:val="both"/>
        <w:rPr>
          <w:rFonts w:ascii="Times New Roman" w:hAnsi="Times New Roman"/>
          <w:sz w:val="24"/>
          <w:szCs w:val="24"/>
        </w:rPr>
      </w:pPr>
      <w:r w:rsidRPr="000665CE">
        <w:rPr>
          <w:rFonts w:ascii="Times New Roman" w:hAnsi="Times New Roman"/>
          <w:sz w:val="24"/>
          <w:szCs w:val="24"/>
        </w:rPr>
        <w:t>Capital adequacy requirements</w:t>
      </w:r>
      <w:r w:rsidR="00694853">
        <w:rPr>
          <w:rFonts w:ascii="Times New Roman" w:hAnsi="Times New Roman"/>
          <w:sz w:val="24"/>
          <w:szCs w:val="24"/>
        </w:rPr>
        <w:t xml:space="preserve"> for </w:t>
      </w:r>
      <w:r w:rsidR="00694853" w:rsidRPr="00483C63">
        <w:rPr>
          <w:rFonts w:ascii="Times New Roman" w:hAnsi="Times New Roman"/>
          <w:sz w:val="24"/>
          <w:szCs w:val="24"/>
        </w:rPr>
        <w:t>Level 3 groups</w:t>
      </w:r>
      <w:r w:rsidRPr="00483C63">
        <w:rPr>
          <w:rFonts w:ascii="Times New Roman" w:hAnsi="Times New Roman"/>
          <w:sz w:val="24"/>
          <w:szCs w:val="24"/>
        </w:rPr>
        <w:t xml:space="preserve"> </w:t>
      </w:r>
      <w:r w:rsidR="009869BB" w:rsidRPr="00483C63">
        <w:rPr>
          <w:rFonts w:ascii="Times New Roman" w:hAnsi="Times New Roman"/>
          <w:sz w:val="24"/>
          <w:szCs w:val="24"/>
        </w:rPr>
        <w:t xml:space="preserve">would reduce the risk of failure of </w:t>
      </w:r>
      <w:r w:rsidR="00902F72" w:rsidRPr="00483C63">
        <w:rPr>
          <w:rFonts w:ascii="Times New Roman" w:hAnsi="Times New Roman"/>
          <w:sz w:val="24"/>
          <w:szCs w:val="24"/>
        </w:rPr>
        <w:t>APRA-regulated institutions within such groups</w:t>
      </w:r>
      <w:r w:rsidR="00483C63" w:rsidRPr="00483C63">
        <w:rPr>
          <w:rFonts w:ascii="Times New Roman" w:hAnsi="Times New Roman"/>
          <w:sz w:val="24"/>
          <w:szCs w:val="24"/>
        </w:rPr>
        <w:t xml:space="preserve"> by enhancing capital adequacy across the group</w:t>
      </w:r>
      <w:r w:rsidR="00483C63">
        <w:rPr>
          <w:rFonts w:ascii="Times New Roman" w:hAnsi="Times New Roman"/>
          <w:sz w:val="24"/>
          <w:szCs w:val="24"/>
        </w:rPr>
        <w:t xml:space="preserve">, which would </w:t>
      </w:r>
      <w:r w:rsidR="00483C63" w:rsidRPr="00483C63">
        <w:rPr>
          <w:rFonts w:ascii="Times New Roman" w:hAnsi="Times New Roman"/>
          <w:sz w:val="24"/>
          <w:szCs w:val="24"/>
        </w:rPr>
        <w:t>improve their ability to absorb losses</w:t>
      </w:r>
      <w:r w:rsidR="00D77E15" w:rsidRPr="00483C63">
        <w:rPr>
          <w:rFonts w:ascii="Times New Roman" w:hAnsi="Times New Roman"/>
          <w:sz w:val="24"/>
          <w:szCs w:val="24"/>
        </w:rPr>
        <w:t>. S</w:t>
      </w:r>
      <w:r w:rsidR="00902F72" w:rsidRPr="00483C63">
        <w:rPr>
          <w:rFonts w:ascii="Times New Roman" w:hAnsi="Times New Roman"/>
          <w:sz w:val="24"/>
          <w:szCs w:val="24"/>
        </w:rPr>
        <w:t xml:space="preserve">ufficient capital </w:t>
      </w:r>
      <w:r w:rsidR="00C56B5D" w:rsidRPr="00483C63">
        <w:rPr>
          <w:rFonts w:ascii="Times New Roman" w:hAnsi="Times New Roman"/>
          <w:sz w:val="24"/>
          <w:szCs w:val="24"/>
        </w:rPr>
        <w:t>would be held against the contagion risks emanating from the non-APRA-regulated</w:t>
      </w:r>
      <w:r w:rsidR="00C56B5D">
        <w:rPr>
          <w:rFonts w:ascii="Times New Roman" w:hAnsi="Times New Roman"/>
          <w:sz w:val="24"/>
          <w:szCs w:val="24"/>
        </w:rPr>
        <w:t xml:space="preserve"> institutions of </w:t>
      </w:r>
      <w:r w:rsidR="00F6239B">
        <w:rPr>
          <w:rFonts w:ascii="Times New Roman" w:hAnsi="Times New Roman"/>
          <w:sz w:val="24"/>
          <w:szCs w:val="24"/>
        </w:rPr>
        <w:t xml:space="preserve">the </w:t>
      </w:r>
      <w:r w:rsidR="00C56B5D">
        <w:rPr>
          <w:rFonts w:ascii="Times New Roman" w:hAnsi="Times New Roman"/>
          <w:sz w:val="24"/>
          <w:szCs w:val="24"/>
        </w:rPr>
        <w:t xml:space="preserve">groups. This outcome </w:t>
      </w:r>
      <w:r w:rsidR="00D77E15">
        <w:rPr>
          <w:rFonts w:ascii="Times New Roman" w:hAnsi="Times New Roman"/>
          <w:sz w:val="24"/>
          <w:szCs w:val="24"/>
        </w:rPr>
        <w:t>may</w:t>
      </w:r>
      <w:r w:rsidR="00D77E15" w:rsidRPr="000665CE">
        <w:rPr>
          <w:rFonts w:ascii="Times New Roman" w:hAnsi="Times New Roman"/>
          <w:sz w:val="24"/>
          <w:szCs w:val="24"/>
        </w:rPr>
        <w:t xml:space="preserve"> </w:t>
      </w:r>
      <w:r>
        <w:rPr>
          <w:rFonts w:ascii="Times New Roman" w:hAnsi="Times New Roman"/>
          <w:sz w:val="24"/>
          <w:szCs w:val="24"/>
        </w:rPr>
        <w:t xml:space="preserve">materially </w:t>
      </w:r>
      <w:r w:rsidRPr="000665CE">
        <w:rPr>
          <w:rFonts w:ascii="Times New Roman" w:hAnsi="Times New Roman"/>
          <w:sz w:val="24"/>
          <w:szCs w:val="24"/>
        </w:rPr>
        <w:t xml:space="preserve">benefit </w:t>
      </w:r>
      <w:r w:rsidR="008B6AEB">
        <w:rPr>
          <w:rFonts w:ascii="Times New Roman" w:hAnsi="Times New Roman"/>
          <w:sz w:val="24"/>
          <w:szCs w:val="24"/>
        </w:rPr>
        <w:t>d</w:t>
      </w:r>
      <w:r w:rsidR="00274376">
        <w:rPr>
          <w:rFonts w:ascii="Times New Roman" w:hAnsi="Times New Roman"/>
          <w:sz w:val="24"/>
          <w:szCs w:val="24"/>
        </w:rPr>
        <w:t>epositors, policyholders and superannuation members</w:t>
      </w:r>
      <w:r w:rsidR="00C56B5D">
        <w:rPr>
          <w:rFonts w:ascii="Times New Roman" w:hAnsi="Times New Roman"/>
          <w:sz w:val="24"/>
          <w:szCs w:val="24"/>
        </w:rPr>
        <w:t xml:space="preserve">. </w:t>
      </w:r>
      <w:r w:rsidR="00FF1273">
        <w:rPr>
          <w:rFonts w:ascii="Times New Roman" w:hAnsi="Times New Roman"/>
          <w:sz w:val="24"/>
          <w:szCs w:val="24"/>
        </w:rPr>
        <w:t xml:space="preserve">Given the size of the </w:t>
      </w:r>
      <w:r w:rsidR="008B6AEB">
        <w:rPr>
          <w:rFonts w:ascii="Times New Roman" w:hAnsi="Times New Roman"/>
          <w:sz w:val="24"/>
          <w:szCs w:val="24"/>
        </w:rPr>
        <w:t xml:space="preserve">proposed </w:t>
      </w:r>
      <w:r w:rsidR="00FF1273">
        <w:rPr>
          <w:rFonts w:ascii="Times New Roman" w:hAnsi="Times New Roman"/>
          <w:sz w:val="24"/>
          <w:szCs w:val="24"/>
        </w:rPr>
        <w:t xml:space="preserve">conglomerates, reducing their </w:t>
      </w:r>
      <w:r w:rsidR="00483C63">
        <w:rPr>
          <w:rFonts w:ascii="Times New Roman" w:hAnsi="Times New Roman"/>
          <w:sz w:val="24"/>
          <w:szCs w:val="24"/>
        </w:rPr>
        <w:t xml:space="preserve">risk of </w:t>
      </w:r>
      <w:r w:rsidR="00FF1273">
        <w:rPr>
          <w:rFonts w:ascii="Times New Roman" w:hAnsi="Times New Roman"/>
          <w:sz w:val="24"/>
          <w:szCs w:val="24"/>
        </w:rPr>
        <w:t>failure also improves Australian financial system stability, to the benefit of all Australians.</w:t>
      </w:r>
    </w:p>
    <w:p w14:paraId="3AEFB51C" w14:textId="29EB311F" w:rsidR="00083CCF" w:rsidRDefault="00083CCF" w:rsidP="0032798D">
      <w:pPr>
        <w:spacing w:after="240"/>
        <w:jc w:val="both"/>
        <w:rPr>
          <w:rFonts w:ascii="Times New Roman" w:hAnsi="Times New Roman"/>
          <w:sz w:val="24"/>
          <w:szCs w:val="24"/>
        </w:rPr>
      </w:pPr>
      <w:r w:rsidRPr="00083CCF">
        <w:rPr>
          <w:rFonts w:ascii="Times New Roman" w:hAnsi="Times New Roman"/>
          <w:sz w:val="24"/>
          <w:szCs w:val="24"/>
        </w:rPr>
        <w:t xml:space="preserve">A key incentive of the Level 3 framework </w:t>
      </w:r>
      <w:r w:rsidR="00804C43">
        <w:rPr>
          <w:rFonts w:ascii="Times New Roman" w:hAnsi="Times New Roman"/>
          <w:sz w:val="24"/>
          <w:szCs w:val="24"/>
        </w:rPr>
        <w:t>would be</w:t>
      </w:r>
      <w:r w:rsidR="00804C43" w:rsidRPr="00083CCF">
        <w:rPr>
          <w:rFonts w:ascii="Times New Roman" w:hAnsi="Times New Roman"/>
          <w:sz w:val="24"/>
          <w:szCs w:val="24"/>
        </w:rPr>
        <w:t xml:space="preserve"> </w:t>
      </w:r>
      <w:r w:rsidRPr="00083CCF">
        <w:rPr>
          <w:rFonts w:ascii="Times New Roman" w:hAnsi="Times New Roman"/>
          <w:sz w:val="24"/>
          <w:szCs w:val="24"/>
        </w:rPr>
        <w:t xml:space="preserve">for groups to demonstrate a reduction in the potential for contagion between regulated and unregulated members of the group. Where a group has taken steps to lower the risk </w:t>
      </w:r>
      <w:r>
        <w:rPr>
          <w:rFonts w:ascii="Times New Roman" w:hAnsi="Times New Roman"/>
          <w:sz w:val="24"/>
          <w:szCs w:val="24"/>
        </w:rPr>
        <w:t>of contagion</w:t>
      </w:r>
      <w:r w:rsidRPr="00083CCF">
        <w:rPr>
          <w:rFonts w:ascii="Times New Roman" w:hAnsi="Times New Roman"/>
          <w:sz w:val="24"/>
          <w:szCs w:val="24"/>
        </w:rPr>
        <w:t>, APRA proposes to allow a reduction in the required capital for the activities of unregulated institutions. The Level 3 framework outlines a number of indicators for groups to demonstrate separability, including: the minimisation of structural, legal, branding, managerial, and asset and liability interconnectedness within the group.</w:t>
      </w:r>
    </w:p>
    <w:p w14:paraId="1903D9D4" w14:textId="7A82ECBE" w:rsidR="00C236CA" w:rsidRDefault="00AB7B56" w:rsidP="00C236CA">
      <w:pPr>
        <w:spacing w:after="240"/>
        <w:jc w:val="both"/>
        <w:rPr>
          <w:rFonts w:ascii="Times New Roman" w:hAnsi="Times New Roman"/>
          <w:sz w:val="24"/>
          <w:szCs w:val="24"/>
        </w:rPr>
      </w:pPr>
      <w:r>
        <w:rPr>
          <w:rFonts w:ascii="Times New Roman" w:hAnsi="Times New Roman"/>
          <w:sz w:val="24"/>
          <w:szCs w:val="24"/>
        </w:rPr>
        <w:t xml:space="preserve">A benefit of appropriate risk data capabilities is to </w:t>
      </w:r>
      <w:r w:rsidR="00C236CA" w:rsidRPr="00AC7E25">
        <w:rPr>
          <w:rFonts w:ascii="Times New Roman" w:hAnsi="Times New Roman"/>
          <w:sz w:val="24"/>
          <w:szCs w:val="24"/>
        </w:rPr>
        <w:t>significantly assist in understanding how contagion can spread throughout the group via intra-group transactions and exposures.</w:t>
      </w:r>
      <w:r w:rsidR="002528FC">
        <w:rPr>
          <w:rFonts w:ascii="Times New Roman" w:hAnsi="Times New Roman"/>
          <w:sz w:val="24"/>
          <w:szCs w:val="24"/>
        </w:rPr>
        <w:t xml:space="preserve"> The proposed requirements under option 3 </w:t>
      </w:r>
      <w:r w:rsidR="00817366">
        <w:rPr>
          <w:rFonts w:ascii="Times New Roman" w:hAnsi="Times New Roman"/>
          <w:sz w:val="24"/>
          <w:szCs w:val="24"/>
        </w:rPr>
        <w:t xml:space="preserve">would </w:t>
      </w:r>
      <w:r w:rsidR="002528FC">
        <w:rPr>
          <w:rFonts w:ascii="Times New Roman" w:hAnsi="Times New Roman"/>
          <w:sz w:val="24"/>
          <w:szCs w:val="24"/>
        </w:rPr>
        <w:t xml:space="preserve">require groups to identify </w:t>
      </w:r>
      <w:r w:rsidR="002528FC" w:rsidRPr="00B022B6">
        <w:rPr>
          <w:rFonts w:ascii="Times New Roman" w:hAnsi="Times New Roman"/>
          <w:sz w:val="24"/>
          <w:szCs w:val="24"/>
        </w:rPr>
        <w:t>intra-group equity investments, loan or funding arrangements, reinsurance arrangements, guarantees or indemnities, and operational risks from the provision of intra-group services.</w:t>
      </w:r>
      <w:r w:rsidR="002528FC">
        <w:rPr>
          <w:rFonts w:ascii="Times New Roman" w:hAnsi="Times New Roman"/>
          <w:sz w:val="24"/>
          <w:szCs w:val="24"/>
        </w:rPr>
        <w:t xml:space="preserve"> Being able to identify the nature and size of exposure </w:t>
      </w:r>
      <w:r w:rsidR="00817366">
        <w:rPr>
          <w:rFonts w:ascii="Times New Roman" w:hAnsi="Times New Roman"/>
          <w:sz w:val="24"/>
          <w:szCs w:val="24"/>
        </w:rPr>
        <w:t xml:space="preserve">would </w:t>
      </w:r>
      <w:r w:rsidR="002528FC">
        <w:rPr>
          <w:rFonts w:ascii="Times New Roman" w:hAnsi="Times New Roman"/>
          <w:sz w:val="24"/>
          <w:szCs w:val="24"/>
        </w:rPr>
        <w:t xml:space="preserve">facilitate analysis of how an issue with one institution in the group can impact other institutions, particularly APRA-regulated institutions. This would be a significant enhancement to the risk management capabilities of conglomerate groups and would allow </w:t>
      </w:r>
      <w:r w:rsidR="002579F5">
        <w:rPr>
          <w:rFonts w:ascii="Times New Roman" w:hAnsi="Times New Roman"/>
          <w:sz w:val="24"/>
          <w:szCs w:val="24"/>
        </w:rPr>
        <w:t xml:space="preserve">groups to establish </w:t>
      </w:r>
      <w:r w:rsidR="002528FC">
        <w:rPr>
          <w:rFonts w:ascii="Times New Roman" w:hAnsi="Times New Roman"/>
          <w:sz w:val="24"/>
          <w:szCs w:val="24"/>
        </w:rPr>
        <w:t xml:space="preserve">controls to mitigate </w:t>
      </w:r>
      <w:r w:rsidR="002579F5">
        <w:rPr>
          <w:rFonts w:ascii="Times New Roman" w:hAnsi="Times New Roman"/>
          <w:sz w:val="24"/>
          <w:szCs w:val="24"/>
        </w:rPr>
        <w:t>the financial and operational impact of contagion in the group</w:t>
      </w:r>
      <w:r w:rsidR="002528FC">
        <w:rPr>
          <w:rFonts w:ascii="Times New Roman" w:hAnsi="Times New Roman"/>
          <w:sz w:val="24"/>
          <w:szCs w:val="24"/>
        </w:rPr>
        <w:t>.</w:t>
      </w:r>
    </w:p>
    <w:p w14:paraId="43C847A6" w14:textId="77777777" w:rsidR="004C7874" w:rsidRDefault="004C7874" w:rsidP="004C7874">
      <w:pPr>
        <w:spacing w:after="240"/>
        <w:jc w:val="both"/>
        <w:rPr>
          <w:rFonts w:ascii="Times New Roman" w:hAnsi="Times New Roman"/>
          <w:sz w:val="24"/>
          <w:szCs w:val="24"/>
        </w:rPr>
      </w:pPr>
      <w:r>
        <w:rPr>
          <w:rFonts w:ascii="Times New Roman" w:hAnsi="Times New Roman"/>
          <w:sz w:val="24"/>
          <w:szCs w:val="24"/>
        </w:rPr>
        <w:t xml:space="preserve">According to a 2011 </w:t>
      </w:r>
      <w:r w:rsidRPr="00AA4FFE">
        <w:rPr>
          <w:rFonts w:ascii="Times New Roman" w:hAnsi="Times New Roman"/>
          <w:sz w:val="24"/>
          <w:szCs w:val="24"/>
        </w:rPr>
        <w:t>Institute of International Finance</w:t>
      </w:r>
      <w:r w:rsidRPr="00513B54">
        <w:rPr>
          <w:rStyle w:val="StyleFootnoteReference12pt"/>
        </w:rPr>
        <w:footnoteReference w:id="8"/>
      </w:r>
      <w:r w:rsidRPr="00AA4FFE">
        <w:rPr>
          <w:rFonts w:ascii="Times New Roman" w:hAnsi="Times New Roman"/>
          <w:sz w:val="24"/>
          <w:szCs w:val="24"/>
        </w:rPr>
        <w:t xml:space="preserve"> report</w:t>
      </w:r>
      <w:r>
        <w:rPr>
          <w:rFonts w:ascii="Times New Roman" w:hAnsi="Times New Roman"/>
          <w:sz w:val="24"/>
          <w:szCs w:val="24"/>
        </w:rPr>
        <w:t xml:space="preserve">, </w:t>
      </w:r>
      <w:r w:rsidR="001630A3">
        <w:rPr>
          <w:rFonts w:ascii="Times New Roman" w:hAnsi="Times New Roman"/>
          <w:sz w:val="24"/>
          <w:szCs w:val="24"/>
        </w:rPr>
        <w:t>i</w:t>
      </w:r>
      <w:r>
        <w:rPr>
          <w:rFonts w:ascii="Times New Roman" w:hAnsi="Times New Roman"/>
          <w:sz w:val="24"/>
          <w:szCs w:val="24"/>
        </w:rPr>
        <w:t xml:space="preserve">dentified benefits </w:t>
      </w:r>
      <w:r w:rsidR="001630A3">
        <w:rPr>
          <w:rFonts w:ascii="Times New Roman" w:hAnsi="Times New Roman"/>
          <w:sz w:val="24"/>
          <w:szCs w:val="24"/>
        </w:rPr>
        <w:t xml:space="preserve">of aggregate risk exposure monitoring and reporting </w:t>
      </w:r>
      <w:r>
        <w:rPr>
          <w:rFonts w:ascii="Times New Roman" w:hAnsi="Times New Roman"/>
          <w:sz w:val="24"/>
          <w:szCs w:val="24"/>
        </w:rPr>
        <w:t>include: flexibility and readiness for future volatility, avoidance of catastrophic losses, reduced expected losses/loan reserves and efficiency improvements. Further, the BCBS identified that improving the ability to aggregate risk exposures and identify concentrations quickly and accurately will improve resolvability of institutions.</w:t>
      </w:r>
      <w:r w:rsidRPr="00513B54">
        <w:rPr>
          <w:rStyle w:val="StyleFootnoteReference12pt"/>
        </w:rPr>
        <w:footnoteReference w:id="9"/>
      </w:r>
      <w:r>
        <w:rPr>
          <w:rFonts w:ascii="Times New Roman" w:hAnsi="Times New Roman"/>
          <w:sz w:val="24"/>
          <w:szCs w:val="24"/>
        </w:rPr>
        <w:t xml:space="preserve"> While no quantification of benefits was provided, institutions did expect the benefits to outweigh the costs of enhancing to best practice standards the </w:t>
      </w:r>
      <w:r w:rsidRPr="00854BA7">
        <w:rPr>
          <w:rFonts w:ascii="Times New Roman" w:hAnsi="Times New Roman"/>
          <w:sz w:val="24"/>
          <w:szCs w:val="24"/>
        </w:rPr>
        <w:t>technology used to collect, store, calculate, manage, and report risk data, together with the set of processes used to manage risk</w:t>
      </w:r>
      <w:r>
        <w:rPr>
          <w:rFonts w:ascii="Times New Roman" w:hAnsi="Times New Roman"/>
          <w:sz w:val="24"/>
          <w:szCs w:val="24"/>
        </w:rPr>
        <w:t>.</w:t>
      </w:r>
    </w:p>
    <w:p w14:paraId="75717688" w14:textId="77777777" w:rsidR="001630A3" w:rsidRPr="00C224A3" w:rsidRDefault="001630A3" w:rsidP="009B58E3">
      <w:pPr>
        <w:spacing w:after="240"/>
        <w:jc w:val="both"/>
        <w:rPr>
          <w:rFonts w:ascii="Times New Roman" w:hAnsi="Times New Roman"/>
          <w:sz w:val="24"/>
          <w:szCs w:val="24"/>
        </w:rPr>
      </w:pPr>
      <w:r w:rsidRPr="00953AEB">
        <w:rPr>
          <w:rFonts w:ascii="Times New Roman" w:hAnsi="Times New Roman"/>
          <w:sz w:val="24"/>
          <w:szCs w:val="24"/>
        </w:rPr>
        <w:t xml:space="preserve">Another benefit of option 3 would be the implementation of a consistent supervisory framework for conglomerates, which would replace the current </w:t>
      </w:r>
      <w:r w:rsidRPr="00513B54">
        <w:rPr>
          <w:rStyle w:val="Emphasis"/>
        </w:rPr>
        <w:t>ad hoc</w:t>
      </w:r>
      <w:r w:rsidRPr="00513B54">
        <w:rPr>
          <w:rFonts w:ascii="Times New Roman" w:hAnsi="Times New Roman"/>
          <w:i/>
          <w:sz w:val="24"/>
        </w:rPr>
        <w:t xml:space="preserve"> </w:t>
      </w:r>
      <w:r w:rsidRPr="00953AEB">
        <w:rPr>
          <w:rFonts w:ascii="Times New Roman" w:hAnsi="Times New Roman"/>
          <w:sz w:val="24"/>
          <w:szCs w:val="24"/>
        </w:rPr>
        <w:t>supervisory arrangements</w:t>
      </w:r>
      <w:r w:rsidR="008F02D6" w:rsidRPr="00953AEB">
        <w:rPr>
          <w:rFonts w:ascii="Times New Roman" w:hAnsi="Times New Roman"/>
          <w:sz w:val="24"/>
          <w:szCs w:val="24"/>
        </w:rPr>
        <w:t xml:space="preserve"> and </w:t>
      </w:r>
      <w:r w:rsidRPr="009832A9">
        <w:rPr>
          <w:rFonts w:ascii="Times New Roman" w:hAnsi="Times New Roman"/>
          <w:sz w:val="24"/>
          <w:szCs w:val="24"/>
        </w:rPr>
        <w:t xml:space="preserve">increase the effectiveness of APRA’s supervision, streamline compliance procedures and </w:t>
      </w:r>
      <w:r w:rsidRPr="000F7C86">
        <w:rPr>
          <w:rFonts w:ascii="Times New Roman" w:hAnsi="Times New Roman"/>
          <w:sz w:val="24"/>
          <w:szCs w:val="24"/>
        </w:rPr>
        <w:t xml:space="preserve">provide certainty to conglomerate groups and financial markets. </w:t>
      </w:r>
    </w:p>
    <w:p w14:paraId="1CDD2756" w14:textId="0C77772A" w:rsidR="00FF1273" w:rsidRDefault="00FF1273" w:rsidP="009B58E3">
      <w:pPr>
        <w:spacing w:after="240"/>
        <w:jc w:val="both"/>
        <w:rPr>
          <w:rFonts w:ascii="Times New Roman" w:hAnsi="Times New Roman"/>
          <w:sz w:val="24"/>
          <w:szCs w:val="24"/>
        </w:rPr>
      </w:pPr>
      <w:r>
        <w:rPr>
          <w:rFonts w:ascii="Times New Roman" w:hAnsi="Times New Roman"/>
          <w:sz w:val="24"/>
          <w:szCs w:val="24"/>
        </w:rPr>
        <w:t xml:space="preserve">Finally, the consolidated treatment of EC under option 3 means that financial conglomerates </w:t>
      </w:r>
      <w:r w:rsidR="00817366">
        <w:rPr>
          <w:rFonts w:ascii="Times New Roman" w:hAnsi="Times New Roman"/>
          <w:sz w:val="24"/>
          <w:szCs w:val="24"/>
        </w:rPr>
        <w:t xml:space="preserve">would </w:t>
      </w:r>
      <w:r>
        <w:rPr>
          <w:rFonts w:ascii="Times New Roman" w:hAnsi="Times New Roman"/>
          <w:sz w:val="24"/>
          <w:szCs w:val="24"/>
        </w:rPr>
        <w:t>be less able to create regulatory equity through artificial intra-group transactions. At this point such arrangements are rare in Australia, though they have proven a feature in some offshore financial conglomerate difficulties such as Lehman Brothers</w:t>
      </w:r>
      <w:r w:rsidR="004A1640">
        <w:rPr>
          <w:rFonts w:ascii="Times New Roman" w:hAnsi="Times New Roman"/>
          <w:sz w:val="24"/>
          <w:szCs w:val="24"/>
        </w:rPr>
        <w:t xml:space="preserve"> in the US</w:t>
      </w:r>
      <w:r>
        <w:rPr>
          <w:rFonts w:ascii="Times New Roman" w:hAnsi="Times New Roman"/>
          <w:sz w:val="24"/>
          <w:szCs w:val="24"/>
        </w:rPr>
        <w:t>.</w:t>
      </w:r>
    </w:p>
    <w:p w14:paraId="6B3ABF51" w14:textId="77777777" w:rsidR="006E3600" w:rsidRDefault="006E3600" w:rsidP="0032798D">
      <w:pPr>
        <w:spacing w:after="240"/>
        <w:jc w:val="both"/>
        <w:rPr>
          <w:rFonts w:ascii="Times New Roman" w:hAnsi="Times New Roman"/>
          <w:sz w:val="24"/>
          <w:szCs w:val="24"/>
        </w:rPr>
      </w:pPr>
      <w:r>
        <w:rPr>
          <w:rFonts w:ascii="Times New Roman" w:hAnsi="Times New Roman"/>
          <w:sz w:val="24"/>
          <w:szCs w:val="24"/>
        </w:rPr>
        <w:t>Option 3 complies with international best practice established in the Joint Forum’s 2012 Principles. This ensures that the Australian financial system remains internationally recognised as a high-quality, sophisticated and safe investment environment.</w:t>
      </w:r>
    </w:p>
    <w:p w14:paraId="47CA85A7" w14:textId="77777777" w:rsidR="000F1DDE" w:rsidRPr="00513B54" w:rsidRDefault="000F1DDE" w:rsidP="00513B54">
      <w:pPr>
        <w:pStyle w:val="Heading5"/>
        <w:rPr>
          <w:rStyle w:val="Emphasis"/>
        </w:rPr>
      </w:pPr>
      <w:r w:rsidRPr="00513B54">
        <w:rPr>
          <w:rStyle w:val="Emphasis"/>
        </w:rPr>
        <w:t>Costs</w:t>
      </w:r>
    </w:p>
    <w:p w14:paraId="3F7641FE" w14:textId="77777777" w:rsidR="00FF1273" w:rsidRDefault="000F1DDE" w:rsidP="007734D3">
      <w:pPr>
        <w:spacing w:after="240"/>
        <w:jc w:val="both"/>
        <w:rPr>
          <w:rFonts w:ascii="Times New Roman" w:hAnsi="Times New Roman"/>
          <w:sz w:val="24"/>
          <w:szCs w:val="24"/>
        </w:rPr>
      </w:pPr>
      <w:r w:rsidRPr="000665CE">
        <w:rPr>
          <w:rFonts w:ascii="Times New Roman" w:hAnsi="Times New Roman"/>
          <w:sz w:val="24"/>
          <w:szCs w:val="24"/>
        </w:rPr>
        <w:t xml:space="preserve">Implementation of </w:t>
      </w:r>
      <w:r w:rsidR="00EE67A5">
        <w:rPr>
          <w:rFonts w:ascii="Times New Roman" w:hAnsi="Times New Roman"/>
          <w:sz w:val="24"/>
          <w:szCs w:val="24"/>
        </w:rPr>
        <w:t xml:space="preserve">the </w:t>
      </w:r>
      <w:r w:rsidR="00B865FC">
        <w:rPr>
          <w:rFonts w:ascii="Times New Roman" w:hAnsi="Times New Roman"/>
          <w:sz w:val="24"/>
          <w:szCs w:val="24"/>
        </w:rPr>
        <w:t xml:space="preserve">full </w:t>
      </w:r>
      <w:r w:rsidR="00EE67A5">
        <w:rPr>
          <w:rFonts w:ascii="Times New Roman" w:hAnsi="Times New Roman"/>
          <w:sz w:val="24"/>
          <w:szCs w:val="24"/>
        </w:rPr>
        <w:t xml:space="preserve">Level 3 framework </w:t>
      </w:r>
      <w:r w:rsidRPr="000665CE">
        <w:rPr>
          <w:rFonts w:ascii="Times New Roman" w:hAnsi="Times New Roman"/>
          <w:sz w:val="24"/>
          <w:szCs w:val="24"/>
        </w:rPr>
        <w:t xml:space="preserve">would lead to additional compliance costs for conglomerate groups. </w:t>
      </w:r>
    </w:p>
    <w:p w14:paraId="36CE7D73" w14:textId="19CB09B6" w:rsidR="008F02D6" w:rsidRDefault="00B234B7" w:rsidP="007734D3">
      <w:pPr>
        <w:spacing w:after="240"/>
        <w:jc w:val="both"/>
        <w:rPr>
          <w:rFonts w:ascii="Times New Roman" w:hAnsi="Times New Roman"/>
          <w:sz w:val="24"/>
          <w:szCs w:val="24"/>
        </w:rPr>
      </w:pPr>
      <w:r>
        <w:rPr>
          <w:rFonts w:ascii="Times New Roman" w:hAnsi="Times New Roman"/>
          <w:sz w:val="24"/>
          <w:szCs w:val="24"/>
        </w:rPr>
        <w:t>A</w:t>
      </w:r>
      <w:r w:rsidR="00FF1273">
        <w:rPr>
          <w:rFonts w:ascii="Times New Roman" w:hAnsi="Times New Roman"/>
          <w:sz w:val="24"/>
          <w:szCs w:val="24"/>
        </w:rPr>
        <w:t xml:space="preserve"> substantial </w:t>
      </w:r>
      <w:r>
        <w:rPr>
          <w:rFonts w:ascii="Times New Roman" w:hAnsi="Times New Roman"/>
          <w:sz w:val="24"/>
          <w:szCs w:val="24"/>
        </w:rPr>
        <w:t xml:space="preserve">proportion </w:t>
      </w:r>
      <w:r w:rsidR="00FF1273">
        <w:rPr>
          <w:rFonts w:ascii="Times New Roman" w:hAnsi="Times New Roman"/>
          <w:sz w:val="24"/>
          <w:szCs w:val="24"/>
        </w:rPr>
        <w:t xml:space="preserve">of compliance costs arise from the proposed risk exposures aggregation and reporting requirements. </w:t>
      </w:r>
      <w:r w:rsidR="007734D3" w:rsidRPr="000665CE">
        <w:rPr>
          <w:rFonts w:ascii="Times New Roman" w:hAnsi="Times New Roman"/>
          <w:sz w:val="24"/>
          <w:szCs w:val="24"/>
        </w:rPr>
        <w:t xml:space="preserve">APRA </w:t>
      </w:r>
      <w:r w:rsidR="007734D3">
        <w:rPr>
          <w:rFonts w:ascii="Times New Roman" w:hAnsi="Times New Roman"/>
          <w:sz w:val="24"/>
          <w:szCs w:val="24"/>
        </w:rPr>
        <w:t>expects</w:t>
      </w:r>
      <w:r w:rsidR="007734D3" w:rsidRPr="000665CE">
        <w:rPr>
          <w:rFonts w:ascii="Times New Roman" w:hAnsi="Times New Roman"/>
          <w:sz w:val="24"/>
          <w:szCs w:val="24"/>
        </w:rPr>
        <w:t xml:space="preserve"> that there </w:t>
      </w:r>
      <w:r w:rsidR="00817366">
        <w:rPr>
          <w:rFonts w:ascii="Times New Roman" w:hAnsi="Times New Roman"/>
          <w:sz w:val="24"/>
          <w:szCs w:val="24"/>
        </w:rPr>
        <w:t>would</w:t>
      </w:r>
      <w:r w:rsidR="00817366" w:rsidRPr="000665CE">
        <w:rPr>
          <w:rFonts w:ascii="Times New Roman" w:hAnsi="Times New Roman"/>
          <w:sz w:val="24"/>
          <w:szCs w:val="24"/>
        </w:rPr>
        <w:t xml:space="preserve"> </w:t>
      </w:r>
      <w:r w:rsidR="007734D3" w:rsidRPr="000665CE">
        <w:rPr>
          <w:rFonts w:ascii="Times New Roman" w:hAnsi="Times New Roman"/>
          <w:sz w:val="24"/>
          <w:szCs w:val="24"/>
        </w:rPr>
        <w:t>be compliance costs associated with the development and implementation of the IT infrastructure needed to identify, monitor and manage a conglomerate group’s risk exposures and ITEs</w:t>
      </w:r>
      <w:r w:rsidR="007734D3">
        <w:rPr>
          <w:rFonts w:ascii="Times New Roman" w:hAnsi="Times New Roman"/>
          <w:sz w:val="24"/>
          <w:szCs w:val="24"/>
        </w:rPr>
        <w:t>, and</w:t>
      </w:r>
      <w:r w:rsidR="007734D3" w:rsidRPr="00BF68BB">
        <w:rPr>
          <w:rFonts w:ascii="Times New Roman" w:hAnsi="Times New Roman"/>
          <w:sz w:val="24"/>
          <w:szCs w:val="24"/>
        </w:rPr>
        <w:t xml:space="preserve"> </w:t>
      </w:r>
      <w:r w:rsidR="007734D3">
        <w:rPr>
          <w:rFonts w:ascii="Times New Roman" w:hAnsi="Times New Roman"/>
          <w:sz w:val="24"/>
          <w:szCs w:val="24"/>
        </w:rPr>
        <w:t xml:space="preserve">the </w:t>
      </w:r>
      <w:r w:rsidR="007734D3" w:rsidRPr="000665CE">
        <w:rPr>
          <w:rFonts w:ascii="Times New Roman" w:hAnsi="Times New Roman"/>
          <w:sz w:val="24"/>
          <w:szCs w:val="24"/>
        </w:rPr>
        <w:t xml:space="preserve">proposed </w:t>
      </w:r>
      <w:r w:rsidR="007734D3">
        <w:rPr>
          <w:rFonts w:ascii="Times New Roman" w:hAnsi="Times New Roman"/>
          <w:sz w:val="24"/>
          <w:szCs w:val="24"/>
        </w:rPr>
        <w:t xml:space="preserve">quarterly submission of two new </w:t>
      </w:r>
      <w:r w:rsidR="007734D3" w:rsidRPr="000665CE">
        <w:rPr>
          <w:rFonts w:ascii="Times New Roman" w:hAnsi="Times New Roman"/>
          <w:sz w:val="24"/>
          <w:szCs w:val="24"/>
        </w:rPr>
        <w:t xml:space="preserve">reporting </w:t>
      </w:r>
      <w:r w:rsidR="007734D3">
        <w:rPr>
          <w:rFonts w:ascii="Times New Roman" w:hAnsi="Times New Roman"/>
          <w:sz w:val="24"/>
          <w:szCs w:val="24"/>
        </w:rPr>
        <w:t>forms</w:t>
      </w:r>
      <w:r w:rsidR="007734D3" w:rsidRPr="000665CE">
        <w:rPr>
          <w:rFonts w:ascii="Times New Roman" w:hAnsi="Times New Roman"/>
          <w:sz w:val="24"/>
          <w:szCs w:val="24"/>
        </w:rPr>
        <w:t>. No submissions were received that quantified likely compliance costs though submissions emphasised that it could take a significant amount of time to develop the appropriate systems</w:t>
      </w:r>
      <w:r w:rsidR="007734D3">
        <w:rPr>
          <w:rFonts w:ascii="Times New Roman" w:hAnsi="Times New Roman"/>
          <w:sz w:val="24"/>
          <w:szCs w:val="24"/>
        </w:rPr>
        <w:t xml:space="preserve"> for risk exposures and ITEs in particular</w:t>
      </w:r>
      <w:r w:rsidR="007734D3" w:rsidRPr="000665CE">
        <w:rPr>
          <w:rFonts w:ascii="Times New Roman" w:hAnsi="Times New Roman"/>
          <w:sz w:val="24"/>
          <w:szCs w:val="24"/>
        </w:rPr>
        <w:t xml:space="preserve">. </w:t>
      </w:r>
    </w:p>
    <w:p w14:paraId="2AAF65E4" w14:textId="1D404C15" w:rsidR="007734D3" w:rsidRDefault="00FC4B72" w:rsidP="007734D3">
      <w:pPr>
        <w:spacing w:after="240"/>
        <w:jc w:val="both"/>
        <w:rPr>
          <w:rFonts w:ascii="Times New Roman" w:hAnsi="Times New Roman"/>
          <w:sz w:val="24"/>
          <w:szCs w:val="24"/>
        </w:rPr>
      </w:pPr>
      <w:r>
        <w:rPr>
          <w:rFonts w:ascii="Times New Roman" w:hAnsi="Times New Roman"/>
          <w:sz w:val="24"/>
          <w:szCs w:val="24"/>
        </w:rPr>
        <w:t xml:space="preserve">Based on discussions with conglomerate groups, APRA </w:t>
      </w:r>
      <w:r w:rsidR="00EF5E81">
        <w:rPr>
          <w:rFonts w:ascii="Times New Roman" w:hAnsi="Times New Roman"/>
          <w:sz w:val="24"/>
          <w:szCs w:val="24"/>
        </w:rPr>
        <w:t xml:space="preserve">assumes </w:t>
      </w:r>
      <w:r w:rsidR="00EE2B8F">
        <w:rPr>
          <w:rFonts w:ascii="Times New Roman" w:hAnsi="Times New Roman"/>
          <w:sz w:val="24"/>
          <w:szCs w:val="24"/>
        </w:rPr>
        <w:t xml:space="preserve">total </w:t>
      </w:r>
      <w:r>
        <w:rPr>
          <w:rFonts w:ascii="Times New Roman" w:hAnsi="Times New Roman"/>
          <w:sz w:val="24"/>
          <w:szCs w:val="24"/>
        </w:rPr>
        <w:t>start-up costs to be</w:t>
      </w:r>
      <w:r w:rsidR="00CB26B7">
        <w:rPr>
          <w:rFonts w:ascii="Times New Roman" w:hAnsi="Times New Roman"/>
          <w:sz w:val="24"/>
          <w:szCs w:val="24"/>
        </w:rPr>
        <w:t>,</w:t>
      </w:r>
      <w:r>
        <w:rPr>
          <w:rFonts w:ascii="Times New Roman" w:hAnsi="Times New Roman"/>
          <w:sz w:val="24"/>
          <w:szCs w:val="24"/>
        </w:rPr>
        <w:t xml:space="preserve"> on average $</w:t>
      </w:r>
      <w:r w:rsidR="009F1E68">
        <w:rPr>
          <w:rFonts w:ascii="Times New Roman" w:hAnsi="Times New Roman"/>
          <w:sz w:val="24"/>
          <w:szCs w:val="24"/>
        </w:rPr>
        <w:t>9</w:t>
      </w:r>
      <w:r>
        <w:rPr>
          <w:rFonts w:ascii="Times New Roman" w:hAnsi="Times New Roman"/>
          <w:sz w:val="24"/>
          <w:szCs w:val="24"/>
        </w:rPr>
        <w:t xml:space="preserve"> million</w:t>
      </w:r>
      <w:r w:rsidR="00EE2B8F">
        <w:rPr>
          <w:rFonts w:ascii="Times New Roman" w:hAnsi="Times New Roman"/>
          <w:sz w:val="24"/>
          <w:szCs w:val="24"/>
        </w:rPr>
        <w:t xml:space="preserve"> per group</w:t>
      </w:r>
      <w:r w:rsidR="0046135C">
        <w:rPr>
          <w:rFonts w:ascii="Times New Roman" w:hAnsi="Times New Roman"/>
          <w:sz w:val="24"/>
          <w:szCs w:val="24"/>
        </w:rPr>
        <w:t>.</w:t>
      </w:r>
      <w:r>
        <w:rPr>
          <w:rFonts w:ascii="Times New Roman" w:hAnsi="Times New Roman"/>
          <w:sz w:val="24"/>
          <w:szCs w:val="24"/>
        </w:rPr>
        <w:t xml:space="preserve"> These c</w:t>
      </w:r>
      <w:r w:rsidRPr="00FC4B72">
        <w:rPr>
          <w:rFonts w:ascii="Times New Roman" w:hAnsi="Times New Roman"/>
          <w:sz w:val="24"/>
          <w:szCs w:val="24"/>
        </w:rPr>
        <w:t xml:space="preserve">osts relate to </w:t>
      </w:r>
      <w:r w:rsidR="009F1E68">
        <w:rPr>
          <w:rFonts w:ascii="Times New Roman" w:hAnsi="Times New Roman"/>
          <w:sz w:val="24"/>
          <w:szCs w:val="24"/>
        </w:rPr>
        <w:t xml:space="preserve">project and change management, </w:t>
      </w:r>
      <w:r w:rsidRPr="00FC4B72">
        <w:rPr>
          <w:rFonts w:ascii="Times New Roman" w:hAnsi="Times New Roman"/>
          <w:sz w:val="24"/>
          <w:szCs w:val="24"/>
        </w:rPr>
        <w:t>establishing IT infrastructure for reporting of group-wide risk exposures and intra-group exposures</w:t>
      </w:r>
      <w:r w:rsidR="009F1E68">
        <w:rPr>
          <w:rFonts w:ascii="Times New Roman" w:hAnsi="Times New Roman"/>
          <w:sz w:val="24"/>
          <w:szCs w:val="24"/>
        </w:rPr>
        <w:t xml:space="preserve"> as well as developing internal capital allocations and process for the capital shortfall assessment</w:t>
      </w:r>
      <w:r w:rsidRPr="00FC4B72">
        <w:rPr>
          <w:rFonts w:ascii="Times New Roman" w:hAnsi="Times New Roman"/>
          <w:sz w:val="24"/>
          <w:szCs w:val="24"/>
        </w:rPr>
        <w:t xml:space="preserve">. </w:t>
      </w:r>
      <w:r w:rsidR="0072335B">
        <w:rPr>
          <w:rFonts w:ascii="Times New Roman" w:hAnsi="Times New Roman"/>
          <w:sz w:val="24"/>
          <w:szCs w:val="24"/>
        </w:rPr>
        <w:t xml:space="preserve">It was indicated to APRA that there </w:t>
      </w:r>
      <w:r w:rsidR="00817366">
        <w:rPr>
          <w:rFonts w:ascii="Times New Roman" w:hAnsi="Times New Roman"/>
          <w:sz w:val="24"/>
          <w:szCs w:val="24"/>
        </w:rPr>
        <w:t xml:space="preserve">would </w:t>
      </w:r>
      <w:r>
        <w:rPr>
          <w:rFonts w:ascii="Times New Roman" w:hAnsi="Times New Roman"/>
          <w:sz w:val="24"/>
          <w:szCs w:val="24"/>
        </w:rPr>
        <w:t xml:space="preserve">likely </w:t>
      </w:r>
      <w:r w:rsidRPr="00FC4B72">
        <w:rPr>
          <w:rFonts w:ascii="Times New Roman" w:hAnsi="Times New Roman"/>
          <w:sz w:val="24"/>
          <w:szCs w:val="24"/>
        </w:rPr>
        <w:t xml:space="preserve">be </w:t>
      </w:r>
      <w:r w:rsidR="00B234B7">
        <w:rPr>
          <w:rFonts w:ascii="Times New Roman" w:hAnsi="Times New Roman"/>
          <w:sz w:val="24"/>
          <w:szCs w:val="24"/>
        </w:rPr>
        <w:t>negligible</w:t>
      </w:r>
      <w:r w:rsidRPr="00FC4B72">
        <w:rPr>
          <w:rFonts w:ascii="Times New Roman" w:hAnsi="Times New Roman"/>
          <w:sz w:val="24"/>
          <w:szCs w:val="24"/>
        </w:rPr>
        <w:t xml:space="preserve"> on-going compliance costs as existing </w:t>
      </w:r>
      <w:r w:rsidR="00DB4926">
        <w:rPr>
          <w:rFonts w:ascii="Times New Roman" w:hAnsi="Times New Roman"/>
          <w:sz w:val="24"/>
          <w:szCs w:val="24"/>
        </w:rPr>
        <w:t>staff and processes</w:t>
      </w:r>
      <w:r w:rsidRPr="00FC4B72">
        <w:rPr>
          <w:rFonts w:ascii="Times New Roman" w:hAnsi="Times New Roman"/>
          <w:sz w:val="24"/>
          <w:szCs w:val="24"/>
        </w:rPr>
        <w:t xml:space="preserve"> would absorb the additional work</w:t>
      </w:r>
      <w:r>
        <w:rPr>
          <w:rFonts w:ascii="Times New Roman" w:hAnsi="Times New Roman"/>
          <w:sz w:val="24"/>
          <w:szCs w:val="24"/>
        </w:rPr>
        <w:t>.</w:t>
      </w:r>
    </w:p>
    <w:p w14:paraId="25E4AFC0" w14:textId="46B3879D" w:rsidR="00EE2B8F" w:rsidRDefault="00693DED" w:rsidP="001153BF">
      <w:pPr>
        <w:spacing w:after="240"/>
        <w:jc w:val="both"/>
        <w:rPr>
          <w:rFonts w:ascii="Times New Roman" w:hAnsi="Times New Roman"/>
          <w:sz w:val="24"/>
          <w:szCs w:val="24"/>
        </w:rPr>
      </w:pPr>
      <w:r>
        <w:rPr>
          <w:rFonts w:ascii="Times New Roman" w:hAnsi="Times New Roman"/>
          <w:sz w:val="24"/>
          <w:szCs w:val="24"/>
        </w:rPr>
        <w:t>Half of the total cost to industry</w:t>
      </w:r>
      <w:r w:rsidR="00EE2B8F">
        <w:rPr>
          <w:rFonts w:ascii="Times New Roman" w:hAnsi="Times New Roman"/>
          <w:sz w:val="24"/>
          <w:szCs w:val="24"/>
        </w:rPr>
        <w:t xml:space="preserve"> is assumed </w:t>
      </w:r>
      <w:r w:rsidR="001735FA">
        <w:rPr>
          <w:rFonts w:ascii="Times New Roman" w:hAnsi="Times New Roman"/>
          <w:sz w:val="24"/>
          <w:szCs w:val="24"/>
        </w:rPr>
        <w:t xml:space="preserve">to </w:t>
      </w:r>
      <w:r>
        <w:rPr>
          <w:rFonts w:ascii="Times New Roman" w:hAnsi="Times New Roman"/>
          <w:sz w:val="24"/>
          <w:szCs w:val="24"/>
        </w:rPr>
        <w:t xml:space="preserve">arise from </w:t>
      </w:r>
      <w:r w:rsidR="00EE2B8F">
        <w:rPr>
          <w:rFonts w:ascii="Times New Roman" w:hAnsi="Times New Roman"/>
          <w:sz w:val="24"/>
          <w:szCs w:val="24"/>
        </w:rPr>
        <w:t xml:space="preserve">establishing IT infrastructure for risk exposure reporting. </w:t>
      </w:r>
      <w:r w:rsidR="0027011C">
        <w:rPr>
          <w:rFonts w:ascii="Times New Roman" w:hAnsi="Times New Roman"/>
          <w:sz w:val="24"/>
          <w:szCs w:val="24"/>
        </w:rPr>
        <w:t xml:space="preserve">APRA expects existing IT infrastructure </w:t>
      </w:r>
      <w:r w:rsidR="00817366">
        <w:rPr>
          <w:rFonts w:ascii="Times New Roman" w:hAnsi="Times New Roman"/>
          <w:sz w:val="24"/>
          <w:szCs w:val="24"/>
        </w:rPr>
        <w:t xml:space="preserve">would </w:t>
      </w:r>
      <w:r w:rsidR="0027011C">
        <w:rPr>
          <w:rFonts w:ascii="Times New Roman" w:hAnsi="Times New Roman"/>
          <w:sz w:val="24"/>
          <w:szCs w:val="24"/>
        </w:rPr>
        <w:t xml:space="preserve">be modified to meet the risk exposure requirements. </w:t>
      </w:r>
      <w:r w:rsidR="00EC1B87">
        <w:rPr>
          <w:rFonts w:ascii="Times New Roman" w:hAnsi="Times New Roman"/>
          <w:sz w:val="24"/>
          <w:szCs w:val="24"/>
        </w:rPr>
        <w:t xml:space="preserve">Larger groups are likely to have higher costs due to the existence of </w:t>
      </w:r>
      <w:r w:rsidR="00DB4926">
        <w:rPr>
          <w:rFonts w:ascii="Times New Roman" w:hAnsi="Times New Roman"/>
          <w:sz w:val="24"/>
          <w:szCs w:val="24"/>
        </w:rPr>
        <w:t xml:space="preserve">a number of </w:t>
      </w:r>
      <w:r w:rsidR="00EC1B87">
        <w:rPr>
          <w:rFonts w:ascii="Times New Roman" w:hAnsi="Times New Roman"/>
          <w:sz w:val="24"/>
          <w:szCs w:val="24"/>
        </w:rPr>
        <w:t xml:space="preserve">legacy systems while smaller groups are likely to face lower costs due to </w:t>
      </w:r>
      <w:r w:rsidR="00DB4926">
        <w:rPr>
          <w:rFonts w:ascii="Times New Roman" w:hAnsi="Times New Roman"/>
          <w:sz w:val="24"/>
          <w:szCs w:val="24"/>
        </w:rPr>
        <w:t xml:space="preserve">a </w:t>
      </w:r>
      <w:r w:rsidR="00EC1B87">
        <w:rPr>
          <w:rFonts w:ascii="Times New Roman" w:hAnsi="Times New Roman"/>
          <w:sz w:val="24"/>
          <w:szCs w:val="24"/>
        </w:rPr>
        <w:t xml:space="preserve">lower number of legacy systems. Once IT infrastructure </w:t>
      </w:r>
      <w:r w:rsidR="00DB4926">
        <w:rPr>
          <w:rFonts w:ascii="Times New Roman" w:hAnsi="Times New Roman"/>
          <w:sz w:val="24"/>
          <w:szCs w:val="24"/>
        </w:rPr>
        <w:t xml:space="preserve">has been modified, it was indicated to APRA that there are likely </w:t>
      </w:r>
      <w:r w:rsidR="000D4514">
        <w:rPr>
          <w:rFonts w:ascii="Times New Roman" w:hAnsi="Times New Roman"/>
          <w:sz w:val="24"/>
          <w:szCs w:val="24"/>
        </w:rPr>
        <w:t xml:space="preserve">to </w:t>
      </w:r>
      <w:r w:rsidR="00DB4926">
        <w:rPr>
          <w:rFonts w:ascii="Times New Roman" w:hAnsi="Times New Roman"/>
          <w:sz w:val="24"/>
          <w:szCs w:val="24"/>
        </w:rPr>
        <w:t xml:space="preserve">be </w:t>
      </w:r>
      <w:r w:rsidR="00526A01">
        <w:rPr>
          <w:rFonts w:ascii="Times New Roman" w:hAnsi="Times New Roman"/>
          <w:sz w:val="24"/>
          <w:szCs w:val="24"/>
        </w:rPr>
        <w:t>minimal</w:t>
      </w:r>
      <w:r w:rsidR="00DB4926">
        <w:rPr>
          <w:rFonts w:ascii="Times New Roman" w:hAnsi="Times New Roman"/>
          <w:sz w:val="24"/>
          <w:szCs w:val="24"/>
        </w:rPr>
        <w:t xml:space="preserve"> on-going costs as existing staff and processes would absorb the additional reporting and monitoring. </w:t>
      </w:r>
      <w:r w:rsidR="000D4514">
        <w:rPr>
          <w:rFonts w:ascii="Times New Roman" w:hAnsi="Times New Roman"/>
          <w:sz w:val="24"/>
          <w:szCs w:val="24"/>
        </w:rPr>
        <w:t xml:space="preserve">If members of a Level 3 group change over time, APRA does not expect this to have an additional incremental cost in relation to Level 3 risk exposure requirements. Once the initial </w:t>
      </w:r>
      <w:r w:rsidR="00B5453C">
        <w:rPr>
          <w:rFonts w:ascii="Times New Roman" w:hAnsi="Times New Roman"/>
          <w:sz w:val="24"/>
          <w:szCs w:val="24"/>
        </w:rPr>
        <w:t>IT infrastructure has been modified to accommodate Level 3 risk exposure reporting, the cost of updating systems to reflect changed group membership should be no different to if Level 3 risk exposure requirements were not in place.</w:t>
      </w:r>
    </w:p>
    <w:p w14:paraId="51371D02" w14:textId="70665E89" w:rsidR="001153BF" w:rsidRDefault="000E56CA" w:rsidP="001153BF">
      <w:pPr>
        <w:spacing w:after="240"/>
        <w:jc w:val="both"/>
        <w:rPr>
          <w:rFonts w:ascii="Times New Roman" w:hAnsi="Times New Roman"/>
          <w:sz w:val="24"/>
          <w:szCs w:val="24"/>
        </w:rPr>
      </w:pPr>
      <w:r>
        <w:rPr>
          <w:rFonts w:ascii="Times New Roman" w:hAnsi="Times New Roman"/>
          <w:sz w:val="24"/>
          <w:szCs w:val="24"/>
        </w:rPr>
        <w:t xml:space="preserve">The proposed Level 3 capital requirements </w:t>
      </w:r>
      <w:r w:rsidR="00817366">
        <w:rPr>
          <w:rFonts w:ascii="Times New Roman" w:hAnsi="Times New Roman"/>
          <w:sz w:val="24"/>
          <w:szCs w:val="24"/>
        </w:rPr>
        <w:t xml:space="preserve">would </w:t>
      </w:r>
      <w:r>
        <w:rPr>
          <w:rFonts w:ascii="Times New Roman" w:hAnsi="Times New Roman"/>
          <w:sz w:val="24"/>
          <w:szCs w:val="24"/>
        </w:rPr>
        <w:t>have the potential to require a conglomerate group to raise more equity</w:t>
      </w:r>
      <w:r w:rsidR="00526A01">
        <w:rPr>
          <w:rFonts w:ascii="Times New Roman" w:hAnsi="Times New Roman"/>
          <w:sz w:val="24"/>
          <w:szCs w:val="24"/>
        </w:rPr>
        <w:t>. W</w:t>
      </w:r>
      <w:r>
        <w:rPr>
          <w:rFonts w:ascii="Times New Roman" w:hAnsi="Times New Roman"/>
          <w:sz w:val="24"/>
          <w:szCs w:val="24"/>
        </w:rPr>
        <w:t xml:space="preserve">hether this is a cost or a benefit depends upon perspective. </w:t>
      </w:r>
      <w:r w:rsidR="00EF5E81">
        <w:rPr>
          <w:rFonts w:ascii="Times New Roman" w:hAnsi="Times New Roman"/>
          <w:sz w:val="24"/>
          <w:szCs w:val="24"/>
        </w:rPr>
        <w:t>APRA engaged with the groups in a number of</w:t>
      </w:r>
      <w:r w:rsidR="001153BF">
        <w:rPr>
          <w:rFonts w:ascii="Times New Roman" w:hAnsi="Times New Roman"/>
          <w:sz w:val="24"/>
          <w:szCs w:val="24"/>
        </w:rPr>
        <w:t xml:space="preserve"> quantitative impact studies</w:t>
      </w:r>
      <w:r w:rsidR="00EF5E81">
        <w:rPr>
          <w:rFonts w:ascii="Times New Roman" w:hAnsi="Times New Roman"/>
          <w:sz w:val="24"/>
          <w:szCs w:val="24"/>
        </w:rPr>
        <w:t xml:space="preserve">. These quantitative impact </w:t>
      </w:r>
      <w:r w:rsidR="00526A01">
        <w:rPr>
          <w:rFonts w:ascii="Times New Roman" w:hAnsi="Times New Roman"/>
          <w:sz w:val="24"/>
          <w:szCs w:val="24"/>
        </w:rPr>
        <w:t>studies confirmed</w:t>
      </w:r>
      <w:r w:rsidR="00EF5E81">
        <w:rPr>
          <w:rFonts w:ascii="Times New Roman" w:hAnsi="Times New Roman"/>
          <w:sz w:val="24"/>
          <w:szCs w:val="24"/>
        </w:rPr>
        <w:t xml:space="preserve"> that</w:t>
      </w:r>
      <w:r w:rsidR="00526A01">
        <w:rPr>
          <w:rFonts w:ascii="Times New Roman" w:hAnsi="Times New Roman"/>
          <w:sz w:val="24"/>
          <w:szCs w:val="24"/>
        </w:rPr>
        <w:t xml:space="preserve"> the candidate</w:t>
      </w:r>
      <w:r w:rsidR="00EF5E81">
        <w:rPr>
          <w:rFonts w:ascii="Times New Roman" w:hAnsi="Times New Roman"/>
          <w:sz w:val="24"/>
          <w:szCs w:val="24"/>
        </w:rPr>
        <w:t xml:space="preserve"> </w:t>
      </w:r>
      <w:r w:rsidR="001153BF">
        <w:rPr>
          <w:rFonts w:ascii="Times New Roman" w:hAnsi="Times New Roman"/>
          <w:sz w:val="24"/>
          <w:szCs w:val="24"/>
        </w:rPr>
        <w:t>groups would not</w:t>
      </w:r>
      <w:r w:rsidR="00526A01">
        <w:rPr>
          <w:rFonts w:ascii="Times New Roman" w:hAnsi="Times New Roman"/>
          <w:sz w:val="24"/>
          <w:szCs w:val="24"/>
        </w:rPr>
        <w:t xml:space="preserve"> currently</w:t>
      </w:r>
      <w:r w:rsidR="001153BF">
        <w:rPr>
          <w:rFonts w:ascii="Times New Roman" w:hAnsi="Times New Roman"/>
          <w:sz w:val="24"/>
          <w:szCs w:val="24"/>
        </w:rPr>
        <w:t xml:space="preserve"> be required to raise additional capital to meet the proposed capital adequacy requirements.</w:t>
      </w:r>
      <w:r w:rsidR="00285743">
        <w:rPr>
          <w:rFonts w:ascii="Times New Roman" w:hAnsi="Times New Roman"/>
          <w:sz w:val="24"/>
          <w:szCs w:val="24"/>
        </w:rPr>
        <w:t xml:space="preserve"> APRA notes that this result would not hold if an Australian conglomerate group engages in material and artificial financing transactions designed to manufacture equity in some parts of the group, but without creating equity on a consolidated basis. The proposed Level 3 conglomerate capital regime </w:t>
      </w:r>
      <w:r w:rsidR="00A65BB6">
        <w:rPr>
          <w:rFonts w:ascii="Times New Roman" w:hAnsi="Times New Roman"/>
          <w:sz w:val="24"/>
          <w:szCs w:val="24"/>
        </w:rPr>
        <w:t xml:space="preserve">therefore </w:t>
      </w:r>
      <w:r w:rsidR="00901329">
        <w:rPr>
          <w:rFonts w:ascii="Times New Roman" w:hAnsi="Times New Roman"/>
          <w:sz w:val="24"/>
          <w:szCs w:val="24"/>
        </w:rPr>
        <w:t xml:space="preserve">would </w:t>
      </w:r>
      <w:r w:rsidR="00285743">
        <w:rPr>
          <w:rFonts w:ascii="Times New Roman" w:hAnsi="Times New Roman"/>
          <w:sz w:val="24"/>
          <w:szCs w:val="24"/>
        </w:rPr>
        <w:t>material</w:t>
      </w:r>
      <w:r w:rsidR="00F06AE7">
        <w:rPr>
          <w:rFonts w:ascii="Times New Roman" w:hAnsi="Times New Roman"/>
          <w:sz w:val="24"/>
          <w:szCs w:val="24"/>
        </w:rPr>
        <w:t>ly</w:t>
      </w:r>
      <w:r w:rsidR="00285743">
        <w:rPr>
          <w:rFonts w:ascii="Times New Roman" w:hAnsi="Times New Roman"/>
          <w:sz w:val="24"/>
          <w:szCs w:val="24"/>
        </w:rPr>
        <w:t xml:space="preserve"> reduce the potential for artificial creation of regulatory equity within a conglomerate group.</w:t>
      </w:r>
    </w:p>
    <w:p w14:paraId="4A60C1C6" w14:textId="546BF5A0" w:rsidR="0032798D" w:rsidRDefault="0032798D" w:rsidP="0032798D">
      <w:pPr>
        <w:spacing w:after="240"/>
        <w:jc w:val="both"/>
        <w:rPr>
          <w:rFonts w:ascii="Times New Roman" w:hAnsi="Times New Roman"/>
          <w:sz w:val="24"/>
          <w:szCs w:val="24"/>
        </w:rPr>
      </w:pPr>
      <w:r>
        <w:rPr>
          <w:rFonts w:ascii="Times New Roman" w:hAnsi="Times New Roman"/>
          <w:sz w:val="24"/>
          <w:szCs w:val="24"/>
        </w:rPr>
        <w:t xml:space="preserve">There may be some costs associated with developing a group’s </w:t>
      </w:r>
      <w:r w:rsidR="00285743">
        <w:rPr>
          <w:rFonts w:ascii="Times New Roman" w:hAnsi="Times New Roman"/>
          <w:sz w:val="24"/>
          <w:szCs w:val="24"/>
        </w:rPr>
        <w:t xml:space="preserve">insight </w:t>
      </w:r>
      <w:r>
        <w:rPr>
          <w:rFonts w:ascii="Times New Roman" w:hAnsi="Times New Roman"/>
          <w:sz w:val="24"/>
          <w:szCs w:val="24"/>
        </w:rPr>
        <w:t xml:space="preserve">with respect to the riskiness of its non-APRA-regulated operations. As groups would be expected to already measure the riskiness of various group operations these costs would be limited to enhancing </w:t>
      </w:r>
      <w:r w:rsidR="002C6825">
        <w:rPr>
          <w:rFonts w:ascii="Times New Roman" w:hAnsi="Times New Roman"/>
          <w:sz w:val="24"/>
          <w:szCs w:val="24"/>
        </w:rPr>
        <w:t xml:space="preserve">internal </w:t>
      </w:r>
      <w:r>
        <w:rPr>
          <w:rFonts w:ascii="Times New Roman" w:hAnsi="Times New Roman"/>
          <w:sz w:val="24"/>
          <w:szCs w:val="24"/>
        </w:rPr>
        <w:t xml:space="preserve">risk modelling to meet APRA requirements. </w:t>
      </w:r>
      <w:r w:rsidR="00526A01">
        <w:rPr>
          <w:rFonts w:ascii="Times New Roman" w:hAnsi="Times New Roman"/>
          <w:sz w:val="24"/>
          <w:szCs w:val="24"/>
        </w:rPr>
        <w:t xml:space="preserve">Although </w:t>
      </w:r>
      <w:r>
        <w:rPr>
          <w:rFonts w:ascii="Times New Roman" w:hAnsi="Times New Roman"/>
          <w:sz w:val="24"/>
          <w:szCs w:val="24"/>
        </w:rPr>
        <w:t xml:space="preserve">the capital adequacy framework includes transferability of capital requirements relating to undercapitalised non-APRA-regulated subsidiaries that pose a material risk to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Pr>
          <w:rFonts w:ascii="Times New Roman" w:hAnsi="Times New Roman"/>
          <w:sz w:val="24"/>
          <w:szCs w:val="24"/>
        </w:rPr>
        <w:t>, no comments were received on the implementation costs of these requirements.</w:t>
      </w:r>
      <w:r w:rsidR="00346DB1">
        <w:rPr>
          <w:rFonts w:ascii="Times New Roman" w:hAnsi="Times New Roman"/>
          <w:sz w:val="24"/>
          <w:szCs w:val="24"/>
        </w:rPr>
        <w:t xml:space="preserve"> </w:t>
      </w:r>
      <w:r w:rsidR="0072335B">
        <w:rPr>
          <w:rFonts w:ascii="Times New Roman" w:hAnsi="Times New Roman"/>
          <w:sz w:val="24"/>
          <w:szCs w:val="24"/>
        </w:rPr>
        <w:t xml:space="preserve">Based on discussions with conglomerate groups, APRA </w:t>
      </w:r>
      <w:r w:rsidR="00A65BB6">
        <w:rPr>
          <w:rFonts w:ascii="Times New Roman" w:hAnsi="Times New Roman"/>
          <w:sz w:val="24"/>
          <w:szCs w:val="24"/>
        </w:rPr>
        <w:t>assumes</w:t>
      </w:r>
      <w:r w:rsidR="0072335B">
        <w:rPr>
          <w:rFonts w:ascii="Times New Roman" w:hAnsi="Times New Roman"/>
          <w:sz w:val="24"/>
          <w:szCs w:val="24"/>
        </w:rPr>
        <w:t xml:space="preserve"> the start-up costs </w:t>
      </w:r>
      <w:r w:rsidR="001A11F4">
        <w:rPr>
          <w:rFonts w:ascii="Times New Roman" w:hAnsi="Times New Roman"/>
          <w:sz w:val="24"/>
          <w:szCs w:val="24"/>
        </w:rPr>
        <w:t xml:space="preserve">for capital adequacy </w:t>
      </w:r>
      <w:r w:rsidR="0072335B">
        <w:rPr>
          <w:rFonts w:ascii="Times New Roman" w:hAnsi="Times New Roman"/>
          <w:sz w:val="24"/>
          <w:szCs w:val="24"/>
        </w:rPr>
        <w:t xml:space="preserve">to average $5 million. </w:t>
      </w:r>
      <w:r w:rsidR="0072335B" w:rsidRPr="0072335B">
        <w:rPr>
          <w:rFonts w:ascii="Times New Roman" w:hAnsi="Times New Roman"/>
          <w:sz w:val="24"/>
          <w:szCs w:val="24"/>
        </w:rPr>
        <w:t xml:space="preserve">Costs </w:t>
      </w:r>
      <w:r w:rsidR="0072335B">
        <w:rPr>
          <w:rFonts w:ascii="Times New Roman" w:hAnsi="Times New Roman"/>
          <w:sz w:val="24"/>
          <w:szCs w:val="24"/>
        </w:rPr>
        <w:t xml:space="preserve">relate to </w:t>
      </w:r>
      <w:r w:rsidR="0072335B" w:rsidRPr="0072335B">
        <w:rPr>
          <w:rFonts w:ascii="Times New Roman" w:hAnsi="Times New Roman"/>
          <w:sz w:val="24"/>
          <w:szCs w:val="24"/>
        </w:rPr>
        <w:t xml:space="preserve">developing an internal capital allocation </w:t>
      </w:r>
      <w:r w:rsidR="0072335B">
        <w:rPr>
          <w:rFonts w:ascii="Times New Roman" w:hAnsi="Times New Roman"/>
          <w:sz w:val="24"/>
          <w:szCs w:val="24"/>
        </w:rPr>
        <w:t xml:space="preserve">and establishing </w:t>
      </w:r>
      <w:r w:rsidR="0072335B" w:rsidRPr="0072335B">
        <w:rPr>
          <w:rFonts w:ascii="Times New Roman" w:hAnsi="Times New Roman"/>
          <w:sz w:val="24"/>
          <w:szCs w:val="24"/>
        </w:rPr>
        <w:t>procedures for a capital shortfall assessment, both in relation to a group</w:t>
      </w:r>
      <w:r w:rsidR="0072335B">
        <w:rPr>
          <w:rFonts w:ascii="Times New Roman" w:hAnsi="Times New Roman"/>
          <w:sz w:val="24"/>
          <w:szCs w:val="24"/>
        </w:rPr>
        <w:t>’</w:t>
      </w:r>
      <w:r w:rsidR="0072335B" w:rsidRPr="0072335B">
        <w:rPr>
          <w:rFonts w:ascii="Times New Roman" w:hAnsi="Times New Roman"/>
          <w:sz w:val="24"/>
          <w:szCs w:val="24"/>
        </w:rPr>
        <w:t xml:space="preserve">s non-APRA-regulated institutions that expose </w:t>
      </w:r>
      <w:r w:rsidR="008B6AEB">
        <w:rPr>
          <w:rFonts w:ascii="Times New Roman" w:hAnsi="Times New Roman"/>
          <w:sz w:val="24"/>
          <w:szCs w:val="24"/>
        </w:rPr>
        <w:t>d</w:t>
      </w:r>
      <w:r w:rsidR="00274376">
        <w:rPr>
          <w:rFonts w:ascii="Times New Roman" w:hAnsi="Times New Roman"/>
          <w:sz w:val="24"/>
          <w:szCs w:val="24"/>
        </w:rPr>
        <w:t>epositors, policyholders and superannuation members</w:t>
      </w:r>
      <w:r w:rsidR="0072335B">
        <w:rPr>
          <w:rFonts w:ascii="Times New Roman" w:hAnsi="Times New Roman"/>
          <w:sz w:val="24"/>
          <w:szCs w:val="24"/>
        </w:rPr>
        <w:t xml:space="preserve"> to material risk</w:t>
      </w:r>
      <w:r w:rsidR="0072335B" w:rsidRPr="00FC4B72">
        <w:rPr>
          <w:rFonts w:ascii="Times New Roman" w:hAnsi="Times New Roman"/>
          <w:sz w:val="24"/>
          <w:szCs w:val="24"/>
        </w:rPr>
        <w:t xml:space="preserve">. </w:t>
      </w:r>
      <w:r w:rsidR="0072335B">
        <w:rPr>
          <w:rFonts w:ascii="Times New Roman" w:hAnsi="Times New Roman"/>
          <w:sz w:val="24"/>
          <w:szCs w:val="24"/>
        </w:rPr>
        <w:t xml:space="preserve">It was indicated to APRA that there </w:t>
      </w:r>
      <w:r w:rsidR="00901329">
        <w:rPr>
          <w:rFonts w:ascii="Times New Roman" w:hAnsi="Times New Roman"/>
          <w:sz w:val="24"/>
          <w:szCs w:val="24"/>
        </w:rPr>
        <w:t xml:space="preserve">would </w:t>
      </w:r>
      <w:r w:rsidR="0072335B">
        <w:rPr>
          <w:rFonts w:ascii="Times New Roman" w:hAnsi="Times New Roman"/>
          <w:sz w:val="24"/>
          <w:szCs w:val="24"/>
        </w:rPr>
        <w:t xml:space="preserve">likely </w:t>
      </w:r>
      <w:r w:rsidR="0072335B" w:rsidRPr="00FC4B72">
        <w:rPr>
          <w:rFonts w:ascii="Times New Roman" w:hAnsi="Times New Roman"/>
          <w:sz w:val="24"/>
          <w:szCs w:val="24"/>
        </w:rPr>
        <w:t>be no on-going compliance costs as existing FTE would absorb the additional work</w:t>
      </w:r>
      <w:r w:rsidR="0072335B">
        <w:rPr>
          <w:rFonts w:ascii="Times New Roman" w:hAnsi="Times New Roman"/>
          <w:sz w:val="24"/>
          <w:szCs w:val="24"/>
        </w:rPr>
        <w:t>.</w:t>
      </w:r>
    </w:p>
    <w:p w14:paraId="7CF69FEB" w14:textId="4CBAEA8B" w:rsidR="0046135C" w:rsidRDefault="007734D3" w:rsidP="00F04EC0">
      <w:pPr>
        <w:spacing w:after="240"/>
        <w:jc w:val="both"/>
        <w:rPr>
          <w:rFonts w:ascii="Times New Roman" w:hAnsi="Times New Roman"/>
          <w:sz w:val="24"/>
          <w:szCs w:val="24"/>
        </w:rPr>
      </w:pPr>
      <w:r>
        <w:rPr>
          <w:rFonts w:ascii="Times New Roman" w:hAnsi="Times New Roman"/>
          <w:sz w:val="24"/>
          <w:szCs w:val="24"/>
        </w:rPr>
        <w:t xml:space="preserve">In relation to governance and risk management, APRA expects associated compliance costs </w:t>
      </w:r>
      <w:r w:rsidR="00901329">
        <w:rPr>
          <w:rFonts w:ascii="Times New Roman" w:hAnsi="Times New Roman"/>
          <w:sz w:val="24"/>
          <w:szCs w:val="24"/>
        </w:rPr>
        <w:t xml:space="preserve">would </w:t>
      </w:r>
      <w:r>
        <w:rPr>
          <w:rFonts w:ascii="Times New Roman" w:hAnsi="Times New Roman"/>
          <w:sz w:val="24"/>
          <w:szCs w:val="24"/>
        </w:rPr>
        <w:t xml:space="preserve">be </w:t>
      </w:r>
      <w:r w:rsidR="006F5703">
        <w:rPr>
          <w:rFonts w:ascii="Times New Roman" w:hAnsi="Times New Roman"/>
          <w:sz w:val="24"/>
          <w:szCs w:val="24"/>
        </w:rPr>
        <w:t>negligible</w:t>
      </w:r>
      <w:r>
        <w:rPr>
          <w:rFonts w:ascii="Times New Roman" w:hAnsi="Times New Roman"/>
          <w:sz w:val="24"/>
          <w:szCs w:val="24"/>
        </w:rPr>
        <w:t xml:space="preserve">. The eight conglomerate groups </w:t>
      </w:r>
      <w:r w:rsidR="0046135C">
        <w:rPr>
          <w:rFonts w:ascii="Times New Roman" w:hAnsi="Times New Roman"/>
          <w:sz w:val="24"/>
          <w:szCs w:val="24"/>
        </w:rPr>
        <w:t xml:space="preserve">have indicated that </w:t>
      </w:r>
      <w:r w:rsidR="00334E90">
        <w:rPr>
          <w:rFonts w:ascii="Times New Roman" w:hAnsi="Times New Roman"/>
          <w:sz w:val="24"/>
          <w:szCs w:val="24"/>
        </w:rPr>
        <w:t xml:space="preserve">they already </w:t>
      </w:r>
      <w:r w:rsidR="00526A01">
        <w:rPr>
          <w:rFonts w:ascii="Times New Roman" w:hAnsi="Times New Roman"/>
          <w:sz w:val="24"/>
          <w:szCs w:val="24"/>
        </w:rPr>
        <w:t>near-fully</w:t>
      </w:r>
      <w:r w:rsidR="00334E90">
        <w:rPr>
          <w:rFonts w:ascii="Times New Roman" w:hAnsi="Times New Roman"/>
          <w:sz w:val="24"/>
          <w:szCs w:val="24"/>
        </w:rPr>
        <w:t xml:space="preserve"> meet these requirements.</w:t>
      </w:r>
    </w:p>
    <w:p w14:paraId="1C61F628" w14:textId="4A403E51" w:rsidR="005F1C0F" w:rsidRDefault="00FE2114" w:rsidP="00C74D2F">
      <w:pPr>
        <w:jc w:val="both"/>
        <w:rPr>
          <w:rFonts w:ascii="Times New Roman" w:hAnsi="Times New Roman"/>
          <w:sz w:val="24"/>
          <w:szCs w:val="24"/>
        </w:rPr>
      </w:pPr>
      <w:r>
        <w:rPr>
          <w:rFonts w:ascii="Times New Roman" w:hAnsi="Times New Roman"/>
          <w:sz w:val="24"/>
          <w:szCs w:val="24"/>
        </w:rPr>
        <w:t xml:space="preserve">APRA assumes </w:t>
      </w:r>
      <w:r w:rsidR="001A11F4">
        <w:rPr>
          <w:rFonts w:ascii="Times New Roman" w:hAnsi="Times New Roman"/>
          <w:sz w:val="24"/>
          <w:szCs w:val="24"/>
        </w:rPr>
        <w:t xml:space="preserve">a total </w:t>
      </w:r>
      <w:r w:rsidR="0075627F">
        <w:rPr>
          <w:rFonts w:ascii="Times New Roman" w:hAnsi="Times New Roman"/>
          <w:sz w:val="24"/>
          <w:szCs w:val="24"/>
        </w:rPr>
        <w:t xml:space="preserve">compliance cost per group </w:t>
      </w:r>
      <w:r>
        <w:rPr>
          <w:rFonts w:ascii="Times New Roman" w:hAnsi="Times New Roman"/>
          <w:sz w:val="24"/>
          <w:szCs w:val="24"/>
        </w:rPr>
        <w:t xml:space="preserve">of </w:t>
      </w:r>
      <w:r w:rsidR="00FC4B72">
        <w:rPr>
          <w:rFonts w:ascii="Times New Roman" w:hAnsi="Times New Roman"/>
          <w:sz w:val="24"/>
          <w:szCs w:val="24"/>
        </w:rPr>
        <w:t>$</w:t>
      </w:r>
      <w:r w:rsidR="00693DED">
        <w:rPr>
          <w:rFonts w:ascii="Times New Roman" w:hAnsi="Times New Roman"/>
          <w:sz w:val="24"/>
          <w:szCs w:val="24"/>
        </w:rPr>
        <w:t>9</w:t>
      </w:r>
      <w:r w:rsidR="00FC4B72">
        <w:rPr>
          <w:rFonts w:ascii="Times New Roman" w:hAnsi="Times New Roman"/>
          <w:sz w:val="24"/>
          <w:szCs w:val="24"/>
        </w:rPr>
        <w:t xml:space="preserve"> million</w:t>
      </w:r>
      <w:r w:rsidR="00781F71">
        <w:rPr>
          <w:rFonts w:ascii="Times New Roman" w:hAnsi="Times New Roman"/>
          <w:sz w:val="24"/>
          <w:szCs w:val="24"/>
        </w:rPr>
        <w:t xml:space="preserve"> ($72 million in total)</w:t>
      </w:r>
      <w:r w:rsidR="0075627F">
        <w:rPr>
          <w:rFonts w:ascii="Times New Roman" w:hAnsi="Times New Roman"/>
          <w:sz w:val="24"/>
          <w:szCs w:val="24"/>
        </w:rPr>
        <w:t xml:space="preserve">. APRA considers that these costs are offset by </w:t>
      </w:r>
      <w:r w:rsidR="0062655C">
        <w:rPr>
          <w:rFonts w:ascii="Times New Roman" w:hAnsi="Times New Roman"/>
          <w:sz w:val="24"/>
          <w:szCs w:val="24"/>
        </w:rPr>
        <w:t>material benefits.</w:t>
      </w:r>
      <w:r w:rsidR="0075627F">
        <w:rPr>
          <w:rFonts w:ascii="Times New Roman" w:hAnsi="Times New Roman"/>
          <w:sz w:val="24"/>
          <w:szCs w:val="24"/>
        </w:rPr>
        <w:t xml:space="preserve"> </w:t>
      </w:r>
      <w:r w:rsidR="0062655C">
        <w:rPr>
          <w:rFonts w:ascii="Times New Roman" w:hAnsi="Times New Roman"/>
          <w:sz w:val="24"/>
          <w:szCs w:val="24"/>
        </w:rPr>
        <w:t xml:space="preserve">Level 3 </w:t>
      </w:r>
      <w:r w:rsidR="0075627F">
        <w:rPr>
          <w:rFonts w:ascii="Times New Roman" w:hAnsi="Times New Roman"/>
          <w:sz w:val="24"/>
          <w:szCs w:val="24"/>
        </w:rPr>
        <w:t xml:space="preserve">groups </w:t>
      </w:r>
      <w:r w:rsidR="00901329">
        <w:rPr>
          <w:rFonts w:ascii="Times New Roman" w:hAnsi="Times New Roman"/>
          <w:sz w:val="24"/>
          <w:szCs w:val="24"/>
        </w:rPr>
        <w:t xml:space="preserve">would </w:t>
      </w:r>
      <w:r w:rsidR="0075627F">
        <w:rPr>
          <w:rFonts w:ascii="Times New Roman" w:hAnsi="Times New Roman"/>
          <w:sz w:val="24"/>
          <w:szCs w:val="24"/>
        </w:rPr>
        <w:t xml:space="preserve">benefit from a more stable financial position. </w:t>
      </w:r>
      <w:r>
        <w:rPr>
          <w:rFonts w:ascii="Times New Roman" w:hAnsi="Times New Roman"/>
          <w:sz w:val="24"/>
          <w:szCs w:val="24"/>
        </w:rPr>
        <w:t>APRA</w:t>
      </w:r>
      <w:r w:rsidR="00F22F2F">
        <w:rPr>
          <w:rFonts w:ascii="Times New Roman" w:hAnsi="Times New Roman"/>
          <w:sz w:val="24"/>
          <w:szCs w:val="24"/>
        </w:rPr>
        <w:t xml:space="preserve"> </w:t>
      </w:r>
      <w:r>
        <w:rPr>
          <w:rFonts w:ascii="Times New Roman" w:hAnsi="Times New Roman"/>
          <w:sz w:val="24"/>
          <w:szCs w:val="24"/>
        </w:rPr>
        <w:t xml:space="preserve">and groups </w:t>
      </w:r>
      <w:r w:rsidR="00F22F2F">
        <w:rPr>
          <w:rFonts w:ascii="Times New Roman" w:hAnsi="Times New Roman"/>
          <w:sz w:val="24"/>
          <w:szCs w:val="24"/>
        </w:rPr>
        <w:t xml:space="preserve">also face lower </w:t>
      </w:r>
      <w:r w:rsidR="0095548A">
        <w:rPr>
          <w:rFonts w:ascii="Times New Roman" w:hAnsi="Times New Roman"/>
          <w:sz w:val="24"/>
          <w:szCs w:val="24"/>
        </w:rPr>
        <w:t xml:space="preserve">operational and compliance </w:t>
      </w:r>
      <w:r w:rsidR="00F22F2F">
        <w:rPr>
          <w:rFonts w:ascii="Times New Roman" w:hAnsi="Times New Roman"/>
          <w:sz w:val="24"/>
          <w:szCs w:val="24"/>
        </w:rPr>
        <w:t xml:space="preserve">costs as </w:t>
      </w:r>
      <w:r w:rsidR="0062655C">
        <w:rPr>
          <w:rFonts w:ascii="Times New Roman" w:hAnsi="Times New Roman"/>
          <w:sz w:val="24"/>
          <w:szCs w:val="24"/>
        </w:rPr>
        <w:t xml:space="preserve">the </w:t>
      </w:r>
      <w:r w:rsidR="00F22F2F">
        <w:rPr>
          <w:rFonts w:ascii="Times New Roman" w:hAnsi="Times New Roman"/>
          <w:sz w:val="24"/>
          <w:szCs w:val="24"/>
        </w:rPr>
        <w:t xml:space="preserve">Level 3 </w:t>
      </w:r>
      <w:r w:rsidR="0062655C">
        <w:rPr>
          <w:rFonts w:ascii="Times New Roman" w:hAnsi="Times New Roman"/>
          <w:sz w:val="24"/>
          <w:szCs w:val="24"/>
        </w:rPr>
        <w:t xml:space="preserve">framework </w:t>
      </w:r>
      <w:r w:rsidR="00901329">
        <w:rPr>
          <w:rFonts w:ascii="Times New Roman" w:hAnsi="Times New Roman"/>
          <w:sz w:val="24"/>
          <w:szCs w:val="24"/>
        </w:rPr>
        <w:t xml:space="preserve">would </w:t>
      </w:r>
      <w:r w:rsidR="00F22F2F">
        <w:rPr>
          <w:rFonts w:ascii="Times New Roman" w:hAnsi="Times New Roman"/>
          <w:sz w:val="24"/>
          <w:szCs w:val="24"/>
        </w:rPr>
        <w:t xml:space="preserve">standardise and streamline the existing </w:t>
      </w:r>
      <w:r w:rsidR="00F22F2F" w:rsidRPr="00513B54">
        <w:rPr>
          <w:rStyle w:val="Emphasis"/>
        </w:rPr>
        <w:t>ad hoc</w:t>
      </w:r>
      <w:r w:rsidR="00F22F2F" w:rsidRPr="00F716F9">
        <w:rPr>
          <w:rFonts w:ascii="Times New Roman" w:hAnsi="Times New Roman"/>
          <w:szCs w:val="24"/>
        </w:rPr>
        <w:t xml:space="preserve"> </w:t>
      </w:r>
      <w:r w:rsidR="00F22F2F">
        <w:rPr>
          <w:rFonts w:ascii="Times New Roman" w:hAnsi="Times New Roman"/>
          <w:sz w:val="24"/>
          <w:szCs w:val="24"/>
        </w:rPr>
        <w:t xml:space="preserve">arrangements. </w:t>
      </w:r>
      <w:r>
        <w:rPr>
          <w:rFonts w:ascii="Times New Roman" w:hAnsi="Times New Roman"/>
          <w:sz w:val="24"/>
          <w:szCs w:val="24"/>
        </w:rPr>
        <w:t xml:space="preserve">Stakeholders are assumed to </w:t>
      </w:r>
      <w:r w:rsidR="0075627F">
        <w:rPr>
          <w:rFonts w:ascii="Times New Roman" w:hAnsi="Times New Roman"/>
          <w:sz w:val="24"/>
          <w:szCs w:val="24"/>
        </w:rPr>
        <w:t>benefit from a more stable financial system</w:t>
      </w:r>
      <w:r w:rsidR="00DE06A5">
        <w:rPr>
          <w:rFonts w:ascii="Times New Roman" w:hAnsi="Times New Roman"/>
          <w:sz w:val="24"/>
          <w:szCs w:val="24"/>
        </w:rPr>
        <w:t xml:space="preserve"> </w:t>
      </w:r>
      <w:r w:rsidR="00B205D5">
        <w:rPr>
          <w:rFonts w:ascii="Times New Roman" w:hAnsi="Times New Roman"/>
          <w:sz w:val="24"/>
          <w:szCs w:val="24"/>
        </w:rPr>
        <w:t xml:space="preserve">and </w:t>
      </w:r>
      <w:r w:rsidR="00DE06A5">
        <w:rPr>
          <w:rFonts w:ascii="Times New Roman" w:hAnsi="Times New Roman"/>
          <w:sz w:val="24"/>
          <w:szCs w:val="24"/>
        </w:rPr>
        <w:t>enhanced confidence that there is oversight of risks within a group</w:t>
      </w:r>
      <w:r w:rsidR="005F1C0F">
        <w:rPr>
          <w:rFonts w:ascii="Times New Roman" w:hAnsi="Times New Roman"/>
          <w:sz w:val="24"/>
          <w:szCs w:val="24"/>
        </w:rPr>
        <w:t>.</w:t>
      </w:r>
    </w:p>
    <w:p w14:paraId="752D12B4" w14:textId="77777777" w:rsidR="0075627F" w:rsidRDefault="0075627F" w:rsidP="00C74D2F">
      <w:pPr>
        <w:jc w:val="both"/>
        <w:rPr>
          <w:rFonts w:ascii="Times New Roman" w:hAnsi="Times New Roman"/>
          <w:sz w:val="24"/>
          <w:szCs w:val="24"/>
        </w:rPr>
      </w:pPr>
    </w:p>
    <w:p w14:paraId="5D3369BE" w14:textId="27DDD79F" w:rsidR="00721C8E" w:rsidRDefault="00526A01" w:rsidP="00377B58">
      <w:pPr>
        <w:spacing w:after="240"/>
        <w:jc w:val="both"/>
        <w:rPr>
          <w:rFonts w:ascii="Times New Roman" w:hAnsi="Times New Roman"/>
          <w:sz w:val="24"/>
          <w:szCs w:val="24"/>
        </w:rPr>
      </w:pPr>
      <w:r>
        <w:rPr>
          <w:rFonts w:ascii="Times New Roman" w:hAnsi="Times New Roman"/>
          <w:sz w:val="24"/>
          <w:szCs w:val="24"/>
        </w:rPr>
        <w:t xml:space="preserve">To give an idea of relative scale, </w:t>
      </w:r>
      <w:r w:rsidR="00AE4833">
        <w:rPr>
          <w:rFonts w:ascii="Times New Roman" w:hAnsi="Times New Roman"/>
          <w:sz w:val="24"/>
          <w:szCs w:val="24"/>
        </w:rPr>
        <w:t xml:space="preserve">$72 million is approximately </w:t>
      </w:r>
      <w:r w:rsidR="00762F52">
        <w:rPr>
          <w:rFonts w:ascii="Times New Roman" w:hAnsi="Times New Roman"/>
          <w:sz w:val="24"/>
          <w:szCs w:val="24"/>
        </w:rPr>
        <w:t xml:space="preserve">0.002 </w:t>
      </w:r>
      <w:r w:rsidR="00AE4833">
        <w:rPr>
          <w:rFonts w:ascii="Times New Roman" w:hAnsi="Times New Roman"/>
          <w:sz w:val="24"/>
          <w:szCs w:val="24"/>
        </w:rPr>
        <w:t xml:space="preserve">per cent of the assets of the affected groups. </w:t>
      </w:r>
      <w:r w:rsidR="00721C8E" w:rsidRPr="00721C8E">
        <w:rPr>
          <w:rFonts w:ascii="Times New Roman" w:hAnsi="Times New Roman"/>
          <w:sz w:val="24"/>
          <w:szCs w:val="24"/>
        </w:rPr>
        <w:t>The identified</w:t>
      </w:r>
      <w:r w:rsidR="001735FA">
        <w:rPr>
          <w:rFonts w:ascii="Times New Roman" w:hAnsi="Times New Roman"/>
          <w:sz w:val="24"/>
          <w:szCs w:val="24"/>
        </w:rPr>
        <w:t xml:space="preserve"> </w:t>
      </w:r>
      <w:r w:rsidR="00721C8E" w:rsidRPr="00721C8E">
        <w:rPr>
          <w:rFonts w:ascii="Times New Roman" w:hAnsi="Times New Roman"/>
          <w:sz w:val="24"/>
          <w:szCs w:val="24"/>
        </w:rPr>
        <w:t xml:space="preserve">compliance costs </w:t>
      </w:r>
      <w:r w:rsidR="001735FA">
        <w:rPr>
          <w:rFonts w:ascii="Times New Roman" w:hAnsi="Times New Roman"/>
          <w:sz w:val="24"/>
          <w:szCs w:val="24"/>
        </w:rPr>
        <w:t xml:space="preserve">for all eight groups </w:t>
      </w:r>
      <w:r w:rsidR="00721C8E" w:rsidRPr="00721C8E">
        <w:rPr>
          <w:rFonts w:ascii="Times New Roman" w:hAnsi="Times New Roman"/>
          <w:sz w:val="24"/>
          <w:szCs w:val="24"/>
        </w:rPr>
        <w:t xml:space="preserve">of $72 million are less than </w:t>
      </w:r>
      <w:r w:rsidR="00D94A23">
        <w:rPr>
          <w:rFonts w:ascii="Times New Roman" w:hAnsi="Times New Roman"/>
          <w:sz w:val="24"/>
          <w:szCs w:val="24"/>
        </w:rPr>
        <w:t>0.</w:t>
      </w:r>
      <w:r w:rsidR="00F04EC0">
        <w:rPr>
          <w:rFonts w:ascii="Times New Roman" w:hAnsi="Times New Roman"/>
          <w:sz w:val="24"/>
          <w:szCs w:val="24"/>
        </w:rPr>
        <w:t>25</w:t>
      </w:r>
      <w:r w:rsidR="00D94A23">
        <w:rPr>
          <w:rFonts w:ascii="Times New Roman" w:hAnsi="Times New Roman"/>
          <w:sz w:val="24"/>
          <w:szCs w:val="24"/>
        </w:rPr>
        <w:t xml:space="preserve"> per cent </w:t>
      </w:r>
      <w:r w:rsidR="00721C8E" w:rsidRPr="00721C8E">
        <w:rPr>
          <w:rFonts w:ascii="Times New Roman" w:hAnsi="Times New Roman"/>
          <w:sz w:val="24"/>
          <w:szCs w:val="24"/>
        </w:rPr>
        <w:t xml:space="preserve">of the </w:t>
      </w:r>
      <w:r w:rsidR="00721C8E">
        <w:rPr>
          <w:rFonts w:ascii="Times New Roman" w:hAnsi="Times New Roman"/>
          <w:sz w:val="24"/>
          <w:szCs w:val="24"/>
        </w:rPr>
        <w:t xml:space="preserve">conglomerate groups’ </w:t>
      </w:r>
      <w:r w:rsidR="00693DED">
        <w:rPr>
          <w:rFonts w:ascii="Times New Roman" w:hAnsi="Times New Roman"/>
          <w:sz w:val="24"/>
          <w:szCs w:val="24"/>
        </w:rPr>
        <w:t xml:space="preserve">financial year </w:t>
      </w:r>
      <w:r w:rsidR="009832A9">
        <w:rPr>
          <w:rFonts w:ascii="Times New Roman" w:hAnsi="Times New Roman"/>
          <w:sz w:val="24"/>
          <w:szCs w:val="24"/>
        </w:rPr>
        <w:t xml:space="preserve">2015 </w:t>
      </w:r>
      <w:r w:rsidR="00721C8E">
        <w:rPr>
          <w:rFonts w:ascii="Times New Roman" w:hAnsi="Times New Roman"/>
          <w:sz w:val="24"/>
          <w:szCs w:val="24"/>
        </w:rPr>
        <w:t xml:space="preserve">combined </w:t>
      </w:r>
      <w:r w:rsidR="00721C8E" w:rsidRPr="00721C8E">
        <w:rPr>
          <w:rFonts w:ascii="Times New Roman" w:hAnsi="Times New Roman"/>
          <w:sz w:val="24"/>
          <w:szCs w:val="24"/>
        </w:rPr>
        <w:t>profits</w:t>
      </w:r>
      <w:r w:rsidR="002A54A9">
        <w:rPr>
          <w:rFonts w:ascii="Times New Roman" w:hAnsi="Times New Roman"/>
          <w:sz w:val="24"/>
          <w:szCs w:val="24"/>
        </w:rPr>
        <w:t xml:space="preserve"> of close to $</w:t>
      </w:r>
      <w:r w:rsidR="009832A9">
        <w:rPr>
          <w:rFonts w:ascii="Times New Roman" w:hAnsi="Times New Roman"/>
          <w:sz w:val="24"/>
          <w:szCs w:val="24"/>
        </w:rPr>
        <w:t xml:space="preserve">35 </w:t>
      </w:r>
      <w:r w:rsidR="002A54A9">
        <w:rPr>
          <w:rFonts w:ascii="Times New Roman" w:hAnsi="Times New Roman"/>
          <w:sz w:val="24"/>
          <w:szCs w:val="24"/>
        </w:rPr>
        <w:t>billion</w:t>
      </w:r>
      <w:r w:rsidR="00AE4833">
        <w:rPr>
          <w:rFonts w:ascii="Times New Roman" w:hAnsi="Times New Roman"/>
          <w:sz w:val="24"/>
          <w:szCs w:val="24"/>
        </w:rPr>
        <w:t>. These comparisons</w:t>
      </w:r>
      <w:r w:rsidR="00D94A23">
        <w:rPr>
          <w:rFonts w:ascii="Times New Roman" w:hAnsi="Times New Roman"/>
          <w:sz w:val="24"/>
          <w:szCs w:val="24"/>
        </w:rPr>
        <w:t xml:space="preserve"> </w:t>
      </w:r>
      <w:r w:rsidR="00693DED">
        <w:rPr>
          <w:rFonts w:ascii="Times New Roman" w:hAnsi="Times New Roman"/>
          <w:sz w:val="24"/>
          <w:szCs w:val="24"/>
        </w:rPr>
        <w:t>support</w:t>
      </w:r>
      <w:r w:rsidR="00D94A23">
        <w:rPr>
          <w:rFonts w:ascii="Times New Roman" w:hAnsi="Times New Roman"/>
          <w:sz w:val="24"/>
          <w:szCs w:val="24"/>
        </w:rPr>
        <w:t xml:space="preserve"> APRA’s </w:t>
      </w:r>
      <w:r w:rsidR="00B205D5">
        <w:rPr>
          <w:rFonts w:ascii="Times New Roman" w:hAnsi="Times New Roman"/>
          <w:sz w:val="24"/>
          <w:szCs w:val="24"/>
        </w:rPr>
        <w:t>assumption of</w:t>
      </w:r>
      <w:r w:rsidR="00D94A23">
        <w:rPr>
          <w:rFonts w:ascii="Times New Roman" w:hAnsi="Times New Roman"/>
          <w:sz w:val="24"/>
          <w:szCs w:val="24"/>
        </w:rPr>
        <w:t xml:space="preserve"> </w:t>
      </w:r>
      <w:r w:rsidR="00721C8E">
        <w:rPr>
          <w:rFonts w:ascii="Times New Roman" w:hAnsi="Times New Roman"/>
          <w:sz w:val="24"/>
          <w:szCs w:val="24"/>
        </w:rPr>
        <w:t xml:space="preserve">negligible impact on the groups’ profitability and competitiveness. </w:t>
      </w:r>
      <w:r w:rsidR="00B5453C">
        <w:rPr>
          <w:rFonts w:ascii="Times New Roman" w:hAnsi="Times New Roman"/>
          <w:sz w:val="24"/>
          <w:szCs w:val="24"/>
        </w:rPr>
        <w:t xml:space="preserve">This should also mean that interest rates offered to or received by customers should not be affected. </w:t>
      </w:r>
      <w:r w:rsidR="00721C8E">
        <w:rPr>
          <w:rFonts w:ascii="Times New Roman" w:hAnsi="Times New Roman"/>
          <w:sz w:val="24"/>
          <w:szCs w:val="24"/>
        </w:rPr>
        <w:t xml:space="preserve">As the conglomerate groups would not be required to raise additional capital to meet the proposed capital adequacy requirements, APRA does not expect </w:t>
      </w:r>
      <w:r w:rsidR="009C20DE">
        <w:rPr>
          <w:rFonts w:ascii="Times New Roman" w:hAnsi="Times New Roman"/>
          <w:sz w:val="24"/>
          <w:szCs w:val="24"/>
        </w:rPr>
        <w:t xml:space="preserve">the proposals to affect the ability of </w:t>
      </w:r>
      <w:r w:rsidR="00AD6D8E">
        <w:rPr>
          <w:rFonts w:ascii="Times New Roman" w:hAnsi="Times New Roman"/>
          <w:sz w:val="24"/>
          <w:szCs w:val="24"/>
        </w:rPr>
        <w:t>groups</w:t>
      </w:r>
      <w:r w:rsidR="009C20DE">
        <w:rPr>
          <w:rFonts w:ascii="Times New Roman" w:hAnsi="Times New Roman"/>
          <w:sz w:val="24"/>
          <w:szCs w:val="24"/>
        </w:rPr>
        <w:t xml:space="preserve"> to</w:t>
      </w:r>
      <w:r w:rsidR="00AE4833">
        <w:rPr>
          <w:rFonts w:ascii="Times New Roman" w:hAnsi="Times New Roman"/>
          <w:sz w:val="24"/>
          <w:szCs w:val="24"/>
        </w:rPr>
        <w:t xml:space="preserve"> maintain or</w:t>
      </w:r>
      <w:r w:rsidR="009C20DE">
        <w:rPr>
          <w:rFonts w:ascii="Times New Roman" w:hAnsi="Times New Roman"/>
          <w:sz w:val="24"/>
          <w:szCs w:val="24"/>
        </w:rPr>
        <w:t xml:space="preserve"> access capital.</w:t>
      </w:r>
    </w:p>
    <w:p w14:paraId="186C7CA9" w14:textId="49EE0233" w:rsidR="0017219C" w:rsidRDefault="00883807">
      <w:pPr>
        <w:spacing w:after="240"/>
        <w:jc w:val="both"/>
        <w:rPr>
          <w:rFonts w:ascii="Times New Roman" w:hAnsi="Times New Roman"/>
          <w:sz w:val="24"/>
          <w:szCs w:val="24"/>
        </w:rPr>
      </w:pPr>
      <w:r>
        <w:rPr>
          <w:rFonts w:ascii="Times New Roman" w:hAnsi="Times New Roman"/>
          <w:sz w:val="24"/>
          <w:szCs w:val="24"/>
        </w:rPr>
        <w:t xml:space="preserve">There is a risk that groups may restructure to avoid the conglomerate designation. The framework intends to address the risks associated with conglomerate groups, and redress the competitive imbalances from the commercial operations of such groups. APRA considers that this can be achieved either by subjecting a group to conglomerate supervision or through the group restructuring in a manner that removes the relevant risks. Through its supervision APRA </w:t>
      </w:r>
      <w:r w:rsidR="00A4372A">
        <w:rPr>
          <w:rFonts w:ascii="Times New Roman" w:hAnsi="Times New Roman"/>
          <w:sz w:val="24"/>
          <w:szCs w:val="24"/>
        </w:rPr>
        <w:t>would</w:t>
      </w:r>
      <w:r>
        <w:rPr>
          <w:rFonts w:ascii="Times New Roman" w:hAnsi="Times New Roman"/>
          <w:sz w:val="24"/>
          <w:szCs w:val="24"/>
        </w:rPr>
        <w:t xml:space="preserve">, however, address </w:t>
      </w:r>
      <w:r w:rsidR="00A4372A">
        <w:rPr>
          <w:rFonts w:ascii="Times New Roman" w:hAnsi="Times New Roman"/>
          <w:sz w:val="24"/>
          <w:szCs w:val="24"/>
        </w:rPr>
        <w:t xml:space="preserve">any </w:t>
      </w:r>
      <w:r>
        <w:rPr>
          <w:rFonts w:ascii="Times New Roman" w:hAnsi="Times New Roman"/>
          <w:sz w:val="24"/>
          <w:szCs w:val="24"/>
        </w:rPr>
        <w:t xml:space="preserve">supervisory concerns if a group were to restructure in such a manner that it </w:t>
      </w:r>
      <w:r w:rsidR="00A4372A">
        <w:rPr>
          <w:rFonts w:ascii="Times New Roman" w:hAnsi="Times New Roman"/>
          <w:sz w:val="24"/>
          <w:szCs w:val="24"/>
        </w:rPr>
        <w:t xml:space="preserve">was </w:t>
      </w:r>
      <w:r>
        <w:rPr>
          <w:rFonts w:ascii="Times New Roman" w:hAnsi="Times New Roman"/>
          <w:sz w:val="24"/>
          <w:szCs w:val="24"/>
        </w:rPr>
        <w:t>formally no longer a conglomerate group yet still materially expose</w:t>
      </w:r>
      <w:r w:rsidR="00A4372A">
        <w:rPr>
          <w:rFonts w:ascii="Times New Roman" w:hAnsi="Times New Roman"/>
          <w:sz w:val="24"/>
          <w:szCs w:val="24"/>
        </w:rPr>
        <w:t>d</w:t>
      </w:r>
      <w:r>
        <w:rPr>
          <w:rFonts w:ascii="Times New Roman" w:hAnsi="Times New Roman"/>
          <w:sz w:val="24"/>
          <w:szCs w:val="24"/>
        </w:rPr>
        <w:t xml:space="preserve">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Pr>
          <w:rFonts w:ascii="Times New Roman" w:hAnsi="Times New Roman"/>
          <w:sz w:val="24"/>
          <w:szCs w:val="24"/>
        </w:rPr>
        <w:t xml:space="preserve"> to the risks associated with being a conglomerate group</w:t>
      </w:r>
      <w:r w:rsidR="00B205D5">
        <w:rPr>
          <w:rFonts w:ascii="Times New Roman" w:hAnsi="Times New Roman"/>
          <w:sz w:val="24"/>
          <w:szCs w:val="24"/>
        </w:rPr>
        <w:t>.</w:t>
      </w:r>
    </w:p>
    <w:p w14:paraId="14F722AF" w14:textId="3E076C55" w:rsidR="00DE06A5" w:rsidRDefault="00477691">
      <w:pPr>
        <w:spacing w:after="240"/>
        <w:jc w:val="both"/>
        <w:rPr>
          <w:rFonts w:ascii="Times New Roman" w:hAnsi="Times New Roman"/>
          <w:sz w:val="24"/>
          <w:szCs w:val="24"/>
        </w:rPr>
      </w:pPr>
      <w:r>
        <w:rPr>
          <w:rFonts w:ascii="Times New Roman" w:hAnsi="Times New Roman"/>
          <w:sz w:val="24"/>
          <w:szCs w:val="24"/>
        </w:rPr>
        <w:t>APRA considers that t</w:t>
      </w:r>
      <w:r w:rsidR="00DE06A5">
        <w:rPr>
          <w:rFonts w:ascii="Times New Roman" w:hAnsi="Times New Roman"/>
          <w:sz w:val="24"/>
          <w:szCs w:val="24"/>
        </w:rPr>
        <w:t>he</w:t>
      </w:r>
      <w:r w:rsidR="00AE4833">
        <w:rPr>
          <w:rFonts w:ascii="Times New Roman" w:hAnsi="Times New Roman"/>
          <w:sz w:val="24"/>
          <w:szCs w:val="24"/>
        </w:rPr>
        <w:t xml:space="preserve"> transition</w:t>
      </w:r>
      <w:r w:rsidR="00DE06A5">
        <w:rPr>
          <w:rFonts w:ascii="Times New Roman" w:hAnsi="Times New Roman"/>
          <w:sz w:val="24"/>
          <w:szCs w:val="24"/>
        </w:rPr>
        <w:t xml:space="preserve"> costs faced by </w:t>
      </w:r>
      <w:r w:rsidR="0095548A">
        <w:rPr>
          <w:rFonts w:ascii="Times New Roman" w:hAnsi="Times New Roman"/>
          <w:sz w:val="24"/>
          <w:szCs w:val="24"/>
        </w:rPr>
        <w:t xml:space="preserve">conglomerate groups </w:t>
      </w:r>
      <w:r w:rsidR="00DE06A5">
        <w:rPr>
          <w:rFonts w:ascii="Times New Roman" w:hAnsi="Times New Roman"/>
          <w:sz w:val="24"/>
          <w:szCs w:val="24"/>
        </w:rPr>
        <w:t xml:space="preserve">are </w:t>
      </w:r>
      <w:r w:rsidR="00AE4833">
        <w:rPr>
          <w:rFonts w:ascii="Times New Roman" w:hAnsi="Times New Roman"/>
          <w:sz w:val="24"/>
          <w:szCs w:val="24"/>
        </w:rPr>
        <w:t xml:space="preserve">well justified. The </w:t>
      </w:r>
      <w:r w:rsidR="00AD6D8E">
        <w:rPr>
          <w:rFonts w:ascii="Times New Roman" w:hAnsi="Times New Roman"/>
          <w:sz w:val="24"/>
          <w:szCs w:val="24"/>
        </w:rPr>
        <w:t>failure of these</w:t>
      </w:r>
      <w:r w:rsidR="00DE06A5">
        <w:rPr>
          <w:rFonts w:ascii="Times New Roman" w:hAnsi="Times New Roman"/>
          <w:sz w:val="24"/>
          <w:szCs w:val="24"/>
        </w:rPr>
        <w:t xml:space="preserve"> </w:t>
      </w:r>
      <w:r>
        <w:rPr>
          <w:rFonts w:ascii="Times New Roman" w:hAnsi="Times New Roman"/>
          <w:sz w:val="24"/>
          <w:szCs w:val="24"/>
        </w:rPr>
        <w:t xml:space="preserve">groups </w:t>
      </w:r>
      <w:r w:rsidR="00A4372A">
        <w:rPr>
          <w:rFonts w:ascii="Times New Roman" w:hAnsi="Times New Roman"/>
          <w:sz w:val="24"/>
          <w:szCs w:val="24"/>
        </w:rPr>
        <w:t xml:space="preserve">could </w:t>
      </w:r>
      <w:r w:rsidR="0095548A">
        <w:rPr>
          <w:rFonts w:ascii="Times New Roman" w:hAnsi="Times New Roman"/>
          <w:sz w:val="24"/>
          <w:szCs w:val="24"/>
        </w:rPr>
        <w:t>significant</w:t>
      </w:r>
      <w:r>
        <w:rPr>
          <w:rFonts w:ascii="Times New Roman" w:hAnsi="Times New Roman"/>
          <w:sz w:val="24"/>
          <w:szCs w:val="24"/>
        </w:rPr>
        <w:t>ly</w:t>
      </w:r>
      <w:r w:rsidR="0095548A">
        <w:rPr>
          <w:rFonts w:ascii="Times New Roman" w:hAnsi="Times New Roman"/>
          <w:sz w:val="24"/>
          <w:szCs w:val="24"/>
        </w:rPr>
        <w:t xml:space="preserve"> </w:t>
      </w:r>
      <w:r w:rsidR="00DE06A5">
        <w:rPr>
          <w:rFonts w:ascii="Times New Roman" w:hAnsi="Times New Roman"/>
          <w:sz w:val="24"/>
          <w:szCs w:val="24"/>
        </w:rPr>
        <w:t xml:space="preserve">impact </w:t>
      </w:r>
      <w:r w:rsidR="00AD6D8E">
        <w:rPr>
          <w:rFonts w:ascii="Times New Roman" w:hAnsi="Times New Roman"/>
          <w:sz w:val="24"/>
          <w:szCs w:val="24"/>
        </w:rPr>
        <w:t xml:space="preserve">Australia’s financial </w:t>
      </w:r>
      <w:r w:rsidR="008E7BC4">
        <w:rPr>
          <w:rFonts w:ascii="Times New Roman" w:hAnsi="Times New Roman"/>
          <w:sz w:val="24"/>
          <w:szCs w:val="24"/>
        </w:rPr>
        <w:t xml:space="preserve">market. </w:t>
      </w:r>
      <w:r w:rsidR="00DE06A5">
        <w:rPr>
          <w:rFonts w:ascii="Times New Roman" w:hAnsi="Times New Roman"/>
          <w:sz w:val="24"/>
          <w:szCs w:val="24"/>
        </w:rPr>
        <w:t xml:space="preserve">A failure </w:t>
      </w:r>
      <w:r w:rsidR="00A4372A">
        <w:rPr>
          <w:rFonts w:ascii="Times New Roman" w:hAnsi="Times New Roman"/>
          <w:sz w:val="24"/>
          <w:szCs w:val="24"/>
        </w:rPr>
        <w:t xml:space="preserve">could </w:t>
      </w:r>
      <w:r w:rsidR="00DE06A5">
        <w:rPr>
          <w:rFonts w:ascii="Times New Roman" w:hAnsi="Times New Roman"/>
          <w:sz w:val="24"/>
          <w:szCs w:val="24"/>
        </w:rPr>
        <w:t xml:space="preserve">give rise to broader economic issues </w:t>
      </w:r>
      <w:r w:rsidR="0095548A">
        <w:rPr>
          <w:rFonts w:ascii="Times New Roman" w:hAnsi="Times New Roman"/>
          <w:sz w:val="24"/>
          <w:szCs w:val="24"/>
        </w:rPr>
        <w:t xml:space="preserve">through contagion </w:t>
      </w:r>
      <w:r w:rsidR="00DE06A5">
        <w:rPr>
          <w:rFonts w:ascii="Times New Roman" w:hAnsi="Times New Roman"/>
          <w:sz w:val="24"/>
          <w:szCs w:val="24"/>
        </w:rPr>
        <w:t xml:space="preserve">and undermine confidence </w:t>
      </w:r>
      <w:r w:rsidR="00A4372A">
        <w:rPr>
          <w:rFonts w:ascii="Times New Roman" w:hAnsi="Times New Roman"/>
          <w:sz w:val="24"/>
          <w:szCs w:val="24"/>
        </w:rPr>
        <w:t xml:space="preserve">in </w:t>
      </w:r>
      <w:r w:rsidR="00DE06A5">
        <w:rPr>
          <w:rFonts w:ascii="Times New Roman" w:hAnsi="Times New Roman"/>
          <w:sz w:val="24"/>
          <w:szCs w:val="24"/>
        </w:rPr>
        <w:t xml:space="preserve">other </w:t>
      </w:r>
      <w:r>
        <w:rPr>
          <w:rFonts w:ascii="Times New Roman" w:hAnsi="Times New Roman"/>
          <w:sz w:val="24"/>
          <w:szCs w:val="24"/>
        </w:rPr>
        <w:t>financial conglomerate and the financial markets as a whole</w:t>
      </w:r>
      <w:r w:rsidR="00DE06A5">
        <w:rPr>
          <w:rFonts w:ascii="Times New Roman" w:hAnsi="Times New Roman"/>
          <w:sz w:val="24"/>
          <w:szCs w:val="24"/>
        </w:rPr>
        <w:t>. The global financial crisis demonstrated that where a</w:t>
      </w:r>
      <w:r w:rsidR="00AE4833">
        <w:rPr>
          <w:rFonts w:ascii="Times New Roman" w:hAnsi="Times New Roman"/>
          <w:sz w:val="24"/>
          <w:szCs w:val="24"/>
        </w:rPr>
        <w:t xml:space="preserve"> large</w:t>
      </w:r>
      <w:r w:rsidR="0095548A">
        <w:rPr>
          <w:rFonts w:ascii="Times New Roman" w:hAnsi="Times New Roman"/>
          <w:sz w:val="24"/>
          <w:szCs w:val="24"/>
        </w:rPr>
        <w:t xml:space="preserve"> conglomerate group</w:t>
      </w:r>
      <w:r w:rsidR="00DE06A5">
        <w:rPr>
          <w:rFonts w:ascii="Times New Roman" w:hAnsi="Times New Roman"/>
          <w:sz w:val="24"/>
          <w:szCs w:val="24"/>
        </w:rPr>
        <w:t xml:space="preserve"> fails, investors and other stakeholders </w:t>
      </w:r>
      <w:r w:rsidR="00AE4833">
        <w:rPr>
          <w:rFonts w:ascii="Times New Roman" w:hAnsi="Times New Roman"/>
          <w:sz w:val="24"/>
          <w:szCs w:val="24"/>
        </w:rPr>
        <w:t>may</w:t>
      </w:r>
      <w:r w:rsidR="00DE06A5">
        <w:rPr>
          <w:rFonts w:ascii="Times New Roman" w:hAnsi="Times New Roman"/>
          <w:sz w:val="24"/>
          <w:szCs w:val="24"/>
        </w:rPr>
        <w:t xml:space="preserve"> withdraw support (asset</w:t>
      </w:r>
      <w:r w:rsidR="0095548A">
        <w:rPr>
          <w:rFonts w:ascii="Times New Roman" w:hAnsi="Times New Roman"/>
          <w:sz w:val="24"/>
          <w:szCs w:val="24"/>
        </w:rPr>
        <w:t>s</w:t>
      </w:r>
      <w:r w:rsidR="00DE06A5">
        <w:rPr>
          <w:rFonts w:ascii="Times New Roman" w:hAnsi="Times New Roman"/>
          <w:sz w:val="24"/>
          <w:szCs w:val="24"/>
        </w:rPr>
        <w:t xml:space="preserve"> and funding) for other </w:t>
      </w:r>
      <w:r w:rsidR="00AD6D8E">
        <w:rPr>
          <w:rFonts w:ascii="Times New Roman" w:hAnsi="Times New Roman"/>
          <w:sz w:val="24"/>
          <w:szCs w:val="24"/>
        </w:rPr>
        <w:t>sectors of the economy</w:t>
      </w:r>
      <w:r w:rsidR="0095548A">
        <w:rPr>
          <w:rFonts w:ascii="Times New Roman" w:hAnsi="Times New Roman"/>
          <w:sz w:val="24"/>
          <w:szCs w:val="24"/>
        </w:rPr>
        <w:t>,</w:t>
      </w:r>
      <w:r w:rsidR="00AD6D8E">
        <w:rPr>
          <w:rFonts w:ascii="Times New Roman" w:hAnsi="Times New Roman"/>
          <w:sz w:val="24"/>
          <w:szCs w:val="24"/>
        </w:rPr>
        <w:t xml:space="preserve"> resulting in </w:t>
      </w:r>
      <w:r w:rsidR="0095548A">
        <w:rPr>
          <w:rFonts w:ascii="Times New Roman" w:hAnsi="Times New Roman"/>
          <w:sz w:val="24"/>
          <w:szCs w:val="24"/>
        </w:rPr>
        <w:t>significant market and economic disruption</w:t>
      </w:r>
      <w:r>
        <w:rPr>
          <w:rFonts w:ascii="Times New Roman" w:hAnsi="Times New Roman"/>
          <w:sz w:val="24"/>
          <w:szCs w:val="24"/>
        </w:rPr>
        <w:t>.</w:t>
      </w:r>
    </w:p>
    <w:p w14:paraId="67FA4B65" w14:textId="371129EE" w:rsidR="000D3C1C" w:rsidRDefault="00984E3D" w:rsidP="000D3C1C">
      <w:pPr>
        <w:autoSpaceDE w:val="0"/>
        <w:autoSpaceDN w:val="0"/>
        <w:adjustRightInd w:val="0"/>
        <w:spacing w:after="240"/>
        <w:jc w:val="both"/>
        <w:rPr>
          <w:rFonts w:ascii="Times New Roman" w:hAnsi="Times New Roman"/>
          <w:sz w:val="24"/>
          <w:szCs w:val="24"/>
        </w:rPr>
      </w:pPr>
      <w:r>
        <w:rPr>
          <w:rFonts w:ascii="Times New Roman" w:hAnsi="Times New Roman"/>
          <w:sz w:val="24"/>
          <w:szCs w:val="24"/>
        </w:rPr>
        <w:t>Table 1 sets out the average annual regulatory costs.</w:t>
      </w:r>
      <w:r w:rsidR="000D3C1C">
        <w:rPr>
          <w:rFonts w:ascii="Times New Roman" w:hAnsi="Times New Roman"/>
          <w:sz w:val="24"/>
          <w:szCs w:val="24"/>
        </w:rPr>
        <w:t xml:space="preserve"> These relate to option 3, as the compliance costs of options 1 and 2 are assumed to be negligible. No submission from industry estimated costs via the B</w:t>
      </w:r>
      <w:r w:rsidR="00E33E3B">
        <w:rPr>
          <w:rFonts w:ascii="Times New Roman" w:hAnsi="Times New Roman"/>
          <w:sz w:val="24"/>
          <w:szCs w:val="24"/>
        </w:rPr>
        <w:t xml:space="preserve">usiness </w:t>
      </w:r>
      <w:r w:rsidR="000D3C1C">
        <w:rPr>
          <w:rFonts w:ascii="Times New Roman" w:hAnsi="Times New Roman"/>
          <w:sz w:val="24"/>
          <w:szCs w:val="24"/>
        </w:rPr>
        <w:t>C</w:t>
      </w:r>
      <w:r w:rsidR="00E33E3B">
        <w:rPr>
          <w:rFonts w:ascii="Times New Roman" w:hAnsi="Times New Roman"/>
          <w:sz w:val="24"/>
          <w:szCs w:val="24"/>
        </w:rPr>
        <w:t xml:space="preserve">ost </w:t>
      </w:r>
      <w:r w:rsidR="000D3C1C">
        <w:rPr>
          <w:rFonts w:ascii="Times New Roman" w:hAnsi="Times New Roman"/>
          <w:sz w:val="24"/>
          <w:szCs w:val="24"/>
        </w:rPr>
        <w:t>C</w:t>
      </w:r>
      <w:r w:rsidR="00E33E3B">
        <w:rPr>
          <w:rFonts w:ascii="Times New Roman" w:hAnsi="Times New Roman"/>
          <w:sz w:val="24"/>
          <w:szCs w:val="24"/>
        </w:rPr>
        <w:t>alculator (BCC) o</w:t>
      </w:r>
      <w:r w:rsidR="00781F71">
        <w:rPr>
          <w:rFonts w:ascii="Times New Roman" w:hAnsi="Times New Roman"/>
          <w:sz w:val="24"/>
          <w:szCs w:val="24"/>
        </w:rPr>
        <w:t>r</w:t>
      </w:r>
      <w:r w:rsidR="00E33E3B">
        <w:rPr>
          <w:rFonts w:ascii="Times New Roman" w:hAnsi="Times New Roman"/>
          <w:sz w:val="24"/>
          <w:szCs w:val="24"/>
        </w:rPr>
        <w:t xml:space="preserve"> the </w:t>
      </w:r>
      <w:r w:rsidR="003A2623">
        <w:rPr>
          <w:rFonts w:ascii="Times New Roman" w:hAnsi="Times New Roman"/>
          <w:sz w:val="24"/>
          <w:szCs w:val="24"/>
        </w:rPr>
        <w:t>Commonwealth Regulatory Burden Measures, a</w:t>
      </w:r>
      <w:r w:rsidR="000D3C1C">
        <w:rPr>
          <w:rFonts w:ascii="Times New Roman" w:hAnsi="Times New Roman"/>
          <w:sz w:val="24"/>
          <w:szCs w:val="24"/>
        </w:rPr>
        <w:t xml:space="preserve">lthough some conglomerate groups have provided APRA with high-level estimates of the regulatory impact of the proposals. The quantitative and other </w:t>
      </w:r>
      <w:r w:rsidR="000D3C1C" w:rsidRPr="00513B54">
        <w:rPr>
          <w:rStyle w:val="Emphasis"/>
        </w:rPr>
        <w:t>ad hoc</w:t>
      </w:r>
      <w:r w:rsidR="000D3C1C" w:rsidRPr="00362B41">
        <w:rPr>
          <w:rFonts w:ascii="Times New Roman" w:hAnsi="Times New Roman"/>
          <w:szCs w:val="24"/>
        </w:rPr>
        <w:t xml:space="preserve"> </w:t>
      </w:r>
      <w:r w:rsidR="000D3C1C">
        <w:rPr>
          <w:rFonts w:ascii="Times New Roman" w:hAnsi="Times New Roman"/>
          <w:sz w:val="24"/>
          <w:szCs w:val="24"/>
        </w:rPr>
        <w:t>impact assessments submitted to APRA over the years have assisted in refining the proposals to those under option 3</w:t>
      </w:r>
      <w:r w:rsidR="003A2623">
        <w:rPr>
          <w:rFonts w:ascii="Times New Roman" w:hAnsi="Times New Roman"/>
          <w:sz w:val="24"/>
          <w:szCs w:val="24"/>
        </w:rPr>
        <w:t xml:space="preserve"> and contributed to the costings outlined in Table 1</w:t>
      </w:r>
      <w:r w:rsidR="000D3C1C">
        <w:rPr>
          <w:rFonts w:ascii="Times New Roman" w:hAnsi="Times New Roman"/>
          <w:sz w:val="24"/>
          <w:szCs w:val="24"/>
        </w:rPr>
        <w:t>.</w:t>
      </w:r>
    </w:p>
    <w:p w14:paraId="082B47E6" w14:textId="77777777" w:rsidR="008313C0" w:rsidRPr="00513B54" w:rsidRDefault="008313C0" w:rsidP="00513B54">
      <w:pPr>
        <w:pStyle w:val="Heading3"/>
      </w:pPr>
      <w:r w:rsidRPr="00513B54">
        <w:t>Consultation</w:t>
      </w:r>
      <w:r w:rsidR="0057605C" w:rsidRPr="00513B54">
        <w:rPr>
          <w:rStyle w:val="StyleFootnoteReference8ptBold"/>
        </w:rPr>
        <w:footnoteReference w:id="10"/>
      </w:r>
    </w:p>
    <w:p w14:paraId="7F71ECBC" w14:textId="77777777" w:rsidR="00B43623" w:rsidRDefault="0094615C" w:rsidP="00553C74">
      <w:pPr>
        <w:spacing w:after="240"/>
        <w:jc w:val="both"/>
        <w:rPr>
          <w:rFonts w:ascii="Times New Roman" w:hAnsi="Times New Roman"/>
          <w:sz w:val="24"/>
          <w:szCs w:val="24"/>
        </w:rPr>
      </w:pPr>
      <w:r>
        <w:rPr>
          <w:rFonts w:ascii="Times New Roman" w:hAnsi="Times New Roman"/>
          <w:sz w:val="24"/>
          <w:szCs w:val="24"/>
        </w:rPr>
        <w:t xml:space="preserve">APRA has </w:t>
      </w:r>
      <w:r w:rsidR="00D354A7">
        <w:rPr>
          <w:rFonts w:ascii="Times New Roman" w:hAnsi="Times New Roman"/>
          <w:sz w:val="24"/>
          <w:szCs w:val="24"/>
        </w:rPr>
        <w:t>most recently</w:t>
      </w:r>
      <w:r>
        <w:rPr>
          <w:rFonts w:ascii="Times New Roman" w:hAnsi="Times New Roman"/>
          <w:sz w:val="24"/>
          <w:szCs w:val="24"/>
        </w:rPr>
        <w:t xml:space="preserve"> consulted on option 3. </w:t>
      </w:r>
      <w:r w:rsidR="00B43623">
        <w:rPr>
          <w:rFonts w:ascii="Times New Roman" w:hAnsi="Times New Roman"/>
          <w:sz w:val="24"/>
          <w:szCs w:val="24"/>
        </w:rPr>
        <w:t xml:space="preserve">APRA first consulted on conglomerate supervision arrangements in </w:t>
      </w:r>
      <w:r w:rsidR="00D354A7">
        <w:rPr>
          <w:rFonts w:ascii="Times New Roman" w:hAnsi="Times New Roman"/>
          <w:sz w:val="24"/>
          <w:szCs w:val="24"/>
        </w:rPr>
        <w:t>1999</w:t>
      </w:r>
      <w:r w:rsidR="00D354A7" w:rsidRPr="00513B54">
        <w:rPr>
          <w:rStyle w:val="StyleFootnoteReference"/>
        </w:rPr>
        <w:footnoteReference w:id="11"/>
      </w:r>
      <w:r w:rsidR="00B43623">
        <w:rPr>
          <w:rFonts w:ascii="Times New Roman" w:hAnsi="Times New Roman"/>
          <w:sz w:val="24"/>
          <w:szCs w:val="24"/>
        </w:rPr>
        <w:t xml:space="preserve">, but elected not to proceed at that point given other priorities. </w:t>
      </w:r>
      <w:r w:rsidR="008A3207">
        <w:rPr>
          <w:rFonts w:ascii="Times New Roman" w:hAnsi="Times New Roman"/>
          <w:sz w:val="24"/>
          <w:szCs w:val="24"/>
        </w:rPr>
        <w:t>T</w:t>
      </w:r>
      <w:r w:rsidR="00B43623">
        <w:rPr>
          <w:rFonts w:ascii="Times New Roman" w:hAnsi="Times New Roman"/>
          <w:sz w:val="24"/>
          <w:szCs w:val="24"/>
        </w:rPr>
        <w:t xml:space="preserve">he global financial crisis </w:t>
      </w:r>
      <w:r w:rsidR="00AE4833">
        <w:rPr>
          <w:rFonts w:ascii="Times New Roman" w:hAnsi="Times New Roman"/>
          <w:sz w:val="24"/>
          <w:szCs w:val="24"/>
        </w:rPr>
        <w:t>clarified</w:t>
      </w:r>
      <w:r w:rsidR="008A3207">
        <w:rPr>
          <w:rFonts w:ascii="Times New Roman" w:hAnsi="Times New Roman"/>
          <w:sz w:val="24"/>
          <w:szCs w:val="24"/>
        </w:rPr>
        <w:t xml:space="preserve"> the need for appropriate </w:t>
      </w:r>
      <w:r w:rsidR="00B43623">
        <w:rPr>
          <w:rFonts w:ascii="Times New Roman" w:hAnsi="Times New Roman"/>
          <w:sz w:val="24"/>
          <w:szCs w:val="24"/>
        </w:rPr>
        <w:t xml:space="preserve">conglomerate </w:t>
      </w:r>
      <w:r w:rsidR="008A3207">
        <w:rPr>
          <w:rFonts w:ascii="Times New Roman" w:hAnsi="Times New Roman"/>
          <w:sz w:val="24"/>
          <w:szCs w:val="24"/>
        </w:rPr>
        <w:t>supervision</w:t>
      </w:r>
      <w:r w:rsidR="00B43623">
        <w:rPr>
          <w:rFonts w:ascii="Times New Roman" w:hAnsi="Times New Roman"/>
          <w:sz w:val="24"/>
          <w:szCs w:val="24"/>
        </w:rPr>
        <w:t xml:space="preserve">, </w:t>
      </w:r>
      <w:r w:rsidR="008A3207">
        <w:rPr>
          <w:rFonts w:ascii="Times New Roman" w:hAnsi="Times New Roman"/>
          <w:sz w:val="24"/>
          <w:szCs w:val="24"/>
        </w:rPr>
        <w:t xml:space="preserve">leading </w:t>
      </w:r>
      <w:r w:rsidR="00B43623">
        <w:rPr>
          <w:rFonts w:ascii="Times New Roman" w:hAnsi="Times New Roman"/>
          <w:sz w:val="24"/>
          <w:szCs w:val="24"/>
        </w:rPr>
        <w:t xml:space="preserve">APRA </w:t>
      </w:r>
      <w:r w:rsidR="008A3207">
        <w:rPr>
          <w:rFonts w:ascii="Times New Roman" w:hAnsi="Times New Roman"/>
          <w:sz w:val="24"/>
          <w:szCs w:val="24"/>
        </w:rPr>
        <w:t xml:space="preserve">to resume </w:t>
      </w:r>
      <w:r w:rsidR="00252A82">
        <w:rPr>
          <w:rFonts w:ascii="Times New Roman" w:hAnsi="Times New Roman"/>
          <w:sz w:val="24"/>
          <w:szCs w:val="24"/>
        </w:rPr>
        <w:t xml:space="preserve">its development of a </w:t>
      </w:r>
      <w:r w:rsidR="00B43623">
        <w:rPr>
          <w:rFonts w:ascii="Times New Roman" w:hAnsi="Times New Roman"/>
          <w:sz w:val="24"/>
          <w:szCs w:val="24"/>
        </w:rPr>
        <w:t>conglomerate supervision</w:t>
      </w:r>
      <w:r w:rsidR="00252A82">
        <w:rPr>
          <w:rFonts w:ascii="Times New Roman" w:hAnsi="Times New Roman"/>
          <w:sz w:val="24"/>
          <w:szCs w:val="24"/>
        </w:rPr>
        <w:t xml:space="preserve"> framework</w:t>
      </w:r>
      <w:r w:rsidR="00B43623">
        <w:rPr>
          <w:rFonts w:ascii="Times New Roman" w:hAnsi="Times New Roman"/>
          <w:sz w:val="24"/>
          <w:szCs w:val="24"/>
        </w:rPr>
        <w:t>.</w:t>
      </w:r>
    </w:p>
    <w:p w14:paraId="5093F29D" w14:textId="77777777" w:rsidR="002D6614" w:rsidRPr="000665CE" w:rsidRDefault="002D6614" w:rsidP="006C10FA">
      <w:pPr>
        <w:spacing w:after="240"/>
        <w:jc w:val="both"/>
        <w:rPr>
          <w:rFonts w:ascii="Times New Roman" w:hAnsi="Times New Roman"/>
          <w:sz w:val="24"/>
          <w:szCs w:val="24"/>
        </w:rPr>
      </w:pPr>
      <w:r w:rsidRPr="000665CE">
        <w:rPr>
          <w:rFonts w:ascii="Times New Roman" w:hAnsi="Times New Roman"/>
          <w:sz w:val="24"/>
          <w:szCs w:val="24"/>
        </w:rPr>
        <w:t xml:space="preserve">APRA released a </w:t>
      </w:r>
      <w:r w:rsidR="00C82E20" w:rsidRPr="000665CE">
        <w:rPr>
          <w:rFonts w:ascii="Times New Roman" w:hAnsi="Times New Roman"/>
          <w:sz w:val="24"/>
          <w:szCs w:val="24"/>
        </w:rPr>
        <w:t xml:space="preserve">discussion paper, </w:t>
      </w:r>
      <w:r w:rsidRPr="00513B54">
        <w:rPr>
          <w:rStyle w:val="Emphasis"/>
        </w:rPr>
        <w:t>Supervision of conglomerate groups</w:t>
      </w:r>
      <w:r w:rsidR="00404B6E" w:rsidRPr="00513B54">
        <w:rPr>
          <w:rStyle w:val="StyleFootnoteReference"/>
        </w:rPr>
        <w:footnoteReference w:id="12"/>
      </w:r>
      <w:r w:rsidRPr="000665CE">
        <w:rPr>
          <w:rFonts w:ascii="Times New Roman" w:hAnsi="Times New Roman"/>
          <w:sz w:val="24"/>
          <w:szCs w:val="24"/>
        </w:rPr>
        <w:t>, in March</w:t>
      </w:r>
      <w:r w:rsidR="00C82E20" w:rsidRPr="000665CE">
        <w:rPr>
          <w:rFonts w:ascii="Times New Roman" w:hAnsi="Times New Roman"/>
          <w:sz w:val="24"/>
          <w:szCs w:val="24"/>
        </w:rPr>
        <w:t xml:space="preserve"> 201</w:t>
      </w:r>
      <w:r w:rsidRPr="000665CE">
        <w:rPr>
          <w:rFonts w:ascii="Times New Roman" w:hAnsi="Times New Roman"/>
          <w:sz w:val="24"/>
          <w:szCs w:val="24"/>
        </w:rPr>
        <w:t>0, detailing its intent to develop a Level 3 framework</w:t>
      </w:r>
      <w:r w:rsidR="00EE133F" w:rsidRPr="000665CE">
        <w:rPr>
          <w:rFonts w:ascii="Times New Roman" w:hAnsi="Times New Roman"/>
          <w:sz w:val="24"/>
          <w:szCs w:val="24"/>
        </w:rPr>
        <w:t xml:space="preserve"> for the</w:t>
      </w:r>
      <w:r w:rsidR="00B43623">
        <w:rPr>
          <w:rFonts w:ascii="Times New Roman" w:hAnsi="Times New Roman"/>
          <w:sz w:val="24"/>
          <w:szCs w:val="24"/>
        </w:rPr>
        <w:t xml:space="preserve"> regulation and</w:t>
      </w:r>
      <w:r w:rsidR="00EE133F" w:rsidRPr="000665CE">
        <w:rPr>
          <w:rFonts w:ascii="Times New Roman" w:hAnsi="Times New Roman"/>
          <w:sz w:val="24"/>
          <w:szCs w:val="24"/>
        </w:rPr>
        <w:t xml:space="preserve"> supervision of conglomerate groups</w:t>
      </w:r>
      <w:r w:rsidR="004B26FF" w:rsidRPr="000665CE">
        <w:rPr>
          <w:rFonts w:ascii="Times New Roman" w:hAnsi="Times New Roman"/>
          <w:sz w:val="24"/>
          <w:szCs w:val="24"/>
        </w:rPr>
        <w:t>.</w:t>
      </w:r>
      <w:r w:rsidR="00EE133F" w:rsidRPr="000665CE">
        <w:rPr>
          <w:rFonts w:ascii="Times New Roman" w:hAnsi="Times New Roman"/>
          <w:sz w:val="24"/>
          <w:szCs w:val="24"/>
        </w:rPr>
        <w:t xml:space="preserve"> APRA engaged with potential Level 3 groups in that same year and requested </w:t>
      </w:r>
      <w:r w:rsidR="001E3991">
        <w:rPr>
          <w:rFonts w:ascii="Times New Roman" w:hAnsi="Times New Roman"/>
          <w:sz w:val="24"/>
          <w:szCs w:val="24"/>
        </w:rPr>
        <w:t xml:space="preserve">these groups </w:t>
      </w:r>
      <w:r w:rsidR="00EE133F" w:rsidRPr="000665CE">
        <w:rPr>
          <w:rFonts w:ascii="Times New Roman" w:hAnsi="Times New Roman"/>
          <w:sz w:val="24"/>
          <w:szCs w:val="24"/>
        </w:rPr>
        <w:t>to complete a quantitative impact assessment</w:t>
      </w:r>
      <w:r w:rsidR="00B43623">
        <w:rPr>
          <w:rFonts w:ascii="Times New Roman" w:hAnsi="Times New Roman"/>
          <w:sz w:val="24"/>
          <w:szCs w:val="24"/>
        </w:rPr>
        <w:t>, which was provided</w:t>
      </w:r>
      <w:r w:rsidR="00EE133F" w:rsidRPr="000665CE">
        <w:rPr>
          <w:rFonts w:ascii="Times New Roman" w:hAnsi="Times New Roman"/>
          <w:sz w:val="24"/>
          <w:szCs w:val="24"/>
        </w:rPr>
        <w:t xml:space="preserve"> by February 2011.</w:t>
      </w:r>
    </w:p>
    <w:p w14:paraId="56CF56DD" w14:textId="77777777" w:rsidR="00EE133F" w:rsidRPr="000665CE" w:rsidRDefault="00EE133F" w:rsidP="006C10FA">
      <w:pPr>
        <w:spacing w:after="240"/>
        <w:jc w:val="both"/>
        <w:rPr>
          <w:rFonts w:ascii="Times New Roman" w:hAnsi="Times New Roman"/>
          <w:sz w:val="24"/>
          <w:szCs w:val="24"/>
        </w:rPr>
      </w:pPr>
      <w:r w:rsidRPr="000665CE">
        <w:rPr>
          <w:rFonts w:ascii="Times New Roman" w:hAnsi="Times New Roman"/>
          <w:sz w:val="24"/>
          <w:szCs w:val="24"/>
        </w:rPr>
        <w:t>Letters released in May 2011 and May 2012 updated the potential Level 3 groups of the amended project timeframes and announced a data request for an updated impact assessment</w:t>
      </w:r>
      <w:r w:rsidR="001E3991">
        <w:rPr>
          <w:rFonts w:ascii="Times New Roman" w:hAnsi="Times New Roman"/>
          <w:sz w:val="24"/>
          <w:szCs w:val="24"/>
        </w:rPr>
        <w:t xml:space="preserve"> based on refined proposals</w:t>
      </w:r>
      <w:r w:rsidRPr="000665CE">
        <w:rPr>
          <w:rFonts w:ascii="Times New Roman" w:hAnsi="Times New Roman"/>
          <w:sz w:val="24"/>
          <w:szCs w:val="24"/>
        </w:rPr>
        <w:t>.</w:t>
      </w:r>
    </w:p>
    <w:p w14:paraId="6B44305A" w14:textId="77777777" w:rsidR="00EE4C49" w:rsidRPr="000665CE" w:rsidRDefault="00EE133F" w:rsidP="0028310F">
      <w:pPr>
        <w:spacing w:after="240"/>
        <w:jc w:val="both"/>
        <w:rPr>
          <w:rFonts w:ascii="Times New Roman" w:hAnsi="Times New Roman"/>
          <w:sz w:val="24"/>
          <w:szCs w:val="24"/>
        </w:rPr>
      </w:pPr>
      <w:r w:rsidRPr="000665CE">
        <w:rPr>
          <w:rFonts w:ascii="Times New Roman" w:hAnsi="Times New Roman"/>
          <w:sz w:val="24"/>
          <w:szCs w:val="24"/>
        </w:rPr>
        <w:t xml:space="preserve">In December 2012 APRA released a first response paper, </w:t>
      </w:r>
      <w:r w:rsidRPr="00513B54">
        <w:rPr>
          <w:rStyle w:val="Emphasis"/>
        </w:rPr>
        <w:t>Supervision of conglomerate groups. 1. Group governance and risk exposures</w:t>
      </w:r>
      <w:r w:rsidR="00404B6E" w:rsidRPr="00513B54">
        <w:rPr>
          <w:rStyle w:val="StyleFootnoteReference"/>
        </w:rPr>
        <w:footnoteReference w:id="13"/>
      </w:r>
      <w:r w:rsidRPr="000665CE">
        <w:rPr>
          <w:rFonts w:ascii="Times New Roman" w:hAnsi="Times New Roman"/>
          <w:sz w:val="24"/>
          <w:szCs w:val="24"/>
        </w:rPr>
        <w:t xml:space="preserve">, </w:t>
      </w:r>
      <w:r w:rsidR="0028310F" w:rsidRPr="000665CE">
        <w:rPr>
          <w:rFonts w:ascii="Times New Roman" w:hAnsi="Times New Roman"/>
          <w:sz w:val="24"/>
          <w:szCs w:val="24"/>
        </w:rPr>
        <w:t xml:space="preserve">providing a </w:t>
      </w:r>
      <w:r w:rsidR="004E6746" w:rsidRPr="000665CE">
        <w:rPr>
          <w:rFonts w:ascii="Times New Roman" w:hAnsi="Times New Roman"/>
          <w:sz w:val="24"/>
          <w:szCs w:val="24"/>
        </w:rPr>
        <w:t>response to submissions on the</w:t>
      </w:r>
      <w:r w:rsidR="0028310F" w:rsidRPr="000665CE">
        <w:rPr>
          <w:rFonts w:ascii="Times New Roman" w:hAnsi="Times New Roman"/>
          <w:sz w:val="24"/>
          <w:szCs w:val="24"/>
        </w:rPr>
        <w:t xml:space="preserve"> group governance and the risk exposures components of the proposed Level 3 framework. </w:t>
      </w:r>
      <w:r w:rsidR="00EE4C49" w:rsidRPr="000665CE">
        <w:rPr>
          <w:rFonts w:ascii="Times New Roman" w:hAnsi="Times New Roman"/>
          <w:sz w:val="24"/>
          <w:szCs w:val="24"/>
        </w:rPr>
        <w:t>It was accompanied by draft prudential standards relating to these components.</w:t>
      </w:r>
    </w:p>
    <w:p w14:paraId="31FFE542" w14:textId="77777777" w:rsidR="00EE133F" w:rsidRPr="000665CE" w:rsidRDefault="0028310F" w:rsidP="0028310F">
      <w:pPr>
        <w:spacing w:after="240"/>
        <w:jc w:val="both"/>
        <w:rPr>
          <w:rFonts w:ascii="Times New Roman" w:hAnsi="Times New Roman"/>
          <w:sz w:val="24"/>
          <w:szCs w:val="24"/>
        </w:rPr>
      </w:pPr>
      <w:r w:rsidRPr="000665CE">
        <w:rPr>
          <w:rFonts w:ascii="Times New Roman" w:hAnsi="Times New Roman"/>
          <w:sz w:val="24"/>
          <w:szCs w:val="24"/>
        </w:rPr>
        <w:t xml:space="preserve">In May 2013 APRA released a second response paper, </w:t>
      </w:r>
      <w:r w:rsidRPr="00513B54">
        <w:rPr>
          <w:rStyle w:val="Emphasis"/>
        </w:rPr>
        <w:t>Supervision of conglomerate groups. 2. Risk management and capital adequacy</w:t>
      </w:r>
      <w:r w:rsidR="00404B6E" w:rsidRPr="00513B54">
        <w:rPr>
          <w:rStyle w:val="StyleFootnoteReference"/>
        </w:rPr>
        <w:footnoteReference w:id="14"/>
      </w:r>
      <w:r w:rsidRPr="000665CE">
        <w:rPr>
          <w:rFonts w:ascii="Times New Roman" w:hAnsi="Times New Roman"/>
          <w:sz w:val="24"/>
          <w:szCs w:val="24"/>
        </w:rPr>
        <w:t>, providing a response to submissions on the risk management and capital adequacy components of the proposed Level 3 framework.</w:t>
      </w:r>
      <w:r w:rsidR="00EE4C49" w:rsidRPr="000665CE">
        <w:rPr>
          <w:rFonts w:ascii="Times New Roman" w:hAnsi="Times New Roman"/>
          <w:sz w:val="24"/>
          <w:szCs w:val="24"/>
        </w:rPr>
        <w:t xml:space="preserve"> It was accompanied by draft prudential standards relating to these components.</w:t>
      </w:r>
    </w:p>
    <w:p w14:paraId="410AD27E" w14:textId="77777777" w:rsidR="0028310F" w:rsidRPr="000665CE" w:rsidRDefault="0028310F" w:rsidP="0028310F">
      <w:pPr>
        <w:spacing w:after="240"/>
        <w:jc w:val="both"/>
        <w:rPr>
          <w:rFonts w:ascii="Times New Roman" w:hAnsi="Times New Roman"/>
          <w:sz w:val="24"/>
          <w:szCs w:val="24"/>
        </w:rPr>
      </w:pPr>
      <w:r w:rsidRPr="000665CE">
        <w:rPr>
          <w:rFonts w:ascii="Times New Roman" w:hAnsi="Times New Roman"/>
          <w:sz w:val="24"/>
          <w:szCs w:val="24"/>
        </w:rPr>
        <w:t>An August 2013 letter to potential Level 3 groups proposed a</w:t>
      </w:r>
      <w:r w:rsidR="006F2E55">
        <w:rPr>
          <w:rFonts w:ascii="Times New Roman" w:hAnsi="Times New Roman"/>
          <w:sz w:val="24"/>
          <w:szCs w:val="24"/>
        </w:rPr>
        <w:t xml:space="preserve">n </w:t>
      </w:r>
      <w:r w:rsidRPr="000665CE">
        <w:rPr>
          <w:rFonts w:ascii="Times New Roman" w:hAnsi="Times New Roman"/>
          <w:sz w:val="24"/>
          <w:szCs w:val="24"/>
        </w:rPr>
        <w:t xml:space="preserve">implementation </w:t>
      </w:r>
      <w:r w:rsidR="006F2E55">
        <w:rPr>
          <w:rFonts w:ascii="Times New Roman" w:hAnsi="Times New Roman"/>
          <w:sz w:val="24"/>
          <w:szCs w:val="24"/>
        </w:rPr>
        <w:t xml:space="preserve">date </w:t>
      </w:r>
      <w:r w:rsidRPr="000665CE">
        <w:rPr>
          <w:rFonts w:ascii="Times New Roman" w:hAnsi="Times New Roman"/>
          <w:sz w:val="24"/>
          <w:szCs w:val="24"/>
        </w:rPr>
        <w:t xml:space="preserve">of </w:t>
      </w:r>
      <w:r w:rsidR="006F2E55">
        <w:rPr>
          <w:rFonts w:ascii="Times New Roman" w:hAnsi="Times New Roman"/>
          <w:sz w:val="24"/>
          <w:szCs w:val="24"/>
        </w:rPr>
        <w:t>1 January 2015</w:t>
      </w:r>
      <w:r w:rsidRPr="000665CE">
        <w:rPr>
          <w:rFonts w:ascii="Times New Roman" w:hAnsi="Times New Roman"/>
          <w:sz w:val="24"/>
          <w:szCs w:val="24"/>
        </w:rPr>
        <w:t>.</w:t>
      </w:r>
    </w:p>
    <w:p w14:paraId="573A0A7B" w14:textId="77777777" w:rsidR="0028310F" w:rsidRDefault="00EE4C49" w:rsidP="00EE4C49">
      <w:pPr>
        <w:spacing w:after="240"/>
        <w:jc w:val="both"/>
        <w:rPr>
          <w:rFonts w:ascii="Times New Roman" w:hAnsi="Times New Roman"/>
          <w:sz w:val="24"/>
          <w:szCs w:val="24"/>
        </w:rPr>
      </w:pPr>
      <w:r w:rsidRPr="000665CE">
        <w:rPr>
          <w:rFonts w:ascii="Times New Roman" w:hAnsi="Times New Roman"/>
          <w:sz w:val="24"/>
          <w:szCs w:val="24"/>
        </w:rPr>
        <w:t xml:space="preserve">In September 2013 APRA released a discussion paper, </w:t>
      </w:r>
      <w:r w:rsidRPr="00513B54">
        <w:rPr>
          <w:rStyle w:val="Emphasis"/>
        </w:rPr>
        <w:t>Supervision of conglomerate groups. Proposed Level 3 reporting requirements</w:t>
      </w:r>
      <w:r w:rsidR="00252A82" w:rsidRPr="00252A82">
        <w:rPr>
          <w:rFonts w:ascii="Times New Roman" w:hAnsi="Times New Roman"/>
          <w:sz w:val="24"/>
          <w:szCs w:val="24"/>
        </w:rPr>
        <w:t>.</w:t>
      </w:r>
      <w:r w:rsidR="00404B6E" w:rsidRPr="00513B54">
        <w:rPr>
          <w:rStyle w:val="StyleFootnoteReference"/>
        </w:rPr>
        <w:footnoteReference w:id="15"/>
      </w:r>
      <w:r w:rsidRPr="000665CE">
        <w:rPr>
          <w:rFonts w:ascii="Times New Roman" w:hAnsi="Times New Roman"/>
          <w:sz w:val="24"/>
          <w:szCs w:val="24"/>
        </w:rPr>
        <w:t xml:space="preserve"> It was accompanied by</w:t>
      </w:r>
      <w:r w:rsidR="001E3991">
        <w:rPr>
          <w:rFonts w:ascii="Times New Roman" w:hAnsi="Times New Roman"/>
          <w:sz w:val="24"/>
          <w:szCs w:val="24"/>
        </w:rPr>
        <w:t xml:space="preserve"> two</w:t>
      </w:r>
      <w:r w:rsidRPr="000665CE">
        <w:rPr>
          <w:rFonts w:ascii="Times New Roman" w:hAnsi="Times New Roman"/>
          <w:sz w:val="24"/>
          <w:szCs w:val="24"/>
        </w:rPr>
        <w:t xml:space="preserve"> draft reporting standards</w:t>
      </w:r>
      <w:r w:rsidR="001E3991">
        <w:rPr>
          <w:rFonts w:ascii="Times New Roman" w:hAnsi="Times New Roman"/>
          <w:sz w:val="24"/>
          <w:szCs w:val="24"/>
        </w:rPr>
        <w:t>, and associated</w:t>
      </w:r>
      <w:r w:rsidRPr="000665CE">
        <w:rPr>
          <w:rFonts w:ascii="Times New Roman" w:hAnsi="Times New Roman"/>
          <w:sz w:val="24"/>
          <w:szCs w:val="24"/>
        </w:rPr>
        <w:t xml:space="preserve"> reporting forms and instructions relating to the capital adequacy component of the Level 3 framework.</w:t>
      </w:r>
    </w:p>
    <w:p w14:paraId="68B1014C" w14:textId="77777777" w:rsidR="00E06309" w:rsidRDefault="00F34FDE" w:rsidP="00EE4C49">
      <w:pPr>
        <w:spacing w:after="240"/>
        <w:jc w:val="both"/>
        <w:rPr>
          <w:rFonts w:ascii="Times New Roman" w:hAnsi="Times New Roman"/>
          <w:sz w:val="24"/>
          <w:szCs w:val="24"/>
        </w:rPr>
      </w:pPr>
      <w:r>
        <w:rPr>
          <w:rFonts w:ascii="Times New Roman" w:hAnsi="Times New Roman"/>
          <w:sz w:val="24"/>
          <w:szCs w:val="24"/>
        </w:rPr>
        <w:t>In August 2014</w:t>
      </w:r>
      <w:r w:rsidR="00A4372A">
        <w:rPr>
          <w:rFonts w:ascii="Times New Roman" w:hAnsi="Times New Roman"/>
          <w:sz w:val="24"/>
          <w:szCs w:val="24"/>
        </w:rPr>
        <w:t>,</w:t>
      </w:r>
      <w:r>
        <w:rPr>
          <w:rFonts w:ascii="Times New Roman" w:hAnsi="Times New Roman"/>
          <w:sz w:val="24"/>
          <w:szCs w:val="24"/>
        </w:rPr>
        <w:t xml:space="preserve"> APRA released propo</w:t>
      </w:r>
      <w:r w:rsidR="00684CED">
        <w:rPr>
          <w:rFonts w:ascii="Times New Roman" w:hAnsi="Times New Roman"/>
          <w:sz w:val="24"/>
          <w:szCs w:val="24"/>
        </w:rPr>
        <w:t>sed final prudential standards</w:t>
      </w:r>
      <w:r w:rsidR="00DF0F68">
        <w:rPr>
          <w:rFonts w:ascii="Times New Roman" w:hAnsi="Times New Roman"/>
          <w:sz w:val="24"/>
          <w:szCs w:val="24"/>
        </w:rPr>
        <w:t xml:space="preserve"> that would have implemented Option 3</w:t>
      </w:r>
      <w:r w:rsidR="00684CED">
        <w:rPr>
          <w:rFonts w:ascii="Times New Roman" w:hAnsi="Times New Roman"/>
          <w:sz w:val="24"/>
          <w:szCs w:val="24"/>
        </w:rPr>
        <w:t>,</w:t>
      </w:r>
      <w:r w:rsidR="009832A9" w:rsidRPr="007C08C7">
        <w:rPr>
          <w:rStyle w:val="StyleFootnoteReference12pt"/>
        </w:rPr>
        <w:footnoteReference w:id="16"/>
      </w:r>
      <w:r w:rsidR="00684CED">
        <w:rPr>
          <w:rFonts w:ascii="Times New Roman" w:hAnsi="Times New Roman"/>
          <w:sz w:val="24"/>
          <w:szCs w:val="24"/>
        </w:rPr>
        <w:t xml:space="preserve"> but deferred implementation due to the government’s Financial System Inquiry (FSI). </w:t>
      </w:r>
    </w:p>
    <w:p w14:paraId="698BC109" w14:textId="77777777" w:rsidR="00C224A3" w:rsidRDefault="00E06309" w:rsidP="00EE4C49">
      <w:pPr>
        <w:spacing w:after="240"/>
        <w:jc w:val="both"/>
        <w:rPr>
          <w:rFonts w:ascii="Times New Roman" w:hAnsi="Times New Roman"/>
          <w:sz w:val="24"/>
          <w:szCs w:val="24"/>
        </w:rPr>
      </w:pPr>
      <w:r>
        <w:rPr>
          <w:rFonts w:ascii="Times New Roman" w:hAnsi="Times New Roman"/>
          <w:sz w:val="24"/>
          <w:szCs w:val="24"/>
        </w:rPr>
        <w:t>Following the release of the Government’s response to the FSI recommendations, APRA released a letter</w:t>
      </w:r>
      <w:r w:rsidR="001A1666">
        <w:rPr>
          <w:rFonts w:ascii="Times New Roman" w:hAnsi="Times New Roman"/>
          <w:sz w:val="24"/>
          <w:szCs w:val="24"/>
        </w:rPr>
        <w:t xml:space="preserve"> in March 2016</w:t>
      </w:r>
      <w:r>
        <w:rPr>
          <w:rFonts w:ascii="Times New Roman" w:hAnsi="Times New Roman"/>
          <w:sz w:val="24"/>
          <w:szCs w:val="24"/>
        </w:rPr>
        <w:t xml:space="preserve"> to potential Level 3 Heads outlining APRA’s decision to implement the risk management, governance, aggregate risk exposures and intra-group transactions and exposures</w:t>
      </w:r>
      <w:r w:rsidR="005F4D43">
        <w:rPr>
          <w:rFonts w:ascii="Times New Roman" w:hAnsi="Times New Roman"/>
          <w:sz w:val="24"/>
          <w:szCs w:val="24"/>
        </w:rPr>
        <w:t xml:space="preserve"> prudential requirements</w:t>
      </w:r>
      <w:r w:rsidR="000F7C86">
        <w:rPr>
          <w:rFonts w:ascii="Times New Roman" w:hAnsi="Times New Roman"/>
          <w:sz w:val="24"/>
          <w:szCs w:val="24"/>
        </w:rPr>
        <w:t>, but defer the commencement of Level 3 capital requirements.</w:t>
      </w:r>
      <w:r>
        <w:rPr>
          <w:rFonts w:ascii="Times New Roman" w:hAnsi="Times New Roman"/>
          <w:sz w:val="24"/>
          <w:szCs w:val="24"/>
        </w:rPr>
        <w:t xml:space="preserve"> </w:t>
      </w:r>
      <w:r w:rsidR="00C224A3">
        <w:rPr>
          <w:rFonts w:ascii="Times New Roman" w:hAnsi="Times New Roman"/>
          <w:sz w:val="24"/>
          <w:szCs w:val="24"/>
        </w:rPr>
        <w:t>APRA</w:t>
      </w:r>
      <w:r w:rsidR="00123EF1">
        <w:rPr>
          <w:rFonts w:ascii="Times New Roman" w:hAnsi="Times New Roman"/>
          <w:sz w:val="24"/>
          <w:szCs w:val="24"/>
        </w:rPr>
        <w:t xml:space="preserve"> also</w:t>
      </w:r>
      <w:r w:rsidR="00C224A3">
        <w:rPr>
          <w:rFonts w:ascii="Times New Roman" w:hAnsi="Times New Roman"/>
          <w:sz w:val="24"/>
          <w:szCs w:val="24"/>
        </w:rPr>
        <w:t xml:space="preserve"> </w:t>
      </w:r>
      <w:r w:rsidR="005F4D43">
        <w:rPr>
          <w:rFonts w:ascii="Times New Roman" w:hAnsi="Times New Roman"/>
          <w:sz w:val="24"/>
          <w:szCs w:val="24"/>
        </w:rPr>
        <w:t>released for consultation revised draft prudential standards and PPG that clarified aspects of these non-capital prudential requirements</w:t>
      </w:r>
      <w:r w:rsidR="00C224A3">
        <w:rPr>
          <w:rFonts w:ascii="Times New Roman" w:hAnsi="Times New Roman"/>
          <w:sz w:val="24"/>
          <w:szCs w:val="24"/>
        </w:rPr>
        <w:t>.</w:t>
      </w:r>
      <w:r w:rsidR="00C224A3" w:rsidRPr="007C08C7">
        <w:rPr>
          <w:rStyle w:val="StyleFootnoteReference12pt"/>
        </w:rPr>
        <w:footnoteReference w:id="17"/>
      </w:r>
      <w:r w:rsidR="00C224A3">
        <w:rPr>
          <w:rFonts w:ascii="Times New Roman" w:hAnsi="Times New Roman"/>
          <w:sz w:val="24"/>
          <w:szCs w:val="24"/>
        </w:rPr>
        <w:t xml:space="preserve"> </w:t>
      </w:r>
    </w:p>
    <w:p w14:paraId="31795CD9" w14:textId="2882572B" w:rsidR="00B43623" w:rsidRDefault="00B43623" w:rsidP="00EE4C49">
      <w:pPr>
        <w:spacing w:after="240"/>
        <w:jc w:val="both"/>
        <w:rPr>
          <w:rFonts w:ascii="Times New Roman" w:hAnsi="Times New Roman"/>
          <w:sz w:val="24"/>
          <w:szCs w:val="24"/>
        </w:rPr>
      </w:pPr>
      <w:r>
        <w:rPr>
          <w:rFonts w:ascii="Times New Roman" w:hAnsi="Times New Roman"/>
          <w:sz w:val="24"/>
          <w:szCs w:val="24"/>
        </w:rPr>
        <w:t xml:space="preserve">In addition to the above formal consultations, and </w:t>
      </w:r>
      <w:r w:rsidR="00404B6E">
        <w:rPr>
          <w:rFonts w:ascii="Times New Roman" w:hAnsi="Times New Roman"/>
          <w:sz w:val="24"/>
          <w:szCs w:val="24"/>
        </w:rPr>
        <w:t xml:space="preserve">noting </w:t>
      </w:r>
      <w:r>
        <w:rPr>
          <w:rFonts w:ascii="Times New Roman" w:hAnsi="Times New Roman"/>
          <w:sz w:val="24"/>
          <w:szCs w:val="24"/>
        </w:rPr>
        <w:t xml:space="preserve">that </w:t>
      </w:r>
      <w:r w:rsidR="00404B6E">
        <w:rPr>
          <w:rFonts w:ascii="Times New Roman" w:hAnsi="Times New Roman"/>
          <w:sz w:val="24"/>
          <w:szCs w:val="24"/>
        </w:rPr>
        <w:t xml:space="preserve">there are only </w:t>
      </w:r>
      <w:r w:rsidR="00234FF1">
        <w:rPr>
          <w:rFonts w:ascii="Times New Roman" w:hAnsi="Times New Roman"/>
          <w:sz w:val="24"/>
          <w:szCs w:val="24"/>
        </w:rPr>
        <w:t>eight</w:t>
      </w:r>
      <w:r>
        <w:rPr>
          <w:rFonts w:ascii="Times New Roman" w:hAnsi="Times New Roman"/>
          <w:sz w:val="24"/>
          <w:szCs w:val="24"/>
        </w:rPr>
        <w:t xml:space="preserve"> </w:t>
      </w:r>
      <w:r w:rsidR="00404B6E">
        <w:rPr>
          <w:rFonts w:ascii="Times New Roman" w:hAnsi="Times New Roman"/>
          <w:sz w:val="24"/>
          <w:szCs w:val="24"/>
        </w:rPr>
        <w:t xml:space="preserve">proposed </w:t>
      </w:r>
      <w:r>
        <w:rPr>
          <w:rFonts w:ascii="Times New Roman" w:hAnsi="Times New Roman"/>
          <w:sz w:val="24"/>
          <w:szCs w:val="24"/>
        </w:rPr>
        <w:t>conglomerate</w:t>
      </w:r>
      <w:r w:rsidR="00234FF1">
        <w:rPr>
          <w:rFonts w:ascii="Times New Roman" w:hAnsi="Times New Roman"/>
          <w:sz w:val="24"/>
          <w:szCs w:val="24"/>
        </w:rPr>
        <w:t xml:space="preserve"> groups</w:t>
      </w:r>
      <w:r>
        <w:rPr>
          <w:rFonts w:ascii="Times New Roman" w:hAnsi="Times New Roman"/>
          <w:sz w:val="24"/>
          <w:szCs w:val="24"/>
        </w:rPr>
        <w:t xml:space="preserve">, APRA staff have also conducted considerable informal consultation with the affected groups over the past </w:t>
      </w:r>
      <w:r w:rsidR="00C224A3">
        <w:rPr>
          <w:rFonts w:ascii="Times New Roman" w:hAnsi="Times New Roman"/>
          <w:sz w:val="24"/>
          <w:szCs w:val="24"/>
        </w:rPr>
        <w:t xml:space="preserve">five </w:t>
      </w:r>
      <w:r>
        <w:rPr>
          <w:rFonts w:ascii="Times New Roman" w:hAnsi="Times New Roman"/>
          <w:sz w:val="24"/>
          <w:szCs w:val="24"/>
        </w:rPr>
        <w:t>years.</w:t>
      </w:r>
    </w:p>
    <w:p w14:paraId="17EBBDDC" w14:textId="3ED9F9CA" w:rsidR="00404B6E" w:rsidRPr="000665CE" w:rsidRDefault="00404B6E" w:rsidP="00EE4C49">
      <w:pPr>
        <w:spacing w:after="240"/>
        <w:jc w:val="both"/>
        <w:rPr>
          <w:rFonts w:ascii="Times New Roman" w:hAnsi="Times New Roman"/>
          <w:sz w:val="24"/>
          <w:szCs w:val="24"/>
        </w:rPr>
      </w:pPr>
      <w:r>
        <w:rPr>
          <w:rFonts w:ascii="Times New Roman" w:hAnsi="Times New Roman"/>
          <w:sz w:val="24"/>
          <w:szCs w:val="24"/>
        </w:rPr>
        <w:t xml:space="preserve">Overall, </w:t>
      </w:r>
      <w:r w:rsidR="00862146">
        <w:rPr>
          <w:rFonts w:ascii="Times New Roman" w:hAnsi="Times New Roman"/>
          <w:sz w:val="24"/>
          <w:szCs w:val="24"/>
        </w:rPr>
        <w:t xml:space="preserve">extensive </w:t>
      </w:r>
      <w:r>
        <w:rPr>
          <w:rFonts w:ascii="Times New Roman" w:hAnsi="Times New Roman"/>
          <w:sz w:val="24"/>
          <w:szCs w:val="24"/>
        </w:rPr>
        <w:t xml:space="preserve">industry consultation has </w:t>
      </w:r>
      <w:r w:rsidR="00862146">
        <w:rPr>
          <w:rFonts w:ascii="Times New Roman" w:hAnsi="Times New Roman"/>
          <w:sz w:val="24"/>
          <w:szCs w:val="24"/>
        </w:rPr>
        <w:t>occurred over the past 15</w:t>
      </w:r>
      <w:r w:rsidR="005E695F">
        <w:rPr>
          <w:rFonts w:ascii="Times New Roman" w:hAnsi="Times New Roman"/>
          <w:sz w:val="24"/>
          <w:szCs w:val="24"/>
        </w:rPr>
        <w:t xml:space="preserve"> and particularly the past </w:t>
      </w:r>
      <w:r w:rsidR="00575D97">
        <w:rPr>
          <w:rFonts w:ascii="Times New Roman" w:hAnsi="Times New Roman"/>
          <w:sz w:val="24"/>
          <w:szCs w:val="24"/>
        </w:rPr>
        <w:t xml:space="preserve">six </w:t>
      </w:r>
      <w:r w:rsidR="00862146">
        <w:rPr>
          <w:rFonts w:ascii="Times New Roman" w:hAnsi="Times New Roman"/>
          <w:sz w:val="24"/>
          <w:szCs w:val="24"/>
        </w:rPr>
        <w:t>years</w:t>
      </w:r>
      <w:r w:rsidR="007D2DCE">
        <w:rPr>
          <w:rFonts w:ascii="Times New Roman" w:hAnsi="Times New Roman"/>
          <w:sz w:val="24"/>
          <w:szCs w:val="24"/>
        </w:rPr>
        <w:t xml:space="preserve">, </w:t>
      </w:r>
      <w:r w:rsidR="00862146">
        <w:rPr>
          <w:rFonts w:ascii="Times New Roman" w:hAnsi="Times New Roman"/>
          <w:sz w:val="24"/>
          <w:szCs w:val="24"/>
        </w:rPr>
        <w:t>materially</w:t>
      </w:r>
      <w:r w:rsidR="007D2DCE">
        <w:rPr>
          <w:rFonts w:ascii="Times New Roman" w:hAnsi="Times New Roman"/>
          <w:sz w:val="24"/>
          <w:szCs w:val="24"/>
        </w:rPr>
        <w:t xml:space="preserve"> shaping</w:t>
      </w:r>
      <w:r w:rsidR="00862146">
        <w:rPr>
          <w:rFonts w:ascii="Times New Roman" w:hAnsi="Times New Roman"/>
          <w:sz w:val="24"/>
          <w:szCs w:val="24"/>
        </w:rPr>
        <w:t xml:space="preserve"> APRA’s proposals </w:t>
      </w:r>
      <w:r w:rsidR="00AD44F8">
        <w:rPr>
          <w:rFonts w:ascii="Times New Roman" w:hAnsi="Times New Roman"/>
          <w:sz w:val="24"/>
          <w:szCs w:val="24"/>
        </w:rPr>
        <w:t>into a practical and workable solution</w:t>
      </w:r>
      <w:r w:rsidR="00B205D5">
        <w:rPr>
          <w:rFonts w:ascii="Times New Roman" w:hAnsi="Times New Roman"/>
          <w:sz w:val="24"/>
          <w:szCs w:val="24"/>
        </w:rPr>
        <w:t>:</w:t>
      </w:r>
      <w:r w:rsidR="00AD44F8">
        <w:rPr>
          <w:rFonts w:ascii="Times New Roman" w:hAnsi="Times New Roman"/>
          <w:sz w:val="24"/>
          <w:szCs w:val="24"/>
        </w:rPr>
        <w:t xml:space="preserve"> </w:t>
      </w:r>
      <w:r w:rsidR="005F4D43">
        <w:rPr>
          <w:rFonts w:ascii="Times New Roman" w:hAnsi="Times New Roman"/>
          <w:sz w:val="24"/>
          <w:szCs w:val="24"/>
        </w:rPr>
        <w:t>O</w:t>
      </w:r>
      <w:r w:rsidR="00862146">
        <w:rPr>
          <w:rFonts w:ascii="Times New Roman" w:hAnsi="Times New Roman"/>
          <w:sz w:val="24"/>
          <w:szCs w:val="24"/>
        </w:rPr>
        <w:t xml:space="preserve">ption 3. </w:t>
      </w:r>
      <w:r w:rsidR="00AD44F8">
        <w:rPr>
          <w:rFonts w:ascii="Times New Roman" w:hAnsi="Times New Roman"/>
          <w:sz w:val="24"/>
          <w:szCs w:val="24"/>
        </w:rPr>
        <w:t>T</w:t>
      </w:r>
      <w:r w:rsidR="00862146">
        <w:rPr>
          <w:rFonts w:ascii="Times New Roman" w:hAnsi="Times New Roman"/>
          <w:sz w:val="24"/>
          <w:szCs w:val="24"/>
        </w:rPr>
        <w:t xml:space="preserve">hese proposals </w:t>
      </w:r>
      <w:r w:rsidR="00AD44F8">
        <w:rPr>
          <w:rFonts w:ascii="Times New Roman" w:hAnsi="Times New Roman"/>
          <w:sz w:val="24"/>
          <w:szCs w:val="24"/>
        </w:rPr>
        <w:t xml:space="preserve">are </w:t>
      </w:r>
      <w:r w:rsidR="00862146">
        <w:rPr>
          <w:rFonts w:ascii="Times New Roman" w:hAnsi="Times New Roman"/>
          <w:sz w:val="24"/>
          <w:szCs w:val="24"/>
        </w:rPr>
        <w:t xml:space="preserve">principles-based and </w:t>
      </w:r>
      <w:r w:rsidR="00AD44F8">
        <w:rPr>
          <w:rFonts w:ascii="Times New Roman" w:hAnsi="Times New Roman"/>
          <w:sz w:val="24"/>
          <w:szCs w:val="24"/>
        </w:rPr>
        <w:t>remain</w:t>
      </w:r>
      <w:r w:rsidR="00862146">
        <w:rPr>
          <w:rFonts w:ascii="Times New Roman" w:hAnsi="Times New Roman"/>
          <w:sz w:val="24"/>
          <w:szCs w:val="24"/>
        </w:rPr>
        <w:t xml:space="preserve"> sufficiently flexible to </w:t>
      </w:r>
      <w:r w:rsidR="007D2DCE">
        <w:rPr>
          <w:rFonts w:ascii="Times New Roman" w:hAnsi="Times New Roman"/>
          <w:sz w:val="24"/>
          <w:szCs w:val="24"/>
        </w:rPr>
        <w:t>reduce ‘blind spots’ in conglomerate groups that differ in size, business mix, and complexity.</w:t>
      </w:r>
    </w:p>
    <w:p w14:paraId="49DF7045" w14:textId="77777777" w:rsidR="00106A99" w:rsidRPr="00513B54" w:rsidRDefault="00A069D7" w:rsidP="00513B54">
      <w:pPr>
        <w:pStyle w:val="Heading4"/>
      </w:pPr>
      <w:r w:rsidRPr="00513B54">
        <w:t>Submissions received</w:t>
      </w:r>
    </w:p>
    <w:p w14:paraId="1BE2EE9F" w14:textId="4B50A109" w:rsidR="00164591" w:rsidRPr="000665CE" w:rsidRDefault="00164591" w:rsidP="006C10FA">
      <w:pPr>
        <w:spacing w:after="240"/>
        <w:jc w:val="both"/>
        <w:rPr>
          <w:rFonts w:ascii="Times New Roman" w:hAnsi="Times New Roman"/>
          <w:sz w:val="24"/>
          <w:szCs w:val="24"/>
        </w:rPr>
      </w:pPr>
      <w:r w:rsidRPr="000665CE">
        <w:rPr>
          <w:rFonts w:ascii="Times New Roman" w:hAnsi="Times New Roman"/>
          <w:sz w:val="24"/>
          <w:szCs w:val="24"/>
        </w:rPr>
        <w:t xml:space="preserve">APRA received </w:t>
      </w:r>
      <w:r w:rsidR="00907639" w:rsidRPr="000665CE">
        <w:rPr>
          <w:rFonts w:ascii="Times New Roman" w:hAnsi="Times New Roman"/>
          <w:sz w:val="24"/>
          <w:szCs w:val="24"/>
        </w:rPr>
        <w:t xml:space="preserve">18 submissions on the March 2010 discussion paper, </w:t>
      </w:r>
      <w:r w:rsidRPr="000665CE">
        <w:rPr>
          <w:rFonts w:ascii="Times New Roman" w:hAnsi="Times New Roman"/>
          <w:sz w:val="24"/>
          <w:szCs w:val="24"/>
        </w:rPr>
        <w:t>nine submissions on the December 2012 response paper</w:t>
      </w:r>
      <w:r w:rsidR="00907639" w:rsidRPr="000665CE">
        <w:rPr>
          <w:rFonts w:ascii="Times New Roman" w:hAnsi="Times New Roman"/>
          <w:sz w:val="24"/>
          <w:szCs w:val="24"/>
        </w:rPr>
        <w:t xml:space="preserve">, </w:t>
      </w:r>
      <w:r w:rsidRPr="000665CE">
        <w:rPr>
          <w:rFonts w:ascii="Times New Roman" w:hAnsi="Times New Roman"/>
          <w:sz w:val="24"/>
          <w:szCs w:val="24"/>
        </w:rPr>
        <w:t>ten submissions on the May 2013 response paper</w:t>
      </w:r>
      <w:r w:rsidR="00C224A3">
        <w:rPr>
          <w:rFonts w:ascii="Times New Roman" w:hAnsi="Times New Roman"/>
          <w:sz w:val="24"/>
          <w:szCs w:val="24"/>
        </w:rPr>
        <w:t xml:space="preserve">, </w:t>
      </w:r>
      <w:r w:rsidR="00DE0A9C">
        <w:rPr>
          <w:rFonts w:ascii="Times New Roman" w:hAnsi="Times New Roman"/>
          <w:sz w:val="24"/>
          <w:szCs w:val="24"/>
        </w:rPr>
        <w:t xml:space="preserve">five </w:t>
      </w:r>
      <w:r w:rsidR="00907639" w:rsidRPr="000665CE">
        <w:rPr>
          <w:rFonts w:ascii="Times New Roman" w:hAnsi="Times New Roman"/>
          <w:sz w:val="24"/>
          <w:szCs w:val="24"/>
        </w:rPr>
        <w:t>submissions on the September 2013 reporting discussion paper</w:t>
      </w:r>
      <w:r w:rsidR="00C224A3">
        <w:rPr>
          <w:rFonts w:ascii="Times New Roman" w:hAnsi="Times New Roman"/>
          <w:sz w:val="24"/>
          <w:szCs w:val="24"/>
        </w:rPr>
        <w:t xml:space="preserve"> and four submissions on the March 2016 clarifications</w:t>
      </w:r>
      <w:r w:rsidRPr="000665CE">
        <w:rPr>
          <w:rFonts w:ascii="Times New Roman" w:hAnsi="Times New Roman"/>
          <w:sz w:val="24"/>
          <w:szCs w:val="24"/>
        </w:rPr>
        <w:t>.</w:t>
      </w:r>
      <w:r w:rsidR="00907639" w:rsidRPr="000665CE">
        <w:rPr>
          <w:rFonts w:ascii="Times New Roman" w:hAnsi="Times New Roman"/>
          <w:sz w:val="24"/>
          <w:szCs w:val="24"/>
        </w:rPr>
        <w:t xml:space="preserve"> APRA has also actively engaged potential Level 3 groups </w:t>
      </w:r>
      <w:r w:rsidR="00C40BFE">
        <w:rPr>
          <w:rFonts w:ascii="Times New Roman" w:hAnsi="Times New Roman"/>
          <w:sz w:val="24"/>
          <w:szCs w:val="24"/>
        </w:rPr>
        <w:t xml:space="preserve">in developing </w:t>
      </w:r>
      <w:r w:rsidR="00C40BFE" w:rsidRPr="000665CE">
        <w:rPr>
          <w:rFonts w:ascii="Times New Roman" w:hAnsi="Times New Roman"/>
          <w:sz w:val="24"/>
          <w:szCs w:val="24"/>
        </w:rPr>
        <w:t>the proposed framework</w:t>
      </w:r>
      <w:r w:rsidR="00C40BFE">
        <w:rPr>
          <w:rFonts w:ascii="Times New Roman" w:hAnsi="Times New Roman"/>
          <w:sz w:val="24"/>
          <w:szCs w:val="24"/>
        </w:rPr>
        <w:t>, via</w:t>
      </w:r>
      <w:r w:rsidR="00C40BFE" w:rsidRPr="000665CE" w:rsidDel="008E7BC4">
        <w:rPr>
          <w:rFonts w:ascii="Times New Roman" w:hAnsi="Times New Roman"/>
          <w:sz w:val="24"/>
          <w:szCs w:val="24"/>
        </w:rPr>
        <w:t xml:space="preserve"> </w:t>
      </w:r>
      <w:r w:rsidR="00907639" w:rsidRPr="000665CE">
        <w:rPr>
          <w:rFonts w:ascii="Times New Roman" w:hAnsi="Times New Roman"/>
          <w:sz w:val="24"/>
          <w:szCs w:val="24"/>
        </w:rPr>
        <w:t>individual</w:t>
      </w:r>
      <w:r w:rsidR="00C40BFE">
        <w:rPr>
          <w:rFonts w:ascii="Times New Roman" w:hAnsi="Times New Roman"/>
          <w:sz w:val="24"/>
          <w:szCs w:val="24"/>
        </w:rPr>
        <w:t xml:space="preserve"> meetings</w:t>
      </w:r>
      <w:r w:rsidR="00907639" w:rsidRPr="000665CE">
        <w:rPr>
          <w:rFonts w:ascii="Times New Roman" w:hAnsi="Times New Roman"/>
          <w:sz w:val="24"/>
          <w:szCs w:val="24"/>
        </w:rPr>
        <w:t xml:space="preserve"> and </w:t>
      </w:r>
      <w:r w:rsidR="00C40BFE">
        <w:rPr>
          <w:rFonts w:ascii="Times New Roman" w:hAnsi="Times New Roman"/>
          <w:sz w:val="24"/>
          <w:szCs w:val="24"/>
        </w:rPr>
        <w:t>industry workshops</w:t>
      </w:r>
      <w:r w:rsidR="00907639" w:rsidRPr="000665CE">
        <w:rPr>
          <w:rFonts w:ascii="Times New Roman" w:hAnsi="Times New Roman"/>
          <w:sz w:val="24"/>
          <w:szCs w:val="24"/>
        </w:rPr>
        <w:t>.</w:t>
      </w:r>
    </w:p>
    <w:p w14:paraId="6BE8FE49" w14:textId="77777777" w:rsidR="00907639" w:rsidRPr="000665CE" w:rsidRDefault="00956E56" w:rsidP="006C10FA">
      <w:pPr>
        <w:spacing w:after="240"/>
        <w:jc w:val="both"/>
        <w:rPr>
          <w:rFonts w:ascii="Times New Roman" w:hAnsi="Times New Roman"/>
          <w:sz w:val="24"/>
          <w:szCs w:val="24"/>
        </w:rPr>
      </w:pPr>
      <w:r>
        <w:rPr>
          <w:rFonts w:ascii="Times New Roman" w:hAnsi="Times New Roman"/>
          <w:sz w:val="24"/>
          <w:szCs w:val="24"/>
        </w:rPr>
        <w:t>S</w:t>
      </w:r>
      <w:r w:rsidR="00463078" w:rsidRPr="000665CE">
        <w:rPr>
          <w:rFonts w:ascii="Times New Roman" w:hAnsi="Times New Roman"/>
          <w:sz w:val="24"/>
          <w:szCs w:val="24"/>
        </w:rPr>
        <w:t xml:space="preserve">ubmissions broadly supported </w:t>
      </w:r>
      <w:r w:rsidR="00907639" w:rsidRPr="000665CE">
        <w:rPr>
          <w:rFonts w:ascii="Times New Roman" w:hAnsi="Times New Roman"/>
          <w:sz w:val="24"/>
          <w:szCs w:val="24"/>
        </w:rPr>
        <w:t>the objectives of the Level 3 framework.</w:t>
      </w:r>
      <w:r w:rsidR="002416AF" w:rsidRPr="000665CE">
        <w:rPr>
          <w:rFonts w:ascii="Times New Roman" w:hAnsi="Times New Roman"/>
          <w:sz w:val="24"/>
          <w:szCs w:val="24"/>
        </w:rPr>
        <w:t xml:space="preserve"> The main issues raised related to the timing of implementation</w:t>
      </w:r>
      <w:r w:rsidR="00AD44F8">
        <w:rPr>
          <w:rFonts w:ascii="Times New Roman" w:hAnsi="Times New Roman"/>
          <w:sz w:val="24"/>
          <w:szCs w:val="24"/>
        </w:rPr>
        <w:t>, given</w:t>
      </w:r>
      <w:r w:rsidR="005E695F">
        <w:rPr>
          <w:rFonts w:ascii="Times New Roman" w:hAnsi="Times New Roman"/>
          <w:sz w:val="24"/>
          <w:szCs w:val="24"/>
        </w:rPr>
        <w:t xml:space="preserve"> the</w:t>
      </w:r>
      <w:r w:rsidR="00D231F9" w:rsidRPr="000665CE">
        <w:rPr>
          <w:rFonts w:ascii="Times New Roman" w:hAnsi="Times New Roman"/>
          <w:sz w:val="24"/>
          <w:szCs w:val="24"/>
        </w:rPr>
        <w:t xml:space="preserve"> </w:t>
      </w:r>
      <w:r w:rsidR="00AD44F8">
        <w:rPr>
          <w:rFonts w:ascii="Times New Roman" w:hAnsi="Times New Roman"/>
          <w:sz w:val="24"/>
          <w:szCs w:val="24"/>
        </w:rPr>
        <w:t xml:space="preserve">schedule </w:t>
      </w:r>
      <w:r w:rsidR="00D231F9" w:rsidRPr="000665CE">
        <w:rPr>
          <w:rFonts w:ascii="Times New Roman" w:hAnsi="Times New Roman"/>
          <w:sz w:val="24"/>
          <w:szCs w:val="24"/>
        </w:rPr>
        <w:t>of other regulatory proposals</w:t>
      </w:r>
      <w:r w:rsidR="002416AF" w:rsidRPr="000665CE">
        <w:rPr>
          <w:rFonts w:ascii="Times New Roman" w:hAnsi="Times New Roman"/>
          <w:sz w:val="24"/>
          <w:szCs w:val="24"/>
        </w:rPr>
        <w:t xml:space="preserve"> </w:t>
      </w:r>
      <w:r w:rsidR="00095B7B" w:rsidRPr="000665CE">
        <w:rPr>
          <w:rFonts w:ascii="Times New Roman" w:hAnsi="Times New Roman"/>
          <w:sz w:val="24"/>
          <w:szCs w:val="24"/>
        </w:rPr>
        <w:t xml:space="preserve">and the </w:t>
      </w:r>
      <w:r w:rsidR="00AD44F8">
        <w:rPr>
          <w:rFonts w:ascii="Times New Roman" w:hAnsi="Times New Roman"/>
          <w:sz w:val="24"/>
          <w:szCs w:val="24"/>
        </w:rPr>
        <w:t xml:space="preserve">investment needed to meet </w:t>
      </w:r>
      <w:r w:rsidR="005D6EFA">
        <w:rPr>
          <w:rFonts w:ascii="Times New Roman" w:hAnsi="Times New Roman"/>
          <w:sz w:val="24"/>
          <w:szCs w:val="24"/>
        </w:rPr>
        <w:t xml:space="preserve">the proposed </w:t>
      </w:r>
      <w:r w:rsidR="00095B7B" w:rsidRPr="000665CE">
        <w:rPr>
          <w:rFonts w:ascii="Times New Roman" w:hAnsi="Times New Roman"/>
          <w:sz w:val="24"/>
          <w:szCs w:val="24"/>
        </w:rPr>
        <w:t>risk exposure requirements.</w:t>
      </w:r>
      <w:r w:rsidR="00536F94" w:rsidRPr="000665CE">
        <w:rPr>
          <w:rFonts w:ascii="Times New Roman" w:hAnsi="Times New Roman"/>
          <w:sz w:val="24"/>
          <w:szCs w:val="24"/>
        </w:rPr>
        <w:t xml:space="preserve"> Submissions further suggested technical amendments to the capital adequacy proposals and requested clarification regarding all four components.</w:t>
      </w:r>
    </w:p>
    <w:p w14:paraId="64701D05" w14:textId="46454ECE" w:rsidR="00095B7B" w:rsidRDefault="00095B7B" w:rsidP="006C10FA">
      <w:pPr>
        <w:spacing w:after="240"/>
        <w:jc w:val="both"/>
        <w:rPr>
          <w:rFonts w:ascii="Times New Roman" w:hAnsi="Times New Roman"/>
          <w:sz w:val="24"/>
          <w:szCs w:val="24"/>
        </w:rPr>
      </w:pPr>
      <w:r w:rsidRPr="000665CE">
        <w:rPr>
          <w:rFonts w:ascii="Times New Roman" w:hAnsi="Times New Roman"/>
          <w:sz w:val="24"/>
          <w:szCs w:val="24"/>
        </w:rPr>
        <w:t xml:space="preserve">Submissions </w:t>
      </w:r>
      <w:r w:rsidR="005D6EFA">
        <w:rPr>
          <w:rFonts w:ascii="Times New Roman" w:hAnsi="Times New Roman"/>
          <w:sz w:val="24"/>
          <w:szCs w:val="24"/>
        </w:rPr>
        <w:t xml:space="preserve">suggested </w:t>
      </w:r>
      <w:r w:rsidR="00362B41">
        <w:rPr>
          <w:rFonts w:ascii="Times New Roman" w:hAnsi="Times New Roman"/>
          <w:sz w:val="24"/>
          <w:szCs w:val="24"/>
        </w:rPr>
        <w:t xml:space="preserve">12 months’ lead time prior to implementation, </w:t>
      </w:r>
      <w:r w:rsidR="005D6EFA">
        <w:rPr>
          <w:rFonts w:ascii="Times New Roman" w:hAnsi="Times New Roman"/>
          <w:sz w:val="24"/>
          <w:szCs w:val="24"/>
        </w:rPr>
        <w:t>which APRA has adopted</w:t>
      </w:r>
      <w:r w:rsidR="00362B41">
        <w:rPr>
          <w:rFonts w:ascii="Times New Roman" w:hAnsi="Times New Roman"/>
          <w:sz w:val="24"/>
          <w:szCs w:val="24"/>
        </w:rPr>
        <w:t>, with the non-capital requirements becoming effective on 1 July 2017</w:t>
      </w:r>
      <w:r w:rsidR="005D6EFA">
        <w:rPr>
          <w:rFonts w:ascii="Times New Roman" w:hAnsi="Times New Roman"/>
          <w:sz w:val="24"/>
          <w:szCs w:val="24"/>
        </w:rPr>
        <w:t>.</w:t>
      </w:r>
      <w:r w:rsidR="002579F5">
        <w:rPr>
          <w:rFonts w:ascii="Times New Roman" w:hAnsi="Times New Roman"/>
          <w:sz w:val="24"/>
          <w:szCs w:val="24"/>
        </w:rPr>
        <w:t xml:space="preserve"> </w:t>
      </w:r>
      <w:r w:rsidR="00362B41">
        <w:rPr>
          <w:rFonts w:ascii="Times New Roman" w:hAnsi="Times New Roman"/>
          <w:sz w:val="24"/>
          <w:szCs w:val="24"/>
        </w:rPr>
        <w:t xml:space="preserve">APRA has indicated to industry that implementation of capital requirements </w:t>
      </w:r>
      <w:r w:rsidR="005F4D43">
        <w:rPr>
          <w:rFonts w:ascii="Times New Roman" w:hAnsi="Times New Roman"/>
          <w:sz w:val="24"/>
          <w:szCs w:val="24"/>
        </w:rPr>
        <w:t>would</w:t>
      </w:r>
      <w:r w:rsidR="00362B41">
        <w:rPr>
          <w:rFonts w:ascii="Times New Roman" w:hAnsi="Times New Roman"/>
          <w:sz w:val="24"/>
          <w:szCs w:val="24"/>
        </w:rPr>
        <w:t xml:space="preserve"> be no earlier than 2019. </w:t>
      </w:r>
      <w:r w:rsidR="002579F5">
        <w:rPr>
          <w:rFonts w:ascii="Times New Roman" w:hAnsi="Times New Roman"/>
          <w:sz w:val="24"/>
          <w:szCs w:val="24"/>
        </w:rPr>
        <w:t xml:space="preserve">APRA </w:t>
      </w:r>
      <w:r w:rsidR="00B205D5">
        <w:rPr>
          <w:rFonts w:ascii="Times New Roman" w:hAnsi="Times New Roman"/>
          <w:sz w:val="24"/>
          <w:szCs w:val="24"/>
        </w:rPr>
        <w:t>considers</w:t>
      </w:r>
      <w:r w:rsidR="002579F5">
        <w:rPr>
          <w:rFonts w:ascii="Times New Roman" w:hAnsi="Times New Roman"/>
          <w:sz w:val="24"/>
          <w:szCs w:val="24"/>
        </w:rPr>
        <w:t xml:space="preserve"> that this </w:t>
      </w:r>
      <w:r w:rsidR="00A62443">
        <w:rPr>
          <w:rFonts w:ascii="Times New Roman" w:hAnsi="Times New Roman"/>
          <w:sz w:val="24"/>
          <w:szCs w:val="24"/>
        </w:rPr>
        <w:t xml:space="preserve">would </w:t>
      </w:r>
      <w:r w:rsidR="002579F5">
        <w:rPr>
          <w:rFonts w:ascii="Times New Roman" w:hAnsi="Times New Roman"/>
          <w:sz w:val="24"/>
          <w:szCs w:val="24"/>
        </w:rPr>
        <w:t xml:space="preserve">provide sufficient time for all conglomerate groups to comply with </w:t>
      </w:r>
      <w:r w:rsidR="006B1A05">
        <w:rPr>
          <w:rFonts w:ascii="Times New Roman" w:hAnsi="Times New Roman"/>
          <w:sz w:val="24"/>
          <w:szCs w:val="24"/>
        </w:rPr>
        <w:t>o</w:t>
      </w:r>
      <w:r w:rsidR="002579F5">
        <w:rPr>
          <w:rFonts w:ascii="Times New Roman" w:hAnsi="Times New Roman"/>
          <w:sz w:val="24"/>
          <w:szCs w:val="24"/>
        </w:rPr>
        <w:t>ption 3.</w:t>
      </w:r>
    </w:p>
    <w:p w14:paraId="3C16353D" w14:textId="59C17A6D" w:rsidR="006C7889" w:rsidRPr="000665CE" w:rsidRDefault="006C7889" w:rsidP="006C10FA">
      <w:pPr>
        <w:spacing w:after="240"/>
        <w:jc w:val="both"/>
        <w:rPr>
          <w:rFonts w:ascii="Times New Roman" w:hAnsi="Times New Roman"/>
          <w:sz w:val="24"/>
          <w:szCs w:val="24"/>
        </w:rPr>
      </w:pPr>
      <w:r>
        <w:rPr>
          <w:rFonts w:ascii="Times New Roman" w:hAnsi="Times New Roman"/>
          <w:sz w:val="24"/>
          <w:szCs w:val="24"/>
        </w:rPr>
        <w:t xml:space="preserve">Submissions noted that the prescriptive nature of the draft aggregate risk exposures proposals could lead to </w:t>
      </w:r>
      <w:r w:rsidR="00334E90">
        <w:rPr>
          <w:rFonts w:ascii="Times New Roman" w:hAnsi="Times New Roman"/>
          <w:sz w:val="24"/>
          <w:szCs w:val="24"/>
        </w:rPr>
        <w:t>material</w:t>
      </w:r>
      <w:r>
        <w:rPr>
          <w:rFonts w:ascii="Times New Roman" w:hAnsi="Times New Roman"/>
          <w:sz w:val="24"/>
          <w:szCs w:val="24"/>
        </w:rPr>
        <w:t xml:space="preserve"> compliance costs</w:t>
      </w:r>
      <w:r w:rsidR="005F4D43">
        <w:rPr>
          <w:rFonts w:ascii="Times New Roman" w:hAnsi="Times New Roman"/>
          <w:sz w:val="24"/>
          <w:szCs w:val="24"/>
        </w:rPr>
        <w:t xml:space="preserve">, although </w:t>
      </w:r>
      <w:r w:rsidR="00B93FDB">
        <w:rPr>
          <w:rFonts w:ascii="Times New Roman" w:hAnsi="Times New Roman"/>
          <w:sz w:val="24"/>
          <w:szCs w:val="24"/>
        </w:rPr>
        <w:t>no quantification was provided</w:t>
      </w:r>
      <w:r w:rsidR="005F4D43">
        <w:rPr>
          <w:rFonts w:ascii="Times New Roman" w:hAnsi="Times New Roman"/>
          <w:sz w:val="24"/>
          <w:szCs w:val="24"/>
        </w:rPr>
        <w:t>,</w:t>
      </w:r>
      <w:r w:rsidR="00B93FDB">
        <w:rPr>
          <w:rFonts w:ascii="Times New Roman" w:hAnsi="Times New Roman"/>
          <w:sz w:val="24"/>
          <w:szCs w:val="24"/>
        </w:rPr>
        <w:t xml:space="preserve"> and requested a more principles-based approach to the</w:t>
      </w:r>
      <w:r w:rsidR="005F4D43">
        <w:rPr>
          <w:rFonts w:ascii="Times New Roman" w:hAnsi="Times New Roman"/>
          <w:sz w:val="24"/>
          <w:szCs w:val="24"/>
        </w:rPr>
        <w:t>se</w:t>
      </w:r>
      <w:r w:rsidR="00B93FDB">
        <w:rPr>
          <w:rFonts w:ascii="Times New Roman" w:hAnsi="Times New Roman"/>
          <w:sz w:val="24"/>
          <w:szCs w:val="24"/>
        </w:rPr>
        <w:t xml:space="preserve"> requirements</w:t>
      </w:r>
      <w:r>
        <w:rPr>
          <w:rFonts w:ascii="Times New Roman" w:hAnsi="Times New Roman"/>
          <w:sz w:val="24"/>
          <w:szCs w:val="24"/>
        </w:rPr>
        <w:t>.</w:t>
      </w:r>
      <w:r w:rsidR="00B93FDB">
        <w:rPr>
          <w:rFonts w:ascii="Times New Roman" w:hAnsi="Times New Roman"/>
          <w:sz w:val="24"/>
          <w:szCs w:val="24"/>
        </w:rPr>
        <w:t xml:space="preserve"> </w:t>
      </w:r>
      <w:r w:rsidR="0020099C">
        <w:rPr>
          <w:rFonts w:ascii="Times New Roman" w:hAnsi="Times New Roman"/>
          <w:sz w:val="24"/>
          <w:szCs w:val="24"/>
        </w:rPr>
        <w:t>Similarly, submissions argued that the draft capital shortfall assessment was too prescriptive and could require a conglomerate group to unwind its central hedging policy, leading to increased costs and higher risks to the group</w:t>
      </w:r>
      <w:r w:rsidR="005F4D43">
        <w:rPr>
          <w:rFonts w:ascii="Times New Roman" w:hAnsi="Times New Roman"/>
          <w:sz w:val="24"/>
          <w:szCs w:val="24"/>
        </w:rPr>
        <w:t xml:space="preserve">; again, </w:t>
      </w:r>
      <w:r w:rsidR="0020099C">
        <w:rPr>
          <w:rFonts w:ascii="Times New Roman" w:hAnsi="Times New Roman"/>
          <w:sz w:val="24"/>
          <w:szCs w:val="24"/>
        </w:rPr>
        <w:t xml:space="preserve">no quantification was provided. </w:t>
      </w:r>
      <w:r w:rsidR="005D6EFA">
        <w:rPr>
          <w:rFonts w:ascii="Times New Roman" w:hAnsi="Times New Roman"/>
          <w:sz w:val="24"/>
          <w:szCs w:val="24"/>
        </w:rPr>
        <w:t xml:space="preserve">In response, </w:t>
      </w:r>
      <w:r w:rsidR="0020099C">
        <w:rPr>
          <w:rFonts w:ascii="Times New Roman" w:hAnsi="Times New Roman"/>
          <w:sz w:val="24"/>
          <w:szCs w:val="24"/>
        </w:rPr>
        <w:t>APRA has amended the relevant proposed requirements to be more principles-based.</w:t>
      </w:r>
      <w:r w:rsidR="00BC056E">
        <w:rPr>
          <w:rFonts w:ascii="Times New Roman" w:hAnsi="Times New Roman"/>
          <w:sz w:val="24"/>
          <w:szCs w:val="24"/>
        </w:rPr>
        <w:t xml:space="preserve"> In particular, the aggregate risk exposures standard no longer prescribes the limits conglomerate groups must implement</w:t>
      </w:r>
      <w:r w:rsidR="00763356">
        <w:rPr>
          <w:rFonts w:ascii="Times New Roman" w:hAnsi="Times New Roman"/>
          <w:sz w:val="24"/>
          <w:szCs w:val="24"/>
        </w:rPr>
        <w:t xml:space="preserve">. APRA is also minded to remove its proposed prescription on </w:t>
      </w:r>
      <w:r w:rsidR="00BC056E">
        <w:rPr>
          <w:rFonts w:ascii="Times New Roman" w:hAnsi="Times New Roman"/>
          <w:sz w:val="24"/>
          <w:szCs w:val="24"/>
        </w:rPr>
        <w:t>limitations around what constitutes transferable capital.</w:t>
      </w:r>
    </w:p>
    <w:p w14:paraId="3B0538A2" w14:textId="3B6EA293" w:rsidR="000C5C89" w:rsidRDefault="00B93FDB" w:rsidP="00A76042">
      <w:pPr>
        <w:spacing w:after="240"/>
        <w:jc w:val="both"/>
        <w:rPr>
          <w:rFonts w:ascii="Times New Roman" w:hAnsi="Times New Roman"/>
          <w:sz w:val="24"/>
          <w:szCs w:val="24"/>
        </w:rPr>
      </w:pPr>
      <w:r>
        <w:rPr>
          <w:rFonts w:ascii="Times New Roman" w:hAnsi="Times New Roman"/>
          <w:sz w:val="24"/>
          <w:szCs w:val="24"/>
        </w:rPr>
        <w:t>S</w:t>
      </w:r>
      <w:r w:rsidR="006C7889">
        <w:rPr>
          <w:rFonts w:ascii="Times New Roman" w:hAnsi="Times New Roman"/>
          <w:sz w:val="24"/>
          <w:szCs w:val="24"/>
        </w:rPr>
        <w:t>ubmission</w:t>
      </w:r>
      <w:r>
        <w:rPr>
          <w:rFonts w:ascii="Times New Roman" w:hAnsi="Times New Roman"/>
          <w:sz w:val="24"/>
          <w:szCs w:val="24"/>
        </w:rPr>
        <w:t>s</w:t>
      </w:r>
      <w:r w:rsidR="006C7889">
        <w:rPr>
          <w:rFonts w:ascii="Times New Roman" w:hAnsi="Times New Roman"/>
          <w:sz w:val="24"/>
          <w:szCs w:val="24"/>
        </w:rPr>
        <w:t xml:space="preserve"> argued that </w:t>
      </w:r>
      <w:r w:rsidR="006C7889" w:rsidRPr="00AD74AA">
        <w:rPr>
          <w:rFonts w:ascii="Times New Roman" w:hAnsi="Times New Roman"/>
          <w:sz w:val="24"/>
          <w:szCs w:val="24"/>
        </w:rPr>
        <w:t xml:space="preserve">APRA’s proposals could place </w:t>
      </w:r>
      <w:r w:rsidR="006C7889">
        <w:rPr>
          <w:rFonts w:ascii="Times New Roman" w:hAnsi="Times New Roman"/>
          <w:sz w:val="24"/>
          <w:szCs w:val="24"/>
        </w:rPr>
        <w:t>non-APRA-</w:t>
      </w:r>
      <w:r w:rsidR="006C7889" w:rsidRPr="00AD74AA">
        <w:rPr>
          <w:rFonts w:ascii="Times New Roman" w:hAnsi="Times New Roman"/>
          <w:sz w:val="24"/>
          <w:szCs w:val="24"/>
        </w:rPr>
        <w:t xml:space="preserve">regulated </w:t>
      </w:r>
      <w:r w:rsidR="006C7889">
        <w:rPr>
          <w:rFonts w:ascii="Times New Roman" w:hAnsi="Times New Roman"/>
          <w:sz w:val="24"/>
          <w:szCs w:val="24"/>
        </w:rPr>
        <w:t xml:space="preserve">institutions </w:t>
      </w:r>
      <w:r w:rsidR="006C7889" w:rsidRPr="00AD74AA">
        <w:rPr>
          <w:rFonts w:ascii="Times New Roman" w:hAnsi="Times New Roman"/>
          <w:sz w:val="24"/>
          <w:szCs w:val="24"/>
        </w:rPr>
        <w:t>that are part of a conglomerate group at a competitive disadvantage compared to equivalent businesses</w:t>
      </w:r>
      <w:r w:rsidR="006C7889">
        <w:rPr>
          <w:rFonts w:ascii="Times New Roman" w:hAnsi="Times New Roman"/>
          <w:sz w:val="24"/>
          <w:szCs w:val="24"/>
        </w:rPr>
        <w:t xml:space="preserve"> </w:t>
      </w:r>
      <w:r w:rsidR="006C7889" w:rsidRPr="00AD74AA">
        <w:rPr>
          <w:rFonts w:ascii="Times New Roman" w:hAnsi="Times New Roman"/>
          <w:sz w:val="24"/>
          <w:szCs w:val="24"/>
        </w:rPr>
        <w:t>held outside a conglomerate group</w:t>
      </w:r>
      <w:r w:rsidR="007A3906">
        <w:rPr>
          <w:rFonts w:ascii="Times New Roman" w:hAnsi="Times New Roman"/>
          <w:sz w:val="24"/>
          <w:szCs w:val="24"/>
        </w:rPr>
        <w:t>;</w:t>
      </w:r>
      <w:r>
        <w:rPr>
          <w:rFonts w:ascii="Times New Roman" w:hAnsi="Times New Roman"/>
          <w:sz w:val="24"/>
          <w:szCs w:val="24"/>
        </w:rPr>
        <w:t xml:space="preserve"> no quantification was provided</w:t>
      </w:r>
      <w:r w:rsidR="006C7889" w:rsidRPr="00AD74AA">
        <w:rPr>
          <w:rFonts w:ascii="Times New Roman" w:hAnsi="Times New Roman"/>
          <w:sz w:val="24"/>
          <w:szCs w:val="24"/>
        </w:rPr>
        <w:t>.</w:t>
      </w:r>
      <w:r w:rsidR="006C7889">
        <w:rPr>
          <w:rFonts w:ascii="Times New Roman" w:hAnsi="Times New Roman"/>
          <w:sz w:val="24"/>
          <w:szCs w:val="24"/>
        </w:rPr>
        <w:t xml:space="preserve"> </w:t>
      </w:r>
      <w:r w:rsidR="00A76042">
        <w:rPr>
          <w:rFonts w:ascii="Times New Roman" w:hAnsi="Times New Roman"/>
          <w:sz w:val="24"/>
          <w:szCs w:val="24"/>
        </w:rPr>
        <w:t xml:space="preserve">APRA considers that the proposals address competitive failures rather than create them. APRA has explicitly stated that in determining the appropriate level of capitalisation for non-APRA-regulated institutions, it will </w:t>
      </w:r>
      <w:r w:rsidR="00A76042" w:rsidRPr="00AD74AA">
        <w:rPr>
          <w:rFonts w:ascii="Times New Roman" w:hAnsi="Times New Roman"/>
          <w:sz w:val="24"/>
          <w:szCs w:val="24"/>
        </w:rPr>
        <w:t xml:space="preserve">consider market benchmarks and </w:t>
      </w:r>
      <w:r w:rsidR="00A76042">
        <w:rPr>
          <w:rFonts w:ascii="Times New Roman" w:hAnsi="Times New Roman"/>
          <w:sz w:val="24"/>
          <w:szCs w:val="24"/>
        </w:rPr>
        <w:t xml:space="preserve">average </w:t>
      </w:r>
      <w:r w:rsidR="00A76042" w:rsidRPr="00AD74AA">
        <w:rPr>
          <w:rFonts w:ascii="Times New Roman" w:hAnsi="Times New Roman"/>
          <w:sz w:val="24"/>
          <w:szCs w:val="24"/>
        </w:rPr>
        <w:t>industry ratios for the relevant commercial industries</w:t>
      </w:r>
      <w:r w:rsidR="00A76042">
        <w:rPr>
          <w:rFonts w:ascii="Times New Roman" w:hAnsi="Times New Roman"/>
          <w:sz w:val="24"/>
          <w:szCs w:val="24"/>
        </w:rPr>
        <w:t>. This will assist in addressing potential undercapitalisation of conglomerate groups’ commercial operations</w:t>
      </w:r>
      <w:r w:rsidR="00064C76">
        <w:rPr>
          <w:rFonts w:ascii="Times New Roman" w:hAnsi="Times New Roman"/>
          <w:sz w:val="24"/>
          <w:szCs w:val="24"/>
        </w:rPr>
        <w:t>, relative to the market requirements if those operations were outside of a conglomerate group</w:t>
      </w:r>
      <w:r w:rsidR="00A76042">
        <w:rPr>
          <w:rFonts w:ascii="Times New Roman" w:hAnsi="Times New Roman"/>
          <w:sz w:val="24"/>
          <w:szCs w:val="24"/>
        </w:rPr>
        <w:t>.</w:t>
      </w:r>
      <w:r w:rsidR="00536F94" w:rsidRPr="000665CE">
        <w:rPr>
          <w:rFonts w:ascii="Times New Roman" w:hAnsi="Times New Roman"/>
          <w:sz w:val="24"/>
          <w:szCs w:val="24"/>
        </w:rPr>
        <w:t xml:space="preserve"> </w:t>
      </w:r>
      <w:r w:rsidR="00A76042">
        <w:rPr>
          <w:rFonts w:ascii="Times New Roman" w:hAnsi="Times New Roman"/>
          <w:sz w:val="24"/>
          <w:szCs w:val="24"/>
        </w:rPr>
        <w:t>Further, i</w:t>
      </w:r>
      <w:r w:rsidR="00536F94" w:rsidRPr="000665CE">
        <w:rPr>
          <w:rFonts w:ascii="Times New Roman" w:hAnsi="Times New Roman"/>
          <w:sz w:val="24"/>
          <w:szCs w:val="24"/>
        </w:rPr>
        <w:t>n response to submissions</w:t>
      </w:r>
      <w:r w:rsidR="000C5C89" w:rsidRPr="000665CE">
        <w:rPr>
          <w:rFonts w:ascii="Times New Roman" w:hAnsi="Times New Roman"/>
          <w:sz w:val="24"/>
          <w:szCs w:val="24"/>
        </w:rPr>
        <w:t xml:space="preserve"> and respecting its statutory obligations to protect the interests of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sidR="000C5C89" w:rsidRPr="000665CE">
        <w:rPr>
          <w:rFonts w:ascii="Times New Roman" w:hAnsi="Times New Roman"/>
          <w:sz w:val="24"/>
          <w:szCs w:val="24"/>
        </w:rPr>
        <w:t xml:space="preserve">, APRA has amended the capital adequacy proposals to link the capital adequacy requirements directly with contagion risks to </w:t>
      </w:r>
      <w:r w:rsidR="00763356">
        <w:rPr>
          <w:rFonts w:ascii="Times New Roman" w:hAnsi="Times New Roman"/>
          <w:sz w:val="24"/>
          <w:szCs w:val="24"/>
        </w:rPr>
        <w:t>d</w:t>
      </w:r>
      <w:r w:rsidR="00274376">
        <w:rPr>
          <w:rFonts w:ascii="Times New Roman" w:hAnsi="Times New Roman"/>
          <w:sz w:val="24"/>
          <w:szCs w:val="24"/>
        </w:rPr>
        <w:t>epositors, policyholders and superannuation members</w:t>
      </w:r>
      <w:r w:rsidR="000C5C89" w:rsidRPr="000665CE">
        <w:rPr>
          <w:rFonts w:ascii="Times New Roman" w:hAnsi="Times New Roman"/>
          <w:sz w:val="24"/>
          <w:szCs w:val="24"/>
        </w:rPr>
        <w:t xml:space="preserve">. Conglomerate groups that are able to credibly and effectively separate non-APRA-regulated activities can reduce contagion risk to </w:t>
      </w:r>
      <w:r w:rsidR="006B1A05">
        <w:rPr>
          <w:rFonts w:ascii="Times New Roman" w:hAnsi="Times New Roman"/>
          <w:sz w:val="24"/>
          <w:szCs w:val="24"/>
        </w:rPr>
        <w:t>these</w:t>
      </w:r>
      <w:r w:rsidR="006B1A05" w:rsidRPr="000665CE">
        <w:rPr>
          <w:rFonts w:ascii="Times New Roman" w:hAnsi="Times New Roman"/>
          <w:sz w:val="24"/>
          <w:szCs w:val="24"/>
        </w:rPr>
        <w:t xml:space="preserve"> </w:t>
      </w:r>
      <w:r w:rsidR="000C5C89" w:rsidRPr="000665CE">
        <w:rPr>
          <w:rFonts w:ascii="Times New Roman" w:hAnsi="Times New Roman"/>
          <w:sz w:val="24"/>
          <w:szCs w:val="24"/>
        </w:rPr>
        <w:t xml:space="preserve">beneficiaries and thereby reduce capital adequacy requirements. </w:t>
      </w:r>
      <w:r w:rsidR="00723114">
        <w:rPr>
          <w:rFonts w:ascii="Times New Roman" w:hAnsi="Times New Roman"/>
          <w:sz w:val="24"/>
          <w:szCs w:val="24"/>
        </w:rPr>
        <w:t xml:space="preserve">As a practical matter, APRA observes that the groups affected by the proposals are demonstrably among the most competitive in their industries, not only against domestic but </w:t>
      </w:r>
      <w:r w:rsidR="0000761F">
        <w:rPr>
          <w:rFonts w:ascii="Times New Roman" w:hAnsi="Times New Roman"/>
          <w:sz w:val="24"/>
          <w:szCs w:val="24"/>
        </w:rPr>
        <w:t xml:space="preserve">also </w:t>
      </w:r>
      <w:r w:rsidR="00723114">
        <w:rPr>
          <w:rFonts w:ascii="Times New Roman" w:hAnsi="Times New Roman"/>
          <w:sz w:val="24"/>
          <w:szCs w:val="24"/>
        </w:rPr>
        <w:t>foreign</w:t>
      </w:r>
      <w:r w:rsidR="005E695F">
        <w:rPr>
          <w:rFonts w:ascii="Times New Roman" w:hAnsi="Times New Roman"/>
          <w:sz w:val="24"/>
          <w:szCs w:val="24"/>
        </w:rPr>
        <w:t xml:space="preserve"> and unregulated competitors</w:t>
      </w:r>
      <w:r w:rsidR="00723114">
        <w:rPr>
          <w:rFonts w:ascii="Times New Roman" w:hAnsi="Times New Roman"/>
          <w:sz w:val="24"/>
          <w:szCs w:val="24"/>
        </w:rPr>
        <w:t>.</w:t>
      </w:r>
    </w:p>
    <w:p w14:paraId="525A5FAA" w14:textId="1B8D1701" w:rsidR="00A76042" w:rsidRPr="000665CE" w:rsidRDefault="00F86F83" w:rsidP="006C7889">
      <w:pPr>
        <w:spacing w:after="240"/>
        <w:jc w:val="both"/>
        <w:rPr>
          <w:rFonts w:ascii="Times New Roman" w:hAnsi="Times New Roman"/>
          <w:sz w:val="24"/>
          <w:szCs w:val="24"/>
        </w:rPr>
      </w:pPr>
      <w:r>
        <w:rPr>
          <w:rFonts w:ascii="Times New Roman" w:hAnsi="Times New Roman"/>
          <w:sz w:val="24"/>
          <w:szCs w:val="24"/>
        </w:rPr>
        <w:t>Submissions argued that t</w:t>
      </w:r>
      <w:r w:rsidR="00A76042">
        <w:rPr>
          <w:rFonts w:ascii="Times New Roman" w:hAnsi="Times New Roman"/>
          <w:sz w:val="24"/>
          <w:szCs w:val="24"/>
        </w:rPr>
        <w:t xml:space="preserve">he </w:t>
      </w:r>
      <w:r w:rsidR="00A76042" w:rsidRPr="00AD74AA">
        <w:rPr>
          <w:rFonts w:ascii="Times New Roman" w:hAnsi="Times New Roman"/>
          <w:sz w:val="24"/>
          <w:szCs w:val="24"/>
        </w:rPr>
        <w:t xml:space="preserve">widening of </w:t>
      </w:r>
      <w:r w:rsidR="00A76042">
        <w:rPr>
          <w:rFonts w:ascii="Times New Roman" w:hAnsi="Times New Roman"/>
          <w:sz w:val="24"/>
          <w:szCs w:val="24"/>
        </w:rPr>
        <w:t xml:space="preserve">the </w:t>
      </w:r>
      <w:r w:rsidR="00A76042" w:rsidRPr="00AD74AA">
        <w:rPr>
          <w:rFonts w:ascii="Times New Roman" w:hAnsi="Times New Roman"/>
          <w:sz w:val="24"/>
          <w:szCs w:val="24"/>
        </w:rPr>
        <w:t xml:space="preserve">scope of </w:t>
      </w:r>
      <w:r w:rsidR="00A76042">
        <w:rPr>
          <w:rFonts w:ascii="Times New Roman" w:hAnsi="Times New Roman"/>
          <w:sz w:val="24"/>
          <w:szCs w:val="24"/>
        </w:rPr>
        <w:t xml:space="preserve">the </w:t>
      </w:r>
      <w:r w:rsidR="00A76042" w:rsidRPr="00AD74AA">
        <w:rPr>
          <w:rFonts w:ascii="Times New Roman" w:hAnsi="Times New Roman"/>
          <w:sz w:val="24"/>
          <w:szCs w:val="24"/>
        </w:rPr>
        <w:t>outsourcing</w:t>
      </w:r>
      <w:r w:rsidR="00A76042">
        <w:rPr>
          <w:rFonts w:ascii="Times New Roman" w:hAnsi="Times New Roman"/>
          <w:sz w:val="24"/>
          <w:szCs w:val="24"/>
        </w:rPr>
        <w:t>,</w:t>
      </w:r>
      <w:r w:rsidR="00A76042" w:rsidRPr="00AD74AA">
        <w:rPr>
          <w:rFonts w:ascii="Times New Roman" w:hAnsi="Times New Roman"/>
          <w:sz w:val="24"/>
          <w:szCs w:val="24"/>
        </w:rPr>
        <w:t xml:space="preserve"> business continuity management and governance standards</w:t>
      </w:r>
      <w:r w:rsidR="00A76042">
        <w:rPr>
          <w:rFonts w:ascii="Times New Roman" w:hAnsi="Times New Roman"/>
          <w:sz w:val="24"/>
          <w:szCs w:val="24"/>
        </w:rPr>
        <w:t xml:space="preserve"> could add to </w:t>
      </w:r>
      <w:r>
        <w:rPr>
          <w:rFonts w:ascii="Times New Roman" w:hAnsi="Times New Roman"/>
          <w:sz w:val="24"/>
          <w:szCs w:val="24"/>
        </w:rPr>
        <w:t xml:space="preserve">compliance </w:t>
      </w:r>
      <w:r w:rsidR="00A76042">
        <w:rPr>
          <w:rFonts w:ascii="Times New Roman" w:hAnsi="Times New Roman"/>
          <w:sz w:val="24"/>
          <w:szCs w:val="24"/>
        </w:rPr>
        <w:t>cost</w:t>
      </w:r>
      <w:r>
        <w:rPr>
          <w:rFonts w:ascii="Times New Roman" w:hAnsi="Times New Roman"/>
          <w:sz w:val="24"/>
          <w:szCs w:val="24"/>
        </w:rPr>
        <w:t>s</w:t>
      </w:r>
      <w:r w:rsidR="00A76042">
        <w:rPr>
          <w:rFonts w:ascii="Times New Roman" w:hAnsi="Times New Roman"/>
          <w:sz w:val="24"/>
          <w:szCs w:val="24"/>
        </w:rPr>
        <w:t xml:space="preserve"> (no quantification was provided). </w:t>
      </w:r>
      <w:r w:rsidR="00E00DBE">
        <w:rPr>
          <w:rFonts w:ascii="Times New Roman" w:hAnsi="Times New Roman"/>
          <w:sz w:val="24"/>
          <w:szCs w:val="24"/>
        </w:rPr>
        <w:t>However, g</w:t>
      </w:r>
      <w:r w:rsidR="006F2E55">
        <w:rPr>
          <w:rFonts w:ascii="Times New Roman" w:hAnsi="Times New Roman"/>
          <w:sz w:val="24"/>
          <w:szCs w:val="24"/>
        </w:rPr>
        <w:t xml:space="preserve">roups </w:t>
      </w:r>
      <w:r w:rsidR="00E00DBE">
        <w:rPr>
          <w:rFonts w:ascii="Times New Roman" w:hAnsi="Times New Roman"/>
          <w:sz w:val="24"/>
          <w:szCs w:val="24"/>
        </w:rPr>
        <w:t xml:space="preserve">also </w:t>
      </w:r>
      <w:r w:rsidR="006F2E55">
        <w:rPr>
          <w:rFonts w:ascii="Times New Roman" w:hAnsi="Times New Roman"/>
          <w:sz w:val="24"/>
          <w:szCs w:val="24"/>
        </w:rPr>
        <w:t>acknowledge</w:t>
      </w:r>
      <w:r w:rsidR="00CE0CA1">
        <w:rPr>
          <w:rFonts w:ascii="Times New Roman" w:hAnsi="Times New Roman"/>
          <w:sz w:val="24"/>
          <w:szCs w:val="24"/>
        </w:rPr>
        <w:t>d</w:t>
      </w:r>
      <w:r w:rsidR="006F2E55">
        <w:rPr>
          <w:rFonts w:ascii="Times New Roman" w:hAnsi="Times New Roman"/>
          <w:sz w:val="24"/>
          <w:szCs w:val="24"/>
        </w:rPr>
        <w:t xml:space="preserve"> that </w:t>
      </w:r>
      <w:r w:rsidR="00E00DBE">
        <w:rPr>
          <w:rFonts w:ascii="Times New Roman" w:hAnsi="Times New Roman"/>
          <w:sz w:val="24"/>
          <w:szCs w:val="24"/>
        </w:rPr>
        <w:t xml:space="preserve">they already largely meet the proposed requirements through </w:t>
      </w:r>
      <w:r w:rsidR="006F2E55">
        <w:rPr>
          <w:rFonts w:ascii="Times New Roman" w:hAnsi="Times New Roman"/>
          <w:sz w:val="24"/>
          <w:szCs w:val="24"/>
        </w:rPr>
        <w:t xml:space="preserve">existing group-wide policies. </w:t>
      </w:r>
      <w:r w:rsidR="00A76042">
        <w:rPr>
          <w:rFonts w:ascii="Times New Roman" w:hAnsi="Times New Roman"/>
          <w:sz w:val="24"/>
          <w:szCs w:val="24"/>
        </w:rPr>
        <w:t>In relation to the</w:t>
      </w:r>
      <w:r>
        <w:rPr>
          <w:rFonts w:ascii="Times New Roman" w:hAnsi="Times New Roman"/>
          <w:sz w:val="24"/>
          <w:szCs w:val="24"/>
        </w:rPr>
        <w:t xml:space="preserve">se </w:t>
      </w:r>
      <w:r w:rsidR="00A76042" w:rsidRPr="00AD74AA">
        <w:rPr>
          <w:rFonts w:ascii="Times New Roman" w:hAnsi="Times New Roman"/>
          <w:sz w:val="24"/>
          <w:szCs w:val="24"/>
        </w:rPr>
        <w:t>standards</w:t>
      </w:r>
      <w:r w:rsidR="00A76042">
        <w:rPr>
          <w:rFonts w:ascii="Times New Roman" w:hAnsi="Times New Roman"/>
          <w:sz w:val="24"/>
          <w:szCs w:val="24"/>
        </w:rPr>
        <w:t>, APRA has clarified that the</w:t>
      </w:r>
      <w:r>
        <w:rPr>
          <w:rFonts w:ascii="Times New Roman" w:hAnsi="Times New Roman"/>
          <w:sz w:val="24"/>
          <w:szCs w:val="24"/>
        </w:rPr>
        <w:t>y</w:t>
      </w:r>
      <w:r w:rsidR="00A76042">
        <w:rPr>
          <w:rFonts w:ascii="Times New Roman" w:hAnsi="Times New Roman"/>
          <w:sz w:val="24"/>
          <w:szCs w:val="24"/>
        </w:rPr>
        <w:t xml:space="preserve"> only </w:t>
      </w:r>
      <w:r>
        <w:rPr>
          <w:rFonts w:ascii="Times New Roman" w:hAnsi="Times New Roman"/>
          <w:sz w:val="24"/>
          <w:szCs w:val="24"/>
        </w:rPr>
        <w:t xml:space="preserve">apply </w:t>
      </w:r>
      <w:r w:rsidR="00A76042">
        <w:rPr>
          <w:rFonts w:ascii="Times New Roman" w:hAnsi="Times New Roman"/>
          <w:sz w:val="24"/>
          <w:szCs w:val="24"/>
        </w:rPr>
        <w:t>in relation to non-APRA-regulated institutions to the extent that such activities are material to the conglomerate group as a whole.</w:t>
      </w:r>
      <w:r w:rsidR="00E5165D">
        <w:rPr>
          <w:rFonts w:ascii="Times New Roman" w:hAnsi="Times New Roman"/>
          <w:sz w:val="24"/>
          <w:szCs w:val="24"/>
        </w:rPr>
        <w:t xml:space="preserve"> </w:t>
      </w:r>
    </w:p>
    <w:p w14:paraId="7014DB2A" w14:textId="4B5A1314" w:rsidR="00536F94" w:rsidRPr="000665CE" w:rsidRDefault="00C724EF" w:rsidP="006C10FA">
      <w:pPr>
        <w:spacing w:after="240"/>
        <w:jc w:val="both"/>
        <w:rPr>
          <w:rFonts w:ascii="Times New Roman" w:hAnsi="Times New Roman"/>
          <w:sz w:val="24"/>
          <w:szCs w:val="24"/>
        </w:rPr>
      </w:pPr>
      <w:r w:rsidRPr="000665CE">
        <w:rPr>
          <w:rFonts w:ascii="Times New Roman" w:hAnsi="Times New Roman"/>
          <w:sz w:val="24"/>
          <w:szCs w:val="24"/>
        </w:rPr>
        <w:t xml:space="preserve">Technical amendments </w:t>
      </w:r>
      <w:r w:rsidR="006B1A05">
        <w:rPr>
          <w:rFonts w:ascii="Times New Roman" w:hAnsi="Times New Roman"/>
          <w:sz w:val="24"/>
          <w:szCs w:val="24"/>
        </w:rPr>
        <w:t>would be</w:t>
      </w:r>
      <w:r w:rsidRPr="000665CE">
        <w:rPr>
          <w:rFonts w:ascii="Times New Roman" w:hAnsi="Times New Roman"/>
          <w:sz w:val="24"/>
          <w:szCs w:val="24"/>
        </w:rPr>
        <w:t xml:space="preserve"> incorporated where necessary to improve the Level</w:t>
      </w:r>
      <w:r w:rsidR="00D91C9C">
        <w:rPr>
          <w:rFonts w:ascii="Times New Roman" w:hAnsi="Times New Roman"/>
          <w:sz w:val="24"/>
          <w:szCs w:val="24"/>
        </w:rPr>
        <w:t> </w:t>
      </w:r>
      <w:r w:rsidRPr="000665CE">
        <w:rPr>
          <w:rFonts w:ascii="Times New Roman" w:hAnsi="Times New Roman"/>
          <w:sz w:val="24"/>
          <w:szCs w:val="24"/>
        </w:rPr>
        <w:t>3 framework proposals</w:t>
      </w:r>
      <w:r w:rsidR="00D91C9C">
        <w:rPr>
          <w:rFonts w:ascii="Times New Roman" w:hAnsi="Times New Roman"/>
          <w:sz w:val="24"/>
          <w:szCs w:val="24"/>
        </w:rPr>
        <w:t xml:space="preserve">, and APRA </w:t>
      </w:r>
      <w:r w:rsidR="006B1A05">
        <w:rPr>
          <w:rFonts w:ascii="Times New Roman" w:hAnsi="Times New Roman"/>
          <w:sz w:val="24"/>
          <w:szCs w:val="24"/>
        </w:rPr>
        <w:t>would also</w:t>
      </w:r>
      <w:r w:rsidR="00D91C9C">
        <w:rPr>
          <w:rFonts w:ascii="Times New Roman" w:hAnsi="Times New Roman"/>
          <w:sz w:val="24"/>
          <w:szCs w:val="24"/>
        </w:rPr>
        <w:t xml:space="preserve"> provide draft guidance to clarify its expectations</w:t>
      </w:r>
      <w:r w:rsidRPr="000665CE">
        <w:rPr>
          <w:rFonts w:ascii="Times New Roman" w:hAnsi="Times New Roman"/>
          <w:sz w:val="24"/>
          <w:szCs w:val="24"/>
        </w:rPr>
        <w:t>.</w:t>
      </w:r>
    </w:p>
    <w:p w14:paraId="79252D69" w14:textId="77777777" w:rsidR="00E45D3F" w:rsidRPr="00513B54" w:rsidRDefault="00E45D3F" w:rsidP="00513B54">
      <w:pPr>
        <w:pStyle w:val="Heading3"/>
      </w:pPr>
      <w:r w:rsidRPr="00513B54">
        <w:t>Conclusion and recommended option</w:t>
      </w:r>
    </w:p>
    <w:p w14:paraId="224C0145" w14:textId="77777777" w:rsidR="00723114" w:rsidRDefault="00723114" w:rsidP="00D05A6C">
      <w:pPr>
        <w:spacing w:after="240"/>
        <w:jc w:val="both"/>
        <w:rPr>
          <w:rFonts w:ascii="Times New Roman" w:hAnsi="Times New Roman"/>
          <w:sz w:val="24"/>
          <w:szCs w:val="24"/>
        </w:rPr>
      </w:pPr>
      <w:r>
        <w:rPr>
          <w:rFonts w:ascii="Times New Roman" w:hAnsi="Times New Roman"/>
          <w:sz w:val="24"/>
          <w:szCs w:val="24"/>
        </w:rPr>
        <w:t>The groups subject to APRA’s Level 3 framework collectively control a substantial majority of Australian prudentially regulated assets, and their continued health is necessary for industry and financial system soundness</w:t>
      </w:r>
      <w:r w:rsidR="00CD5FED">
        <w:rPr>
          <w:rFonts w:ascii="Times New Roman" w:hAnsi="Times New Roman"/>
          <w:sz w:val="24"/>
          <w:szCs w:val="24"/>
        </w:rPr>
        <w:t>.</w:t>
      </w:r>
      <w:r w:rsidR="002D2A59">
        <w:rPr>
          <w:rFonts w:ascii="Times New Roman" w:hAnsi="Times New Roman"/>
          <w:sz w:val="24"/>
          <w:szCs w:val="24"/>
        </w:rPr>
        <w:t xml:space="preserve"> </w:t>
      </w:r>
    </w:p>
    <w:p w14:paraId="58D96BBD" w14:textId="77777777" w:rsidR="00D05A6C" w:rsidRDefault="00D05A6C" w:rsidP="00D05A6C">
      <w:pPr>
        <w:spacing w:after="240"/>
        <w:jc w:val="both"/>
        <w:rPr>
          <w:rFonts w:ascii="Times New Roman" w:hAnsi="Times New Roman"/>
          <w:sz w:val="24"/>
          <w:szCs w:val="24"/>
        </w:rPr>
      </w:pPr>
      <w:r w:rsidRPr="000665CE">
        <w:rPr>
          <w:rFonts w:ascii="Times New Roman" w:hAnsi="Times New Roman"/>
          <w:sz w:val="24"/>
          <w:szCs w:val="24"/>
        </w:rPr>
        <w:t>APRA proposes to adopt option 3 as it best meets the stated objective of ensuring that its supervision adequately captures the risks to which APRA-regulated institutions within a Level 3 group are exposed</w:t>
      </w:r>
      <w:r w:rsidR="00536175">
        <w:rPr>
          <w:rFonts w:ascii="Times New Roman" w:hAnsi="Times New Roman"/>
          <w:sz w:val="24"/>
          <w:szCs w:val="24"/>
        </w:rPr>
        <w:t>,</w:t>
      </w:r>
      <w:r w:rsidRPr="000665CE">
        <w:rPr>
          <w:rFonts w:ascii="Times New Roman" w:hAnsi="Times New Roman"/>
          <w:sz w:val="24"/>
          <w:szCs w:val="24"/>
        </w:rPr>
        <w:t xml:space="preserve"> and which are not adequately captured by the existing prudential arrangements at Level 1 or Level 2. </w:t>
      </w:r>
      <w:r w:rsidR="00536175">
        <w:rPr>
          <w:rFonts w:ascii="Times New Roman" w:hAnsi="Times New Roman"/>
          <w:sz w:val="24"/>
          <w:szCs w:val="24"/>
        </w:rPr>
        <w:t xml:space="preserve">Further, this option </w:t>
      </w:r>
      <w:r w:rsidRPr="000665CE">
        <w:rPr>
          <w:rFonts w:ascii="Times New Roman" w:hAnsi="Times New Roman"/>
          <w:sz w:val="24"/>
          <w:szCs w:val="24"/>
        </w:rPr>
        <w:t xml:space="preserve">addresses </w:t>
      </w:r>
      <w:r w:rsidR="00536175">
        <w:rPr>
          <w:rFonts w:ascii="Times New Roman" w:hAnsi="Times New Roman"/>
          <w:sz w:val="24"/>
          <w:szCs w:val="24"/>
        </w:rPr>
        <w:t xml:space="preserve">the four broad components </w:t>
      </w:r>
      <w:r w:rsidR="00693731">
        <w:rPr>
          <w:rFonts w:ascii="Times New Roman" w:hAnsi="Times New Roman"/>
          <w:sz w:val="24"/>
          <w:szCs w:val="24"/>
        </w:rPr>
        <w:t>of the</w:t>
      </w:r>
      <w:r w:rsidR="00536175">
        <w:rPr>
          <w:rFonts w:ascii="Times New Roman" w:hAnsi="Times New Roman"/>
          <w:sz w:val="24"/>
          <w:szCs w:val="24"/>
        </w:rPr>
        <w:t xml:space="preserve"> prudent management of financial institutions: </w:t>
      </w:r>
      <w:r w:rsidRPr="000665CE">
        <w:rPr>
          <w:rFonts w:ascii="Times New Roman" w:hAnsi="Times New Roman"/>
          <w:sz w:val="24"/>
          <w:szCs w:val="24"/>
        </w:rPr>
        <w:t xml:space="preserve">governance, </w:t>
      </w:r>
      <w:r w:rsidR="00536175" w:rsidRPr="000665CE">
        <w:rPr>
          <w:rFonts w:ascii="Times New Roman" w:hAnsi="Times New Roman"/>
          <w:sz w:val="24"/>
          <w:szCs w:val="24"/>
        </w:rPr>
        <w:t xml:space="preserve">risk </w:t>
      </w:r>
      <w:r w:rsidR="00693731" w:rsidRPr="000665CE">
        <w:rPr>
          <w:rFonts w:ascii="Times New Roman" w:hAnsi="Times New Roman"/>
          <w:sz w:val="24"/>
          <w:szCs w:val="24"/>
        </w:rPr>
        <w:t>management,</w:t>
      </w:r>
      <w:r w:rsidR="00536175">
        <w:rPr>
          <w:rFonts w:ascii="Times New Roman" w:hAnsi="Times New Roman"/>
          <w:sz w:val="24"/>
          <w:szCs w:val="24"/>
        </w:rPr>
        <w:t xml:space="preserve"> </w:t>
      </w:r>
      <w:r w:rsidRPr="000665CE">
        <w:rPr>
          <w:rFonts w:ascii="Times New Roman" w:hAnsi="Times New Roman"/>
          <w:sz w:val="24"/>
          <w:szCs w:val="24"/>
        </w:rPr>
        <w:t xml:space="preserve">risk exposures, and capital adequacy. APRA considers that option 3 provides the greatest net benefit across all </w:t>
      </w:r>
      <w:r w:rsidR="00536175">
        <w:rPr>
          <w:rFonts w:ascii="Times New Roman" w:hAnsi="Times New Roman"/>
          <w:sz w:val="24"/>
          <w:szCs w:val="24"/>
        </w:rPr>
        <w:t>proposed conglomerate groups</w:t>
      </w:r>
      <w:r w:rsidRPr="000665CE">
        <w:rPr>
          <w:rFonts w:ascii="Times New Roman" w:hAnsi="Times New Roman"/>
          <w:sz w:val="24"/>
          <w:szCs w:val="24"/>
        </w:rPr>
        <w:t>.</w:t>
      </w:r>
      <w:r w:rsidR="00DB279B">
        <w:rPr>
          <w:rFonts w:ascii="Times New Roman" w:hAnsi="Times New Roman"/>
          <w:sz w:val="24"/>
          <w:szCs w:val="24"/>
        </w:rPr>
        <w:t xml:space="preserve"> This proposal will </w:t>
      </w:r>
      <w:r w:rsidR="00536175">
        <w:rPr>
          <w:rFonts w:ascii="Times New Roman" w:hAnsi="Times New Roman"/>
          <w:sz w:val="24"/>
          <w:szCs w:val="24"/>
        </w:rPr>
        <w:t xml:space="preserve">address the issues identified in the ‘Problem’ section and </w:t>
      </w:r>
      <w:r w:rsidR="00DB279B">
        <w:rPr>
          <w:rFonts w:ascii="Times New Roman" w:hAnsi="Times New Roman"/>
          <w:sz w:val="24"/>
          <w:szCs w:val="24"/>
        </w:rPr>
        <w:t xml:space="preserve">reduce the risks in relation to </w:t>
      </w:r>
      <w:r w:rsidR="00536175">
        <w:rPr>
          <w:rFonts w:ascii="Times New Roman" w:hAnsi="Times New Roman"/>
          <w:sz w:val="24"/>
          <w:szCs w:val="24"/>
        </w:rPr>
        <w:t xml:space="preserve">Board and regulatory ‘blind spots’ in </w:t>
      </w:r>
      <w:r w:rsidR="00DB279B">
        <w:rPr>
          <w:rFonts w:ascii="Times New Roman" w:hAnsi="Times New Roman"/>
          <w:sz w:val="24"/>
          <w:szCs w:val="24"/>
        </w:rPr>
        <w:t>financial conglomerates</w:t>
      </w:r>
      <w:r w:rsidR="00536175">
        <w:rPr>
          <w:rFonts w:ascii="Times New Roman" w:hAnsi="Times New Roman"/>
          <w:sz w:val="24"/>
          <w:szCs w:val="24"/>
        </w:rPr>
        <w:t xml:space="preserve">. </w:t>
      </w:r>
    </w:p>
    <w:p w14:paraId="280709ED" w14:textId="77777777" w:rsidR="001F029E" w:rsidRDefault="00A62443" w:rsidP="001F029E">
      <w:pPr>
        <w:spacing w:after="240"/>
        <w:jc w:val="both"/>
        <w:rPr>
          <w:rFonts w:ascii="Times New Roman" w:hAnsi="Times New Roman"/>
          <w:sz w:val="24"/>
          <w:szCs w:val="24"/>
        </w:rPr>
      </w:pPr>
      <w:r>
        <w:rPr>
          <w:rFonts w:ascii="Times New Roman" w:hAnsi="Times New Roman"/>
          <w:sz w:val="24"/>
          <w:szCs w:val="24"/>
        </w:rPr>
        <w:t xml:space="preserve">Nevertheless, in view of </w:t>
      </w:r>
      <w:r w:rsidR="00B87979">
        <w:rPr>
          <w:rFonts w:ascii="Times New Roman" w:hAnsi="Times New Roman"/>
          <w:sz w:val="24"/>
          <w:szCs w:val="24"/>
        </w:rPr>
        <w:t>a</w:t>
      </w:r>
      <w:r>
        <w:rPr>
          <w:rFonts w:ascii="Times New Roman" w:hAnsi="Times New Roman"/>
          <w:sz w:val="24"/>
          <w:szCs w:val="24"/>
        </w:rPr>
        <w:t xml:space="preserve"> number of </w:t>
      </w:r>
      <w:r w:rsidR="001C314A">
        <w:rPr>
          <w:rFonts w:ascii="Times New Roman" w:hAnsi="Times New Roman"/>
          <w:sz w:val="24"/>
          <w:szCs w:val="24"/>
        </w:rPr>
        <w:t xml:space="preserve">related </w:t>
      </w:r>
      <w:r>
        <w:rPr>
          <w:rFonts w:ascii="Times New Roman" w:hAnsi="Times New Roman"/>
          <w:sz w:val="24"/>
          <w:szCs w:val="24"/>
        </w:rPr>
        <w:t xml:space="preserve">regulatory developments in train that could impact </w:t>
      </w:r>
      <w:r w:rsidR="00B87979">
        <w:rPr>
          <w:rFonts w:ascii="Times New Roman" w:hAnsi="Times New Roman"/>
          <w:sz w:val="24"/>
          <w:szCs w:val="24"/>
        </w:rPr>
        <w:t xml:space="preserve">the </w:t>
      </w:r>
      <w:r>
        <w:rPr>
          <w:rFonts w:ascii="Times New Roman" w:hAnsi="Times New Roman"/>
          <w:sz w:val="24"/>
          <w:szCs w:val="24"/>
        </w:rPr>
        <w:t xml:space="preserve">regulatory capital framework, APRA is of the view that a pragmatic implementation approach should be adopted. In particular, </w:t>
      </w:r>
      <w:r w:rsidRPr="00FE5E8B">
        <w:rPr>
          <w:rFonts w:ascii="Times New Roman" w:hAnsi="Times New Roman"/>
          <w:sz w:val="24"/>
          <w:szCs w:val="24"/>
        </w:rPr>
        <w:t>APRA</w:t>
      </w:r>
      <w:r>
        <w:rPr>
          <w:rFonts w:ascii="Times New Roman" w:hAnsi="Times New Roman"/>
          <w:sz w:val="24"/>
          <w:szCs w:val="24"/>
        </w:rPr>
        <w:t xml:space="preserve"> intends to stagger the implementation of the Level 3 framework, by deferring the capital </w:t>
      </w:r>
      <w:r w:rsidR="00AD1497">
        <w:rPr>
          <w:rFonts w:ascii="Times New Roman" w:hAnsi="Times New Roman"/>
          <w:sz w:val="24"/>
          <w:szCs w:val="24"/>
        </w:rPr>
        <w:t>components</w:t>
      </w:r>
      <w:r>
        <w:rPr>
          <w:rFonts w:ascii="Times New Roman" w:hAnsi="Times New Roman"/>
          <w:sz w:val="24"/>
          <w:szCs w:val="24"/>
        </w:rPr>
        <w:t xml:space="preserve"> of the framework. </w:t>
      </w:r>
      <w:r w:rsidRPr="00FE5E8B">
        <w:rPr>
          <w:rFonts w:ascii="Times New Roman" w:hAnsi="Times New Roman"/>
          <w:sz w:val="24"/>
          <w:szCs w:val="24"/>
        </w:rPr>
        <w:t xml:space="preserve">This is intended to be a pragmatic course of action that balances APRA’s </w:t>
      </w:r>
      <w:r>
        <w:rPr>
          <w:rFonts w:ascii="Times New Roman" w:hAnsi="Times New Roman"/>
          <w:sz w:val="24"/>
          <w:szCs w:val="24"/>
        </w:rPr>
        <w:t xml:space="preserve">commitment to the Level 3 framework </w:t>
      </w:r>
      <w:r w:rsidRPr="00FE5E8B">
        <w:rPr>
          <w:rFonts w:ascii="Times New Roman" w:hAnsi="Times New Roman"/>
          <w:sz w:val="24"/>
          <w:szCs w:val="24"/>
        </w:rPr>
        <w:t>and the risk of</w:t>
      </w:r>
      <w:r>
        <w:rPr>
          <w:rFonts w:ascii="Times New Roman" w:hAnsi="Times New Roman"/>
          <w:sz w:val="24"/>
          <w:szCs w:val="24"/>
        </w:rPr>
        <w:t xml:space="preserve"> </w:t>
      </w:r>
      <w:r w:rsidR="00B87979">
        <w:rPr>
          <w:rFonts w:ascii="Times New Roman" w:hAnsi="Times New Roman"/>
          <w:sz w:val="24"/>
          <w:szCs w:val="24"/>
        </w:rPr>
        <w:t xml:space="preserve">undue </w:t>
      </w:r>
      <w:r w:rsidRPr="00FE5E8B">
        <w:rPr>
          <w:rFonts w:ascii="Times New Roman" w:hAnsi="Times New Roman"/>
          <w:sz w:val="24"/>
          <w:szCs w:val="24"/>
        </w:rPr>
        <w:t>burden</w:t>
      </w:r>
      <w:r w:rsidR="00B87979">
        <w:rPr>
          <w:rFonts w:ascii="Times New Roman" w:hAnsi="Times New Roman"/>
          <w:sz w:val="24"/>
          <w:szCs w:val="24"/>
        </w:rPr>
        <w:t xml:space="preserve"> on</w:t>
      </w:r>
      <w:r w:rsidRPr="00FE5E8B">
        <w:rPr>
          <w:rFonts w:ascii="Times New Roman" w:hAnsi="Times New Roman"/>
          <w:sz w:val="24"/>
          <w:szCs w:val="24"/>
        </w:rPr>
        <w:t xml:space="preserve"> entities</w:t>
      </w:r>
      <w:r w:rsidR="00AD1497">
        <w:rPr>
          <w:rFonts w:ascii="Times New Roman" w:hAnsi="Times New Roman"/>
          <w:sz w:val="24"/>
          <w:szCs w:val="24"/>
        </w:rPr>
        <w:t xml:space="preserve"> </w:t>
      </w:r>
      <w:r w:rsidR="00B87979">
        <w:rPr>
          <w:rFonts w:ascii="Times New Roman" w:hAnsi="Times New Roman"/>
          <w:sz w:val="24"/>
          <w:szCs w:val="24"/>
        </w:rPr>
        <w:t xml:space="preserve">by implementing the </w:t>
      </w:r>
      <w:r w:rsidR="00AD1497">
        <w:rPr>
          <w:rFonts w:ascii="Times New Roman" w:hAnsi="Times New Roman"/>
          <w:sz w:val="24"/>
          <w:szCs w:val="24"/>
        </w:rPr>
        <w:t>capital components</w:t>
      </w:r>
      <w:r>
        <w:rPr>
          <w:rFonts w:ascii="Times New Roman" w:hAnsi="Times New Roman"/>
          <w:sz w:val="24"/>
          <w:szCs w:val="24"/>
        </w:rPr>
        <w:t xml:space="preserve"> </w:t>
      </w:r>
      <w:r w:rsidR="00AD1497">
        <w:rPr>
          <w:rFonts w:ascii="Times New Roman" w:hAnsi="Times New Roman"/>
          <w:sz w:val="24"/>
          <w:szCs w:val="24"/>
        </w:rPr>
        <w:t xml:space="preserve">of the </w:t>
      </w:r>
      <w:r w:rsidRPr="00FE5E8B">
        <w:rPr>
          <w:rFonts w:ascii="Times New Roman" w:hAnsi="Times New Roman"/>
          <w:sz w:val="24"/>
          <w:szCs w:val="24"/>
        </w:rPr>
        <w:t xml:space="preserve">Level 3 framework </w:t>
      </w:r>
      <w:r w:rsidR="00AD1497">
        <w:rPr>
          <w:rFonts w:ascii="Times New Roman" w:hAnsi="Times New Roman"/>
          <w:sz w:val="24"/>
          <w:szCs w:val="24"/>
        </w:rPr>
        <w:t>that may need to be modified</w:t>
      </w:r>
      <w:r w:rsidR="001C314A">
        <w:rPr>
          <w:rFonts w:ascii="Times New Roman" w:hAnsi="Times New Roman"/>
          <w:sz w:val="24"/>
          <w:szCs w:val="24"/>
        </w:rPr>
        <w:t xml:space="preserve"> </w:t>
      </w:r>
      <w:r w:rsidR="00B87979">
        <w:rPr>
          <w:rFonts w:ascii="Times New Roman" w:hAnsi="Times New Roman"/>
          <w:sz w:val="24"/>
          <w:szCs w:val="24"/>
        </w:rPr>
        <w:t xml:space="preserve">in the near term, </w:t>
      </w:r>
      <w:r w:rsidR="001C314A">
        <w:rPr>
          <w:rFonts w:ascii="Times New Roman" w:hAnsi="Times New Roman"/>
          <w:sz w:val="24"/>
          <w:szCs w:val="24"/>
        </w:rPr>
        <w:t xml:space="preserve">depending on the outcome of related </w:t>
      </w:r>
      <w:r w:rsidR="00C41FD6">
        <w:rPr>
          <w:rFonts w:ascii="Times New Roman" w:hAnsi="Times New Roman"/>
          <w:sz w:val="24"/>
          <w:szCs w:val="24"/>
        </w:rPr>
        <w:t>regulatory developments</w:t>
      </w:r>
      <w:r w:rsidR="001C314A">
        <w:rPr>
          <w:rFonts w:ascii="Times New Roman" w:hAnsi="Times New Roman"/>
          <w:sz w:val="24"/>
          <w:szCs w:val="24"/>
        </w:rPr>
        <w:t>,</w:t>
      </w:r>
      <w:r w:rsidR="001F029E">
        <w:rPr>
          <w:rFonts w:ascii="Times New Roman" w:hAnsi="Times New Roman"/>
          <w:sz w:val="24"/>
          <w:szCs w:val="24"/>
        </w:rPr>
        <w:t xml:space="preserve"> includ</w:t>
      </w:r>
      <w:r w:rsidR="001C314A">
        <w:rPr>
          <w:rFonts w:ascii="Times New Roman" w:hAnsi="Times New Roman"/>
          <w:sz w:val="24"/>
          <w:szCs w:val="24"/>
        </w:rPr>
        <w:t>ing</w:t>
      </w:r>
      <w:r w:rsidR="001F029E">
        <w:rPr>
          <w:rFonts w:ascii="Times New Roman" w:hAnsi="Times New Roman"/>
          <w:sz w:val="24"/>
          <w:szCs w:val="24"/>
        </w:rPr>
        <w:t>:</w:t>
      </w:r>
    </w:p>
    <w:p w14:paraId="3114A1E4" w14:textId="77777777" w:rsidR="001F029E" w:rsidRPr="00657251" w:rsidRDefault="001F029E" w:rsidP="001F029E">
      <w:pPr>
        <w:pStyle w:val="ListBullet"/>
      </w:pPr>
      <w:r w:rsidRPr="00346A39">
        <w:t xml:space="preserve">the FSI recommendation on Australian ADIs </w:t>
      </w:r>
      <w:r>
        <w:t>having</w:t>
      </w:r>
      <w:r w:rsidRPr="00346A39">
        <w:t xml:space="preserve"> ‘unquestionably strong’ capital levels and any further APRA actions APRA may take in this regard</w:t>
      </w:r>
      <w:r>
        <w:t xml:space="preserve"> in </w:t>
      </w:r>
      <w:r w:rsidRPr="00346A39">
        <w:t>response to this recommendation;</w:t>
      </w:r>
    </w:p>
    <w:p w14:paraId="7F9364AB" w14:textId="77777777" w:rsidR="001F029E" w:rsidRPr="00657251" w:rsidRDefault="001F029E" w:rsidP="001F029E">
      <w:pPr>
        <w:pStyle w:val="ListBullet"/>
      </w:pPr>
      <w:r w:rsidRPr="00346A39">
        <w:t>the FSI recommendation on implementing a framework for minimum loss absorbing and recapitalisation capacity in line with emerging international practice that will facilitate an orderly resolution of Australian entities and minimise taxpayer support; and</w:t>
      </w:r>
    </w:p>
    <w:p w14:paraId="5489E0D7" w14:textId="571BDB50" w:rsidR="001F029E" w:rsidRPr="00657251" w:rsidRDefault="001F029E" w:rsidP="001F029E">
      <w:pPr>
        <w:pStyle w:val="ListBullet"/>
      </w:pPr>
      <w:r w:rsidRPr="00346A39">
        <w:t>proposed legislative changes several wide-ranging B</w:t>
      </w:r>
      <w:r w:rsidR="00781F71">
        <w:t>CBS</w:t>
      </w:r>
      <w:r w:rsidRPr="00346A39">
        <w:t xml:space="preserve"> regulatory developments in train to be finalised </w:t>
      </w:r>
      <w:r w:rsidR="00AD1497">
        <w:t>around the end of</w:t>
      </w:r>
      <w:r w:rsidRPr="00346A39">
        <w:t xml:space="preserve"> 2016, with the greatest regulatory capital impact expected to be on the advanced modelling banks that are also identified as Level 3 conglomerate groups; and</w:t>
      </w:r>
    </w:p>
    <w:p w14:paraId="48838786" w14:textId="77777777" w:rsidR="001F029E" w:rsidRPr="00657251" w:rsidRDefault="001F029E" w:rsidP="001F029E">
      <w:pPr>
        <w:pStyle w:val="ListBullet"/>
      </w:pPr>
      <w:r w:rsidRPr="00346A39">
        <w:t xml:space="preserve">the forthcoming </w:t>
      </w:r>
      <w:r w:rsidRPr="00891E6E">
        <w:rPr>
          <w:i/>
        </w:rPr>
        <w:t>Crisis and Other Measures Bill</w:t>
      </w:r>
      <w:r w:rsidRPr="00346A39">
        <w:t xml:space="preserve"> that will enhance APRA’s crisis management powers and will strengthen APRA’s resolution framework.</w:t>
      </w:r>
    </w:p>
    <w:p w14:paraId="78F2FD56" w14:textId="77777777" w:rsidR="008815A0" w:rsidRPr="00513B54" w:rsidRDefault="008815A0" w:rsidP="00513B54">
      <w:pPr>
        <w:pStyle w:val="Heading3"/>
      </w:pPr>
      <w:r w:rsidRPr="00513B54">
        <w:t xml:space="preserve">Implementation and </w:t>
      </w:r>
      <w:r w:rsidR="008B3D80" w:rsidRPr="00513B54">
        <w:t>r</w:t>
      </w:r>
      <w:r w:rsidRPr="00513B54">
        <w:t>eview</w:t>
      </w:r>
    </w:p>
    <w:p w14:paraId="1CEDCE65" w14:textId="77777777" w:rsidR="00E64C85" w:rsidRDefault="00F22351" w:rsidP="00E64C85">
      <w:pPr>
        <w:spacing w:after="240"/>
        <w:jc w:val="both"/>
        <w:rPr>
          <w:rFonts w:ascii="Times New Roman" w:hAnsi="Times New Roman"/>
          <w:sz w:val="24"/>
          <w:szCs w:val="24"/>
        </w:rPr>
      </w:pPr>
      <w:r>
        <w:rPr>
          <w:rFonts w:ascii="Times New Roman" w:hAnsi="Times New Roman"/>
          <w:sz w:val="24"/>
          <w:szCs w:val="24"/>
        </w:rPr>
        <w:t xml:space="preserve">APRA </w:t>
      </w:r>
      <w:r w:rsidR="003143AE">
        <w:rPr>
          <w:rFonts w:ascii="Times New Roman" w:hAnsi="Times New Roman"/>
          <w:sz w:val="24"/>
          <w:szCs w:val="24"/>
        </w:rPr>
        <w:t xml:space="preserve">proposes </w:t>
      </w:r>
      <w:r>
        <w:rPr>
          <w:rFonts w:ascii="Times New Roman" w:hAnsi="Times New Roman"/>
          <w:sz w:val="24"/>
          <w:szCs w:val="24"/>
        </w:rPr>
        <w:t>to apply the Level 3 framework by determining an institution to be a</w:t>
      </w:r>
      <w:r w:rsidR="00D327FF">
        <w:rPr>
          <w:rFonts w:ascii="Times New Roman" w:hAnsi="Times New Roman"/>
          <w:sz w:val="24"/>
          <w:szCs w:val="24"/>
        </w:rPr>
        <w:t>n APRA-regulated institution that is the</w:t>
      </w:r>
      <w:r>
        <w:rPr>
          <w:rFonts w:ascii="Times New Roman" w:hAnsi="Times New Roman"/>
          <w:sz w:val="24"/>
          <w:szCs w:val="24"/>
        </w:rPr>
        <w:t xml:space="preserve"> Head of a Level 3 group, </w:t>
      </w:r>
      <w:r w:rsidR="00EA32EA">
        <w:rPr>
          <w:rFonts w:ascii="Times New Roman" w:hAnsi="Times New Roman"/>
          <w:sz w:val="24"/>
          <w:szCs w:val="24"/>
        </w:rPr>
        <w:t xml:space="preserve">which </w:t>
      </w:r>
      <w:r>
        <w:rPr>
          <w:rFonts w:ascii="Times New Roman" w:hAnsi="Times New Roman"/>
          <w:sz w:val="24"/>
          <w:szCs w:val="24"/>
        </w:rPr>
        <w:t>consist</w:t>
      </w:r>
      <w:r w:rsidR="00EA32EA">
        <w:rPr>
          <w:rFonts w:ascii="Times New Roman" w:hAnsi="Times New Roman"/>
          <w:sz w:val="24"/>
          <w:szCs w:val="24"/>
        </w:rPr>
        <w:t>s</w:t>
      </w:r>
      <w:r>
        <w:rPr>
          <w:rFonts w:ascii="Times New Roman" w:hAnsi="Times New Roman"/>
          <w:sz w:val="24"/>
          <w:szCs w:val="24"/>
        </w:rPr>
        <w:t xml:space="preserve"> of </w:t>
      </w:r>
      <w:r w:rsidR="00270297">
        <w:rPr>
          <w:rFonts w:ascii="Times New Roman" w:hAnsi="Times New Roman"/>
          <w:sz w:val="24"/>
          <w:szCs w:val="24"/>
        </w:rPr>
        <w:t>that institution</w:t>
      </w:r>
      <w:r>
        <w:rPr>
          <w:rFonts w:ascii="Times New Roman" w:hAnsi="Times New Roman"/>
          <w:sz w:val="24"/>
          <w:szCs w:val="24"/>
        </w:rPr>
        <w:t xml:space="preserve"> and its subsidiaries. </w:t>
      </w:r>
      <w:r w:rsidR="00270297" w:rsidRPr="00270297">
        <w:rPr>
          <w:rFonts w:ascii="Times New Roman" w:hAnsi="Times New Roman"/>
          <w:sz w:val="24"/>
          <w:szCs w:val="24"/>
        </w:rPr>
        <w:t>APRA may adjust the Level 3 group to include or exclude entities</w:t>
      </w:r>
      <w:r w:rsidR="003143AE">
        <w:rPr>
          <w:rFonts w:ascii="Times New Roman" w:hAnsi="Times New Roman"/>
          <w:sz w:val="24"/>
          <w:szCs w:val="24"/>
        </w:rPr>
        <w:t xml:space="preserve"> where the accounting structure does not appropriately take into account the risks of related parties</w:t>
      </w:r>
      <w:r w:rsidR="00270297">
        <w:rPr>
          <w:rFonts w:ascii="Times New Roman" w:hAnsi="Times New Roman"/>
          <w:sz w:val="24"/>
          <w:szCs w:val="24"/>
        </w:rPr>
        <w:t xml:space="preserve">. </w:t>
      </w:r>
      <w:r>
        <w:rPr>
          <w:rFonts w:ascii="Times New Roman" w:hAnsi="Times New Roman"/>
          <w:sz w:val="24"/>
          <w:szCs w:val="24"/>
        </w:rPr>
        <w:t xml:space="preserve">APRA </w:t>
      </w:r>
      <w:r w:rsidR="003143AE">
        <w:rPr>
          <w:rFonts w:ascii="Times New Roman" w:hAnsi="Times New Roman"/>
          <w:sz w:val="24"/>
          <w:szCs w:val="24"/>
        </w:rPr>
        <w:t xml:space="preserve">proposes to </w:t>
      </w:r>
      <w:r>
        <w:rPr>
          <w:rFonts w:ascii="Times New Roman" w:hAnsi="Times New Roman"/>
          <w:sz w:val="24"/>
          <w:szCs w:val="24"/>
        </w:rPr>
        <w:t xml:space="preserve">require the Level 3 Head to ensure that </w:t>
      </w:r>
      <w:r w:rsidR="00EA32EA">
        <w:rPr>
          <w:rFonts w:ascii="Times New Roman" w:hAnsi="Times New Roman"/>
          <w:sz w:val="24"/>
          <w:szCs w:val="24"/>
        </w:rPr>
        <w:t xml:space="preserve">material risks in </w:t>
      </w:r>
      <w:r>
        <w:rPr>
          <w:rFonts w:ascii="Times New Roman" w:hAnsi="Times New Roman"/>
          <w:sz w:val="24"/>
          <w:szCs w:val="24"/>
        </w:rPr>
        <w:t xml:space="preserve">the </w:t>
      </w:r>
      <w:r w:rsidR="00616598">
        <w:rPr>
          <w:rFonts w:ascii="Times New Roman" w:hAnsi="Times New Roman"/>
          <w:sz w:val="24"/>
          <w:szCs w:val="24"/>
        </w:rPr>
        <w:t xml:space="preserve">Level 3 </w:t>
      </w:r>
      <w:r>
        <w:rPr>
          <w:rFonts w:ascii="Times New Roman" w:hAnsi="Times New Roman"/>
          <w:sz w:val="24"/>
          <w:szCs w:val="24"/>
        </w:rPr>
        <w:t xml:space="preserve">group </w:t>
      </w:r>
      <w:r w:rsidR="00EA32EA">
        <w:rPr>
          <w:rFonts w:ascii="Times New Roman" w:hAnsi="Times New Roman"/>
          <w:sz w:val="24"/>
          <w:szCs w:val="24"/>
        </w:rPr>
        <w:t xml:space="preserve">are subject to appropriate oversight and management, </w:t>
      </w:r>
      <w:r w:rsidR="001E01F4">
        <w:rPr>
          <w:rFonts w:ascii="Times New Roman" w:hAnsi="Times New Roman"/>
          <w:sz w:val="24"/>
          <w:szCs w:val="24"/>
        </w:rPr>
        <w:t>according to</w:t>
      </w:r>
      <w:r w:rsidR="00EA32EA">
        <w:rPr>
          <w:rFonts w:ascii="Times New Roman" w:hAnsi="Times New Roman"/>
          <w:sz w:val="24"/>
          <w:szCs w:val="24"/>
        </w:rPr>
        <w:t xml:space="preserve"> </w:t>
      </w:r>
      <w:r w:rsidR="001E01F4">
        <w:rPr>
          <w:rFonts w:ascii="Times New Roman" w:hAnsi="Times New Roman"/>
          <w:sz w:val="24"/>
          <w:szCs w:val="24"/>
        </w:rPr>
        <w:t xml:space="preserve">group-wide standards and policies. </w:t>
      </w:r>
      <w:r w:rsidR="00E64C85">
        <w:rPr>
          <w:rFonts w:ascii="Times New Roman" w:hAnsi="Times New Roman"/>
          <w:sz w:val="24"/>
          <w:szCs w:val="24"/>
        </w:rPr>
        <w:t>APRA will assess how Boards and management address material risks in a group given these risks, unchecked, may undermine APRA-regulated institutions in these groups.</w:t>
      </w:r>
    </w:p>
    <w:p w14:paraId="129C4591" w14:textId="4230B812" w:rsidR="00F37307" w:rsidRPr="000665CE" w:rsidRDefault="00BD2790" w:rsidP="00A846F3">
      <w:pPr>
        <w:spacing w:after="240"/>
        <w:jc w:val="both"/>
        <w:rPr>
          <w:rFonts w:ascii="Times New Roman" w:hAnsi="Times New Roman"/>
          <w:sz w:val="24"/>
          <w:szCs w:val="24"/>
        </w:rPr>
      </w:pPr>
      <w:r>
        <w:rPr>
          <w:rFonts w:ascii="Times New Roman" w:hAnsi="Times New Roman"/>
          <w:sz w:val="24"/>
          <w:szCs w:val="24"/>
        </w:rPr>
        <w:t xml:space="preserve">The prudential obligations required of the Level 3 Head and the Level 3 group will be implemented through amendments to APRA’s prudential framework. </w:t>
      </w:r>
      <w:r w:rsidR="00F37307" w:rsidRPr="000665CE">
        <w:rPr>
          <w:rFonts w:ascii="Times New Roman" w:hAnsi="Times New Roman"/>
          <w:sz w:val="24"/>
          <w:szCs w:val="24"/>
        </w:rPr>
        <w:t xml:space="preserve">Existing regulations on Level 1 and Level 2 institutions in a Level 3 group remain in effect and are </w:t>
      </w:r>
      <w:r w:rsidR="00FC422F">
        <w:rPr>
          <w:rFonts w:ascii="Times New Roman" w:hAnsi="Times New Roman"/>
          <w:sz w:val="24"/>
          <w:szCs w:val="24"/>
        </w:rPr>
        <w:t xml:space="preserve">not </w:t>
      </w:r>
      <w:r w:rsidR="006F3FC2">
        <w:rPr>
          <w:rFonts w:ascii="Times New Roman" w:hAnsi="Times New Roman"/>
          <w:sz w:val="24"/>
          <w:szCs w:val="24"/>
        </w:rPr>
        <w:t>replaced</w:t>
      </w:r>
      <w:r w:rsidR="006F3FC2" w:rsidRPr="000665CE">
        <w:rPr>
          <w:rFonts w:ascii="Times New Roman" w:hAnsi="Times New Roman"/>
          <w:sz w:val="24"/>
          <w:szCs w:val="24"/>
        </w:rPr>
        <w:t xml:space="preserve"> </w:t>
      </w:r>
      <w:r w:rsidR="00F37307" w:rsidRPr="000665CE">
        <w:rPr>
          <w:rFonts w:ascii="Times New Roman" w:hAnsi="Times New Roman"/>
          <w:sz w:val="24"/>
          <w:szCs w:val="24"/>
        </w:rPr>
        <w:t>by the Level 3 framework.</w:t>
      </w:r>
      <w:r w:rsidR="005356D7" w:rsidRPr="000665CE">
        <w:rPr>
          <w:rFonts w:ascii="Times New Roman" w:hAnsi="Times New Roman"/>
          <w:sz w:val="24"/>
          <w:szCs w:val="24"/>
        </w:rPr>
        <w:t xml:space="preserve"> Level 3 group governance and risk management requirements mirror Level 1 and Level 2 requirements, though with an extension to materially risky non-APRA-regulated activities. Capital adequacy requirements are based on existing Level 1 and Level 2 requirements, with some additional requirements for materially risky non-APRA-regulated activities.</w:t>
      </w:r>
      <w:r w:rsidR="00B93A65">
        <w:rPr>
          <w:rFonts w:ascii="Times New Roman" w:hAnsi="Times New Roman"/>
          <w:sz w:val="24"/>
          <w:szCs w:val="24"/>
        </w:rPr>
        <w:t xml:space="preserve"> Current </w:t>
      </w:r>
      <w:r w:rsidR="00B93A65" w:rsidRPr="00513B54">
        <w:rPr>
          <w:rStyle w:val="Emphasis"/>
        </w:rPr>
        <w:t>ad hoc</w:t>
      </w:r>
      <w:r w:rsidR="00B93A65" w:rsidRPr="00123EF1">
        <w:rPr>
          <w:rFonts w:ascii="Times New Roman" w:hAnsi="Times New Roman"/>
          <w:szCs w:val="24"/>
        </w:rPr>
        <w:t xml:space="preserve"> </w:t>
      </w:r>
      <w:r w:rsidR="00B93A65">
        <w:rPr>
          <w:rFonts w:ascii="Times New Roman" w:hAnsi="Times New Roman"/>
          <w:sz w:val="24"/>
          <w:szCs w:val="24"/>
        </w:rPr>
        <w:t xml:space="preserve">supervision </w:t>
      </w:r>
      <w:r w:rsidR="001E3F21">
        <w:rPr>
          <w:rFonts w:ascii="Times New Roman" w:hAnsi="Times New Roman"/>
          <w:sz w:val="24"/>
          <w:szCs w:val="24"/>
        </w:rPr>
        <w:t xml:space="preserve">of non-APRA-regulated activities </w:t>
      </w:r>
      <w:r w:rsidR="00B93A65">
        <w:rPr>
          <w:rFonts w:ascii="Times New Roman" w:hAnsi="Times New Roman"/>
          <w:sz w:val="24"/>
          <w:szCs w:val="24"/>
        </w:rPr>
        <w:t xml:space="preserve">will be replaced by </w:t>
      </w:r>
      <w:r w:rsidR="001E3F21">
        <w:rPr>
          <w:rFonts w:ascii="Times New Roman" w:hAnsi="Times New Roman"/>
          <w:sz w:val="24"/>
          <w:szCs w:val="24"/>
        </w:rPr>
        <w:t xml:space="preserve">the standardised </w:t>
      </w:r>
      <w:r w:rsidR="00B93A65">
        <w:rPr>
          <w:rFonts w:ascii="Times New Roman" w:hAnsi="Times New Roman"/>
          <w:sz w:val="24"/>
          <w:szCs w:val="24"/>
        </w:rPr>
        <w:t>Level 3 framework.</w:t>
      </w:r>
    </w:p>
    <w:p w14:paraId="0CE4664E" w14:textId="1720E88D" w:rsidR="00CD5FED" w:rsidRDefault="00CD5FED" w:rsidP="001A1666">
      <w:pPr>
        <w:spacing w:after="240"/>
        <w:jc w:val="both"/>
      </w:pPr>
      <w:r>
        <w:rPr>
          <w:rFonts w:ascii="Times New Roman" w:hAnsi="Times New Roman"/>
          <w:sz w:val="24"/>
          <w:szCs w:val="24"/>
        </w:rPr>
        <w:t xml:space="preserve">As indicated above, APRA is staggering its implementation of the Level 3 framework. The risk management and governance components will commence from 1 July 2017 but, as advised to industry in March 2016, the capital elements will be deferred to at least 2019. </w:t>
      </w:r>
    </w:p>
    <w:p w14:paraId="313570EA" w14:textId="77777777" w:rsidR="00C41FD6" w:rsidRPr="000665CE" w:rsidRDefault="00C41FD6" w:rsidP="00C41FD6">
      <w:pPr>
        <w:spacing w:after="240"/>
        <w:jc w:val="both"/>
        <w:rPr>
          <w:rFonts w:ascii="Times New Roman" w:hAnsi="Times New Roman"/>
          <w:sz w:val="24"/>
          <w:szCs w:val="24"/>
        </w:rPr>
      </w:pPr>
      <w:r>
        <w:rPr>
          <w:rFonts w:ascii="Times New Roman" w:hAnsi="Times New Roman"/>
          <w:sz w:val="24"/>
          <w:szCs w:val="24"/>
        </w:rPr>
        <w:t xml:space="preserve">As with all prudential standards, </w:t>
      </w:r>
      <w:r w:rsidRPr="000665CE">
        <w:rPr>
          <w:rFonts w:ascii="Times New Roman" w:hAnsi="Times New Roman"/>
          <w:sz w:val="24"/>
          <w:szCs w:val="24"/>
        </w:rPr>
        <w:t>APRA</w:t>
      </w:r>
      <w:r>
        <w:rPr>
          <w:rFonts w:ascii="Times New Roman" w:hAnsi="Times New Roman"/>
          <w:sz w:val="24"/>
          <w:szCs w:val="24"/>
        </w:rPr>
        <w:t xml:space="preserve"> frequently reviews its</w:t>
      </w:r>
      <w:r w:rsidRPr="000665CE">
        <w:rPr>
          <w:rFonts w:ascii="Times New Roman" w:hAnsi="Times New Roman"/>
          <w:sz w:val="24"/>
          <w:szCs w:val="24"/>
        </w:rPr>
        <w:t xml:space="preserve"> prudential requirements to ensure they continue to reflect good practice</w:t>
      </w:r>
      <w:r>
        <w:rPr>
          <w:rFonts w:ascii="Times New Roman" w:hAnsi="Times New Roman"/>
          <w:sz w:val="24"/>
          <w:szCs w:val="24"/>
        </w:rPr>
        <w:t xml:space="preserve">, </w:t>
      </w:r>
      <w:r w:rsidRPr="000665CE">
        <w:rPr>
          <w:rFonts w:ascii="Times New Roman" w:hAnsi="Times New Roman"/>
          <w:sz w:val="24"/>
          <w:szCs w:val="24"/>
        </w:rPr>
        <w:t>remain</w:t>
      </w:r>
      <w:r>
        <w:rPr>
          <w:rFonts w:ascii="Times New Roman" w:hAnsi="Times New Roman"/>
          <w:sz w:val="24"/>
          <w:szCs w:val="24"/>
        </w:rPr>
        <w:t>ing</w:t>
      </w:r>
      <w:r w:rsidRPr="000665CE">
        <w:rPr>
          <w:rFonts w:ascii="Times New Roman" w:hAnsi="Times New Roman"/>
          <w:sz w:val="24"/>
          <w:szCs w:val="24"/>
        </w:rPr>
        <w:t xml:space="preserve"> relevant and effective.</w:t>
      </w:r>
    </w:p>
    <w:p w14:paraId="6A398BC9" w14:textId="77777777" w:rsidR="00C32E42" w:rsidRPr="00E75448" w:rsidRDefault="00C32E42" w:rsidP="00AB386F">
      <w:pPr>
        <w:pStyle w:val="Heading3"/>
      </w:pPr>
      <w:r w:rsidRPr="00E75448">
        <w:t>Regulatory offsets</w:t>
      </w:r>
    </w:p>
    <w:p w14:paraId="3CB48280" w14:textId="6D70841E" w:rsidR="008A2DE4" w:rsidRPr="00984E3D" w:rsidRDefault="008A2DE4" w:rsidP="00C32E42">
      <w:pPr>
        <w:autoSpaceDE w:val="0"/>
        <w:autoSpaceDN w:val="0"/>
        <w:adjustRightInd w:val="0"/>
        <w:spacing w:after="240"/>
        <w:jc w:val="both"/>
        <w:rPr>
          <w:rFonts w:ascii="Times New Roman" w:hAnsi="Times New Roman"/>
          <w:sz w:val="24"/>
          <w:szCs w:val="24"/>
        </w:rPr>
      </w:pPr>
      <w:r w:rsidRPr="00891E6E">
        <w:rPr>
          <w:rFonts w:ascii="Times New Roman" w:hAnsi="Times New Roman"/>
          <w:iCs/>
          <w:sz w:val="24"/>
          <w:szCs w:val="24"/>
        </w:rPr>
        <w:t xml:space="preserve">Using the regulatory burden measurement framework, it has been estimated that the measure will </w:t>
      </w:r>
      <w:r w:rsidR="00984E3D" w:rsidRPr="00984E3D">
        <w:rPr>
          <w:rFonts w:ascii="Times New Roman" w:hAnsi="Times New Roman"/>
          <w:iCs/>
          <w:sz w:val="24"/>
          <w:szCs w:val="24"/>
        </w:rPr>
        <w:t>increase compliance costs by $</w:t>
      </w:r>
      <w:r w:rsidR="00984E3D">
        <w:rPr>
          <w:rFonts w:ascii="Times New Roman" w:hAnsi="Times New Roman"/>
          <w:iCs/>
          <w:sz w:val="24"/>
          <w:szCs w:val="24"/>
        </w:rPr>
        <w:t>7</w:t>
      </w:r>
      <w:r w:rsidR="004C536E">
        <w:rPr>
          <w:rFonts w:ascii="Times New Roman" w:hAnsi="Times New Roman"/>
          <w:iCs/>
          <w:sz w:val="24"/>
          <w:szCs w:val="24"/>
        </w:rPr>
        <w:t>.</w:t>
      </w:r>
      <w:r w:rsidR="00984E3D">
        <w:rPr>
          <w:rFonts w:ascii="Times New Roman" w:hAnsi="Times New Roman"/>
          <w:iCs/>
          <w:sz w:val="24"/>
          <w:szCs w:val="24"/>
        </w:rPr>
        <w:t>2</w:t>
      </w:r>
      <w:r w:rsidR="004C536E">
        <w:rPr>
          <w:rFonts w:ascii="Times New Roman" w:hAnsi="Times New Roman"/>
          <w:iCs/>
          <w:sz w:val="24"/>
          <w:szCs w:val="24"/>
        </w:rPr>
        <w:t xml:space="preserve"> million</w:t>
      </w:r>
      <w:r w:rsidR="00984E3D">
        <w:rPr>
          <w:rFonts w:ascii="Times New Roman" w:hAnsi="Times New Roman"/>
          <w:iCs/>
          <w:sz w:val="24"/>
          <w:szCs w:val="24"/>
        </w:rPr>
        <w:t xml:space="preserve"> (refer to Table 1)</w:t>
      </w:r>
      <w:r w:rsidRPr="00891E6E">
        <w:rPr>
          <w:rFonts w:ascii="Times New Roman" w:hAnsi="Times New Roman"/>
          <w:iCs/>
          <w:sz w:val="24"/>
          <w:szCs w:val="24"/>
        </w:rPr>
        <w:t>.  For all reporting periods, the Treasury portfolio has reported net compliance cost reductions and there is no reason why the portfolio will not continue to deliver on its red tape reduction targets this year, in line with the Government’s regulatory reform agenda.</w:t>
      </w:r>
    </w:p>
    <w:p w14:paraId="73FF323A" w14:textId="77777777" w:rsidR="008A2DE4" w:rsidRPr="005C76B6" w:rsidRDefault="00984E3D" w:rsidP="008B0A2F">
      <w:pPr>
        <w:pStyle w:val="Heading4"/>
        <w:jc w:val="center"/>
        <w:rPr>
          <w:b w:val="0"/>
        </w:rPr>
      </w:pPr>
      <w:r w:rsidRPr="005C76B6">
        <w:rPr>
          <w:b w:val="0"/>
        </w:rPr>
        <w:t>Table 1: Regulatory burden estimate (RBE) table</w:t>
      </w:r>
    </w:p>
    <w:tbl>
      <w:tblPr>
        <w:tblStyle w:val="TableGrid"/>
        <w:tblW w:w="0" w:type="auto"/>
        <w:tblLook w:val="0480" w:firstRow="0" w:lastRow="0" w:firstColumn="1" w:lastColumn="0" w:noHBand="0" w:noVBand="1"/>
      </w:tblPr>
      <w:tblGrid>
        <w:gridCol w:w="1659"/>
        <w:gridCol w:w="1659"/>
        <w:gridCol w:w="1659"/>
        <w:gridCol w:w="1659"/>
        <w:gridCol w:w="1660"/>
      </w:tblGrid>
      <w:tr w:rsidR="00984E3D" w14:paraId="71FFEFC3" w14:textId="77777777" w:rsidTr="008E3DB5">
        <w:tc>
          <w:tcPr>
            <w:tcW w:w="8296" w:type="dxa"/>
            <w:gridSpan w:val="5"/>
          </w:tcPr>
          <w:p w14:paraId="2036D116" w14:textId="77777777" w:rsidR="00984E3D" w:rsidRPr="00984E3D" w:rsidRDefault="00984E3D" w:rsidP="00FE5E8B">
            <w:pPr>
              <w:spacing w:after="240"/>
              <w:jc w:val="both"/>
              <w:rPr>
                <w:rFonts w:ascii="Times New Roman" w:hAnsi="Times New Roman"/>
                <w:b/>
                <w:sz w:val="24"/>
                <w:szCs w:val="24"/>
              </w:rPr>
            </w:pPr>
            <w:r w:rsidRPr="00984E3D">
              <w:rPr>
                <w:rFonts w:ascii="Times New Roman" w:hAnsi="Times New Roman"/>
                <w:b/>
                <w:sz w:val="24"/>
                <w:szCs w:val="24"/>
              </w:rPr>
              <w:t>Average annual regulatory costs (from business as usual)</w:t>
            </w:r>
          </w:p>
        </w:tc>
      </w:tr>
      <w:tr w:rsidR="008A2DE4" w14:paraId="2C98F191" w14:textId="77777777" w:rsidTr="008E3DB5">
        <w:tc>
          <w:tcPr>
            <w:tcW w:w="1659" w:type="dxa"/>
          </w:tcPr>
          <w:p w14:paraId="029E0394" w14:textId="77777777" w:rsidR="008A2DE4" w:rsidRDefault="00984E3D" w:rsidP="00984E3D">
            <w:pPr>
              <w:rPr>
                <w:rFonts w:ascii="Times New Roman" w:hAnsi="Times New Roman"/>
                <w:sz w:val="24"/>
                <w:szCs w:val="24"/>
              </w:rPr>
            </w:pPr>
            <w:r>
              <w:rPr>
                <w:rFonts w:ascii="Times New Roman" w:hAnsi="Times New Roman"/>
                <w:sz w:val="24"/>
                <w:szCs w:val="24"/>
              </w:rPr>
              <w:t>Change in costs</w:t>
            </w:r>
          </w:p>
          <w:p w14:paraId="02FC0270" w14:textId="77777777" w:rsidR="00984E3D" w:rsidRDefault="00984E3D" w:rsidP="00984E3D">
            <w:pPr>
              <w:jc w:val="both"/>
              <w:rPr>
                <w:rFonts w:ascii="Times New Roman" w:hAnsi="Times New Roman"/>
                <w:sz w:val="24"/>
                <w:szCs w:val="24"/>
              </w:rPr>
            </w:pPr>
            <w:r>
              <w:rPr>
                <w:rFonts w:ascii="Times New Roman" w:hAnsi="Times New Roman"/>
                <w:sz w:val="24"/>
                <w:szCs w:val="24"/>
              </w:rPr>
              <w:t>($ million)</w:t>
            </w:r>
          </w:p>
        </w:tc>
        <w:tc>
          <w:tcPr>
            <w:tcW w:w="1659" w:type="dxa"/>
          </w:tcPr>
          <w:p w14:paraId="18F6229D" w14:textId="77777777" w:rsidR="008A2DE4" w:rsidRDefault="00984E3D" w:rsidP="00984E3D">
            <w:pPr>
              <w:jc w:val="both"/>
              <w:rPr>
                <w:rFonts w:ascii="Times New Roman" w:hAnsi="Times New Roman"/>
                <w:sz w:val="24"/>
                <w:szCs w:val="24"/>
              </w:rPr>
            </w:pPr>
            <w:r>
              <w:rPr>
                <w:rFonts w:ascii="Times New Roman" w:hAnsi="Times New Roman"/>
                <w:sz w:val="24"/>
                <w:szCs w:val="24"/>
              </w:rPr>
              <w:t>Business</w:t>
            </w:r>
          </w:p>
        </w:tc>
        <w:tc>
          <w:tcPr>
            <w:tcW w:w="1659" w:type="dxa"/>
          </w:tcPr>
          <w:p w14:paraId="359A93AF" w14:textId="77777777" w:rsidR="008A2DE4" w:rsidRDefault="00984E3D" w:rsidP="00984E3D">
            <w:pPr>
              <w:jc w:val="both"/>
              <w:rPr>
                <w:rFonts w:ascii="Times New Roman" w:hAnsi="Times New Roman"/>
                <w:sz w:val="24"/>
                <w:szCs w:val="24"/>
              </w:rPr>
            </w:pPr>
            <w:r>
              <w:rPr>
                <w:rFonts w:ascii="Times New Roman" w:hAnsi="Times New Roman"/>
                <w:sz w:val="24"/>
                <w:szCs w:val="24"/>
              </w:rPr>
              <w:t>Community organisations</w:t>
            </w:r>
          </w:p>
        </w:tc>
        <w:tc>
          <w:tcPr>
            <w:tcW w:w="1659" w:type="dxa"/>
          </w:tcPr>
          <w:p w14:paraId="06206AB3" w14:textId="77777777" w:rsidR="008A2DE4" w:rsidRDefault="00984E3D" w:rsidP="00984E3D">
            <w:pPr>
              <w:jc w:val="both"/>
              <w:rPr>
                <w:rFonts w:ascii="Times New Roman" w:hAnsi="Times New Roman"/>
                <w:sz w:val="24"/>
                <w:szCs w:val="24"/>
              </w:rPr>
            </w:pPr>
            <w:r>
              <w:rPr>
                <w:rFonts w:ascii="Times New Roman" w:hAnsi="Times New Roman"/>
                <w:sz w:val="24"/>
                <w:szCs w:val="24"/>
              </w:rPr>
              <w:t>Individuals</w:t>
            </w:r>
          </w:p>
        </w:tc>
        <w:tc>
          <w:tcPr>
            <w:tcW w:w="1660" w:type="dxa"/>
          </w:tcPr>
          <w:p w14:paraId="24AA194A" w14:textId="77777777" w:rsidR="008A2DE4" w:rsidRDefault="00984E3D" w:rsidP="00984E3D">
            <w:pPr>
              <w:jc w:val="both"/>
              <w:rPr>
                <w:rFonts w:ascii="Times New Roman" w:hAnsi="Times New Roman"/>
                <w:sz w:val="24"/>
                <w:szCs w:val="24"/>
              </w:rPr>
            </w:pPr>
            <w:r>
              <w:rPr>
                <w:rFonts w:ascii="Times New Roman" w:hAnsi="Times New Roman"/>
                <w:sz w:val="24"/>
                <w:szCs w:val="24"/>
              </w:rPr>
              <w:t>Total change in costs</w:t>
            </w:r>
          </w:p>
        </w:tc>
      </w:tr>
      <w:tr w:rsidR="008A2DE4" w14:paraId="2A2AFA33" w14:textId="77777777" w:rsidTr="008E3DB5">
        <w:tc>
          <w:tcPr>
            <w:tcW w:w="1659" w:type="dxa"/>
          </w:tcPr>
          <w:p w14:paraId="02781EAC" w14:textId="77777777" w:rsidR="008A2DE4" w:rsidRDefault="008A2DE4" w:rsidP="00984E3D">
            <w:pPr>
              <w:jc w:val="center"/>
              <w:rPr>
                <w:rFonts w:ascii="Times New Roman" w:hAnsi="Times New Roman"/>
                <w:sz w:val="24"/>
                <w:szCs w:val="24"/>
              </w:rPr>
            </w:pPr>
          </w:p>
        </w:tc>
        <w:tc>
          <w:tcPr>
            <w:tcW w:w="1659" w:type="dxa"/>
          </w:tcPr>
          <w:p w14:paraId="553D5B8A" w14:textId="77777777" w:rsidR="008A2DE4" w:rsidRDefault="00984E3D" w:rsidP="00984E3D">
            <w:pPr>
              <w:jc w:val="center"/>
              <w:rPr>
                <w:rFonts w:ascii="Times New Roman" w:hAnsi="Times New Roman"/>
                <w:sz w:val="24"/>
                <w:szCs w:val="24"/>
              </w:rPr>
            </w:pPr>
            <w:r>
              <w:rPr>
                <w:rFonts w:ascii="Times New Roman" w:hAnsi="Times New Roman"/>
                <w:sz w:val="24"/>
                <w:szCs w:val="24"/>
              </w:rPr>
              <w:t>$7.2</w:t>
            </w:r>
          </w:p>
        </w:tc>
        <w:tc>
          <w:tcPr>
            <w:tcW w:w="1659" w:type="dxa"/>
          </w:tcPr>
          <w:p w14:paraId="2DED99AC" w14:textId="77777777" w:rsidR="008A2DE4" w:rsidRDefault="008A2DE4" w:rsidP="00984E3D">
            <w:pPr>
              <w:jc w:val="center"/>
              <w:rPr>
                <w:rFonts w:ascii="Times New Roman" w:hAnsi="Times New Roman"/>
                <w:sz w:val="24"/>
                <w:szCs w:val="24"/>
              </w:rPr>
            </w:pPr>
          </w:p>
        </w:tc>
        <w:tc>
          <w:tcPr>
            <w:tcW w:w="1659" w:type="dxa"/>
          </w:tcPr>
          <w:p w14:paraId="0F2D327B" w14:textId="77777777" w:rsidR="008A2DE4" w:rsidRDefault="008A2DE4" w:rsidP="00984E3D">
            <w:pPr>
              <w:jc w:val="center"/>
              <w:rPr>
                <w:rFonts w:ascii="Times New Roman" w:hAnsi="Times New Roman"/>
                <w:sz w:val="24"/>
                <w:szCs w:val="24"/>
              </w:rPr>
            </w:pPr>
          </w:p>
        </w:tc>
        <w:tc>
          <w:tcPr>
            <w:tcW w:w="1660" w:type="dxa"/>
          </w:tcPr>
          <w:p w14:paraId="53F647BD" w14:textId="77777777" w:rsidR="008A2DE4" w:rsidRDefault="00984E3D" w:rsidP="00984E3D">
            <w:pPr>
              <w:jc w:val="center"/>
              <w:rPr>
                <w:rFonts w:ascii="Times New Roman" w:hAnsi="Times New Roman"/>
                <w:sz w:val="24"/>
                <w:szCs w:val="24"/>
              </w:rPr>
            </w:pPr>
            <w:r>
              <w:rPr>
                <w:rFonts w:ascii="Times New Roman" w:hAnsi="Times New Roman"/>
                <w:sz w:val="24"/>
                <w:szCs w:val="24"/>
              </w:rPr>
              <w:t>$7.2</w:t>
            </w:r>
          </w:p>
        </w:tc>
      </w:tr>
    </w:tbl>
    <w:p w14:paraId="54B14470" w14:textId="77777777" w:rsidR="005A2EB2" w:rsidRDefault="005A2EB2" w:rsidP="00A846F3">
      <w:pPr>
        <w:spacing w:after="240"/>
        <w:jc w:val="both"/>
        <w:rPr>
          <w:rFonts w:ascii="Times New Roman" w:hAnsi="Times New Roman"/>
          <w:sz w:val="24"/>
          <w:szCs w:val="24"/>
        </w:rPr>
      </w:pPr>
    </w:p>
    <w:sectPr w:rsidR="005A2EB2" w:rsidSect="001508E9">
      <w:footerReference w:type="default" r:id="rId1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8B6EB" w14:textId="77777777" w:rsidR="00781F71" w:rsidRPr="00991C2D" w:rsidRDefault="00781F71" w:rsidP="001A5874">
      <w:pPr>
        <w:rPr>
          <w:sz w:val="20"/>
        </w:rPr>
      </w:pPr>
      <w:r>
        <w:separator/>
      </w:r>
    </w:p>
  </w:endnote>
  <w:endnote w:type="continuationSeparator" w:id="0">
    <w:p w14:paraId="4BAF3963" w14:textId="77777777" w:rsidR="00781F71" w:rsidRPr="00991C2D" w:rsidRDefault="00781F71" w:rsidP="001A5874">
      <w:pPr>
        <w:rPr>
          <w:sz w:val="20"/>
        </w:rPr>
      </w:pPr>
      <w:r>
        <w:continuationSeparator/>
      </w:r>
    </w:p>
  </w:endnote>
  <w:endnote w:type="continuationNotice" w:id="1">
    <w:p w14:paraId="61C5DA08" w14:textId="77777777" w:rsidR="00781F71" w:rsidRDefault="00781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79B02" w14:textId="77777777" w:rsidR="00EE7B37" w:rsidRPr="003106A4" w:rsidRDefault="00EE7B37">
    <w:pPr>
      <w:pStyle w:val="Footer"/>
      <w:jc w:val="center"/>
      <w:rPr>
        <w:rFonts w:ascii="Times New Roman" w:hAnsi="Times New Roman"/>
      </w:rPr>
    </w:pPr>
    <w:r w:rsidRPr="003106A4">
      <w:rPr>
        <w:rFonts w:ascii="Times New Roman" w:hAnsi="Times New Roman"/>
      </w:rPr>
      <w:fldChar w:fldCharType="begin"/>
    </w:r>
    <w:r w:rsidRPr="003106A4">
      <w:rPr>
        <w:rFonts w:ascii="Times New Roman" w:hAnsi="Times New Roman"/>
      </w:rPr>
      <w:instrText xml:space="preserve"> PAGE   \* MERGEFORMAT </w:instrText>
    </w:r>
    <w:r w:rsidRPr="003106A4">
      <w:rPr>
        <w:rFonts w:ascii="Times New Roman" w:hAnsi="Times New Roman"/>
      </w:rPr>
      <w:fldChar w:fldCharType="separate"/>
    </w:r>
    <w:r w:rsidR="0029012C">
      <w:rPr>
        <w:rFonts w:ascii="Times New Roman" w:hAnsi="Times New Roman"/>
        <w:noProof/>
      </w:rPr>
      <w:t>2</w:t>
    </w:r>
    <w:r w:rsidRPr="003106A4">
      <w:rPr>
        <w:rFonts w:ascii="Times New Roman" w:hAnsi="Times New Roman"/>
        <w:noProof/>
      </w:rPr>
      <w:fldChar w:fldCharType="end"/>
    </w:r>
  </w:p>
  <w:p w14:paraId="76328DC4" w14:textId="77777777" w:rsidR="00EE7B37" w:rsidRDefault="00EE7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7664" w14:textId="77777777" w:rsidR="00781F71" w:rsidRPr="00991C2D" w:rsidRDefault="00781F71" w:rsidP="001A5874">
      <w:pPr>
        <w:rPr>
          <w:sz w:val="20"/>
        </w:rPr>
      </w:pPr>
      <w:r>
        <w:separator/>
      </w:r>
    </w:p>
  </w:footnote>
  <w:footnote w:type="continuationSeparator" w:id="0">
    <w:p w14:paraId="3DA9269B" w14:textId="77777777" w:rsidR="00781F71" w:rsidRPr="00991C2D" w:rsidRDefault="00781F71" w:rsidP="001A5874">
      <w:pPr>
        <w:rPr>
          <w:sz w:val="20"/>
        </w:rPr>
      </w:pPr>
      <w:r>
        <w:continuationSeparator/>
      </w:r>
    </w:p>
  </w:footnote>
  <w:footnote w:type="continuationNotice" w:id="1">
    <w:p w14:paraId="77EB72FF" w14:textId="77777777" w:rsidR="00781F71" w:rsidRDefault="00781F71"/>
  </w:footnote>
  <w:footnote w:id="2">
    <w:p w14:paraId="4A1B2A1B" w14:textId="77777777" w:rsidR="00781F71" w:rsidRPr="002141A2" w:rsidRDefault="00781F71" w:rsidP="001A1666">
      <w:pPr>
        <w:pStyle w:val="FootnoteText"/>
      </w:pPr>
      <w:r w:rsidRPr="002141A2">
        <w:rPr>
          <w:rStyle w:val="FootnoteReference"/>
        </w:rPr>
        <w:footnoteRef/>
      </w:r>
      <w:r w:rsidRPr="002141A2">
        <w:t xml:space="preserve"> APRA’s prudential standard-making powers are found in the </w:t>
      </w:r>
      <w:r w:rsidRPr="000B11E1">
        <w:rPr>
          <w:rStyle w:val="Emphasis"/>
          <w:sz w:val="20"/>
          <w:szCs w:val="20"/>
        </w:rPr>
        <w:t>Banking Act 1959</w:t>
      </w:r>
      <w:r w:rsidRPr="002141A2">
        <w:t xml:space="preserve"> (the Banking Act), the </w:t>
      </w:r>
      <w:r w:rsidRPr="000B11E1">
        <w:rPr>
          <w:rStyle w:val="Emphasis"/>
          <w:sz w:val="20"/>
          <w:szCs w:val="20"/>
        </w:rPr>
        <w:t>Insurance Act 1973</w:t>
      </w:r>
      <w:r w:rsidRPr="002141A2">
        <w:t xml:space="preserve"> (the Insurance Act</w:t>
      </w:r>
      <w:r>
        <w:t>)</w:t>
      </w:r>
      <w:r w:rsidRPr="002141A2">
        <w:t xml:space="preserve">, the </w:t>
      </w:r>
      <w:r>
        <w:rPr>
          <w:rStyle w:val="Emphasis"/>
          <w:sz w:val="20"/>
          <w:szCs w:val="20"/>
        </w:rPr>
        <w:t>Life Insurance Act 1995</w:t>
      </w:r>
      <w:r w:rsidRPr="002141A2">
        <w:t xml:space="preserve"> and the </w:t>
      </w:r>
      <w:r w:rsidRPr="000B11E1">
        <w:rPr>
          <w:i/>
        </w:rPr>
        <w:t>S</w:t>
      </w:r>
      <w:r w:rsidRPr="002141A2">
        <w:rPr>
          <w:i/>
        </w:rPr>
        <w:t xml:space="preserve">uperannuation Industry (Supervision) Act 1993 </w:t>
      </w:r>
      <w:r>
        <w:t>(the SIS Act)</w:t>
      </w:r>
      <w:r w:rsidRPr="002141A2">
        <w:t>.</w:t>
      </w:r>
      <w:r>
        <w:t xml:space="preserve"> These apply to ADIs, general insurers, life companies and RSE licences, respectively. </w:t>
      </w:r>
    </w:p>
  </w:footnote>
  <w:footnote w:id="3">
    <w:p w14:paraId="0F2B3C68" w14:textId="77777777" w:rsidR="00781F71" w:rsidRPr="00F6599D" w:rsidRDefault="00781F71" w:rsidP="001A1666">
      <w:pPr>
        <w:pStyle w:val="FootnoteText"/>
      </w:pPr>
      <w:r w:rsidRPr="00F6599D">
        <w:rPr>
          <w:rStyle w:val="FootnoteReference"/>
        </w:rPr>
        <w:footnoteRef/>
      </w:r>
      <w:r w:rsidRPr="00F6599D">
        <w:t xml:space="preserve"> There is currently no group regime for life </w:t>
      </w:r>
      <w:r>
        <w:t>companies or RSE licensees</w:t>
      </w:r>
      <w:r w:rsidRPr="00F6599D">
        <w:t>.</w:t>
      </w:r>
      <w:r w:rsidRPr="00C12EAC">
        <w:t xml:space="preserve"> Group members not active in the Level 2 group’s industry (banking or general insurance, as relevant) are deconsolidated for Level 2 purposes and are not captured by </w:t>
      </w:r>
      <w:r>
        <w:t>APRA’s</w:t>
      </w:r>
      <w:r w:rsidRPr="00C12EAC">
        <w:t xml:space="preserve"> Level 2 </w:t>
      </w:r>
      <w:r>
        <w:t xml:space="preserve">prudential </w:t>
      </w:r>
      <w:r w:rsidRPr="00C12EAC">
        <w:t>requirements.</w:t>
      </w:r>
    </w:p>
  </w:footnote>
  <w:footnote w:id="4">
    <w:p w14:paraId="41BE9C23" w14:textId="77777777" w:rsidR="00781F71" w:rsidRPr="00513B54" w:rsidRDefault="00781F71" w:rsidP="005B2F21">
      <w:pPr>
        <w:pStyle w:val="FootnoteText"/>
      </w:pPr>
      <w:r w:rsidRPr="00513B54">
        <w:rPr>
          <w:rStyle w:val="FootnoteReference"/>
        </w:rPr>
        <w:footnoteRef/>
      </w:r>
      <w:r w:rsidRPr="00F6599D">
        <w:t xml:space="preserve"> </w:t>
      </w:r>
      <w:hyperlink r:id="rId1" w:history="1">
        <w:r w:rsidRPr="00F6599D">
          <w:rPr>
            <w:rStyle w:val="Hyperlink"/>
          </w:rPr>
          <w:t>http://www.bis.org/press/p120924.htm</w:t>
        </w:r>
      </w:hyperlink>
      <w:r w:rsidRPr="00F6599D">
        <w:t>.</w:t>
      </w:r>
    </w:p>
  </w:footnote>
  <w:footnote w:id="5">
    <w:p w14:paraId="4878C348" w14:textId="77777777" w:rsidR="00781F71" w:rsidRDefault="00781F71" w:rsidP="005D7E20">
      <w:pPr>
        <w:pStyle w:val="FootnoteText"/>
      </w:pPr>
      <w:r>
        <w:rPr>
          <w:rStyle w:val="FootnoteReference"/>
        </w:rPr>
        <w:footnoteRef/>
      </w:r>
      <w:r>
        <w:t xml:space="preserve"> </w:t>
      </w:r>
      <w:r w:rsidRPr="00E75448">
        <w:rPr>
          <w:sz w:val="16"/>
          <w:szCs w:val="16"/>
        </w:rPr>
        <w:t>‘Cross-industry’ refers to ADIs and insurers</w:t>
      </w:r>
    </w:p>
  </w:footnote>
  <w:footnote w:id="6">
    <w:p w14:paraId="0B10AEEE" w14:textId="608A10D6" w:rsidR="00781F71" w:rsidRPr="00513B54" w:rsidRDefault="00781F71" w:rsidP="001568F1">
      <w:pPr>
        <w:pStyle w:val="FootnoteText"/>
      </w:pPr>
      <w:r w:rsidRPr="00513B54">
        <w:rPr>
          <w:rStyle w:val="FootnoteReference"/>
        </w:rPr>
        <w:footnoteRef/>
      </w:r>
      <w:r w:rsidRPr="00513B54">
        <w:t xml:space="preserve"> The ‘Level 3 PCR’ is based on the minimum capital requirements applicable to the APRA-regulated group members. Intra-group exposures are netted out (i.e. lead to a reduction in the Level 3 PCR) and additional minimum capital is added for non-APRA-regulated activities that expose </w:t>
      </w:r>
      <w:r>
        <w:t>depositors, policyholders and superannuation members</w:t>
      </w:r>
      <w:r w:rsidRPr="00513B54">
        <w:t xml:space="preserve"> to material risk.</w:t>
      </w:r>
    </w:p>
  </w:footnote>
  <w:footnote w:id="7">
    <w:p w14:paraId="1A139B6F" w14:textId="77777777" w:rsidR="00781F71" w:rsidRPr="00513B54" w:rsidRDefault="00781F71" w:rsidP="001A1666">
      <w:pPr>
        <w:pStyle w:val="FootnoteText"/>
      </w:pPr>
      <w:r w:rsidRPr="00F247D3">
        <w:rPr>
          <w:rStyle w:val="FootnoteReference"/>
        </w:rPr>
        <w:footnoteRef/>
      </w:r>
      <w:r w:rsidRPr="00F247D3">
        <w:t xml:space="preserve"> Refer to the May 2013 APRA Response Paper for more technical information on the capital adequacy component of option 3: </w:t>
      </w:r>
      <w:hyperlink r:id="rId2" w:history="1">
        <w:r w:rsidRPr="00C12EAC">
          <w:rPr>
            <w:rStyle w:val="Hyperlink"/>
          </w:rPr>
          <w:t>http://www.apra.gov.au/CrossIndustry/Consultations/Documents/Level-3-Response-Paper-(May-2013).pdf</w:t>
        </w:r>
      </w:hyperlink>
      <w:r w:rsidRPr="00513B54">
        <w:t xml:space="preserve"> </w:t>
      </w:r>
    </w:p>
  </w:footnote>
  <w:footnote w:id="8">
    <w:p w14:paraId="7D3EA2EC" w14:textId="77777777" w:rsidR="00781F71" w:rsidRPr="00513B54" w:rsidRDefault="00781F71" w:rsidP="004C7874">
      <w:pPr>
        <w:pStyle w:val="FootnoteText"/>
      </w:pPr>
      <w:r w:rsidRPr="00513B54">
        <w:rPr>
          <w:rStyle w:val="FootnoteReference"/>
        </w:rPr>
        <w:footnoteRef/>
      </w:r>
      <w:r w:rsidRPr="00513B54">
        <w:t xml:space="preserve"> </w:t>
      </w:r>
      <w:r w:rsidRPr="00513B54">
        <w:rPr>
          <w:rStyle w:val="Emphasis"/>
          <w:sz w:val="20"/>
        </w:rPr>
        <w:t>Risk IT and Operations: Strengthening capabilities</w:t>
      </w:r>
      <w:r w:rsidRPr="00513B54">
        <w:t>, June 2011.</w:t>
      </w:r>
    </w:p>
  </w:footnote>
  <w:footnote w:id="9">
    <w:p w14:paraId="66FD4160" w14:textId="77777777" w:rsidR="00781F71" w:rsidRPr="00513B54" w:rsidRDefault="00781F71" w:rsidP="004C7874">
      <w:pPr>
        <w:pStyle w:val="FootnoteText"/>
      </w:pPr>
      <w:r w:rsidRPr="00513B54">
        <w:rPr>
          <w:rStyle w:val="FootnoteReference"/>
        </w:rPr>
        <w:footnoteRef/>
      </w:r>
      <w:r w:rsidRPr="00C12EAC">
        <w:t xml:space="preserve"> </w:t>
      </w:r>
      <w:hyperlink r:id="rId3" w:history="1">
        <w:r w:rsidRPr="00C12EAC">
          <w:rPr>
            <w:rStyle w:val="Hyperlink"/>
          </w:rPr>
          <w:t>http://www.bis.org/publ/bcbs239.pdf</w:t>
        </w:r>
      </w:hyperlink>
      <w:r w:rsidRPr="00C12EAC">
        <w:t xml:space="preserve"> </w:t>
      </w:r>
    </w:p>
  </w:footnote>
  <w:footnote w:id="10">
    <w:p w14:paraId="1CC1F3A4" w14:textId="77777777" w:rsidR="00781F71" w:rsidRPr="00513B54" w:rsidRDefault="00781F71" w:rsidP="001A1666">
      <w:pPr>
        <w:pStyle w:val="FootnoteText"/>
      </w:pPr>
      <w:r w:rsidRPr="00513B54">
        <w:rPr>
          <w:rStyle w:val="FootnoteReference"/>
        </w:rPr>
        <w:footnoteRef/>
      </w:r>
      <w:r w:rsidRPr="00513B54">
        <w:t xml:space="preserve"> All consultation documents and letters mentioned in this section can be located on APRA’s website at </w:t>
      </w:r>
      <w:hyperlink r:id="rId4" w:history="1">
        <w:r w:rsidRPr="009832A9">
          <w:rPr>
            <w:rStyle w:val="Hyperlink"/>
          </w:rPr>
          <w:t>http://www.apra.gov.au/CrossIndustry/Pages/Supervision-of-conglomerate-groups-L3-March-2016.aspx</w:t>
        </w:r>
      </w:hyperlink>
      <w:hyperlink r:id="rId5" w:history="1">
        <w:r w:rsidRPr="009832A9">
          <w:rPr>
            <w:rStyle w:val="Hyperlink"/>
          </w:rPr>
          <w:t>.</w:t>
        </w:r>
      </w:hyperlink>
    </w:p>
  </w:footnote>
  <w:footnote w:id="11">
    <w:p w14:paraId="57ACA668" w14:textId="77777777" w:rsidR="00781F71" w:rsidRPr="00513B54" w:rsidRDefault="00781F71" w:rsidP="001A1666">
      <w:pPr>
        <w:pStyle w:val="FootnoteText"/>
      </w:pPr>
      <w:r w:rsidRPr="00513B54">
        <w:rPr>
          <w:rStyle w:val="FootnoteReference"/>
        </w:rPr>
        <w:footnoteRef/>
      </w:r>
      <w:r w:rsidRPr="00C12EAC">
        <w:t xml:space="preserve"> </w:t>
      </w:r>
      <w:hyperlink r:id="rId6" w:history="1">
        <w:r w:rsidRPr="00C12EAC">
          <w:rPr>
            <w:rStyle w:val="Hyperlink"/>
          </w:rPr>
          <w:t>http://www.apra.gov.au/adi/Documents/Prudential-Supervision-of-Conglomerates-March-1999.pdf</w:t>
        </w:r>
      </w:hyperlink>
      <w:r w:rsidRPr="00C12EAC">
        <w:t xml:space="preserve"> and </w:t>
      </w:r>
      <w:hyperlink r:id="rId7" w:history="1">
        <w:r w:rsidRPr="00C12EAC">
          <w:rPr>
            <w:rStyle w:val="Hyperlink"/>
          </w:rPr>
          <w:t>http://www.apra.gov.au/adi/Documents/Prudential-Supervision-of-Conglomerates-November-1999.pdf</w:t>
        </w:r>
      </w:hyperlink>
      <w:r w:rsidRPr="00C12EAC">
        <w:t xml:space="preserve"> </w:t>
      </w:r>
    </w:p>
  </w:footnote>
  <w:footnote w:id="12">
    <w:p w14:paraId="1578B6BB" w14:textId="77777777" w:rsidR="00781F71" w:rsidRPr="00513B54" w:rsidRDefault="00781F71" w:rsidP="001A1666">
      <w:pPr>
        <w:pStyle w:val="FootnoteText"/>
      </w:pPr>
      <w:r w:rsidRPr="00513B54">
        <w:rPr>
          <w:rStyle w:val="FootnoteReference"/>
        </w:rPr>
        <w:footnoteRef/>
      </w:r>
      <w:r w:rsidRPr="00C12EAC">
        <w:t xml:space="preserve"> </w:t>
      </w:r>
      <w:hyperlink r:id="rId8" w:history="1">
        <w:r w:rsidRPr="00C12EAC">
          <w:rPr>
            <w:rStyle w:val="Hyperlink"/>
          </w:rPr>
          <w:t>http://www.apra.gov.au/CrossIndustry/Documents/Discussion-paper-Supervision-of-conglomerate-groups-March-2010.pdf</w:t>
        </w:r>
      </w:hyperlink>
      <w:r w:rsidRPr="00C12EAC">
        <w:t xml:space="preserve"> </w:t>
      </w:r>
    </w:p>
  </w:footnote>
  <w:footnote w:id="13">
    <w:p w14:paraId="5306DA55" w14:textId="77777777" w:rsidR="00781F71" w:rsidRPr="00513B54" w:rsidRDefault="00781F71" w:rsidP="00C41FD6">
      <w:pPr>
        <w:pStyle w:val="FootnoteText"/>
      </w:pPr>
      <w:r w:rsidRPr="00513B54">
        <w:rPr>
          <w:rStyle w:val="FootnoteReference"/>
        </w:rPr>
        <w:footnoteRef/>
      </w:r>
      <w:r>
        <w:t xml:space="preserve"> </w:t>
      </w:r>
      <w:hyperlink r:id="rId9" w:history="1">
        <w:r w:rsidRPr="00C12EAC">
          <w:rPr>
            <w:rStyle w:val="Hyperlink"/>
          </w:rPr>
          <w:t>http://www.apra.gov.au/CrossIndustry/Consultations/Documents/Level-3-Response-paper-1-governance-risk-exposures-(December-2012).pdf</w:t>
        </w:r>
      </w:hyperlink>
      <w:r w:rsidRPr="00C12EAC">
        <w:t xml:space="preserve"> </w:t>
      </w:r>
    </w:p>
  </w:footnote>
  <w:footnote w:id="14">
    <w:p w14:paraId="48F2C3C6" w14:textId="77777777" w:rsidR="00781F71" w:rsidRPr="00513B54" w:rsidRDefault="00781F71" w:rsidP="001A1666">
      <w:pPr>
        <w:pStyle w:val="FootnoteText"/>
      </w:pPr>
      <w:r w:rsidRPr="00513B54">
        <w:rPr>
          <w:rStyle w:val="FootnoteReference"/>
        </w:rPr>
        <w:footnoteRef/>
      </w:r>
      <w:r w:rsidRPr="00C12EAC">
        <w:t xml:space="preserve"> </w:t>
      </w:r>
      <w:hyperlink r:id="rId10" w:history="1">
        <w:r w:rsidRPr="00C12EAC">
          <w:rPr>
            <w:rStyle w:val="Hyperlink"/>
          </w:rPr>
          <w:t>http://www.apra.gov.au/CrossIndustry/Consultations/Documents/Level-3-Response-Paper-(May-2013).pdf</w:t>
        </w:r>
      </w:hyperlink>
      <w:r>
        <w:t>.</w:t>
      </w:r>
    </w:p>
  </w:footnote>
  <w:footnote w:id="15">
    <w:p w14:paraId="244D550E" w14:textId="77777777" w:rsidR="00781F71" w:rsidRPr="00513B54" w:rsidRDefault="00781F71">
      <w:pPr>
        <w:pStyle w:val="FootnoteText"/>
      </w:pPr>
      <w:r w:rsidRPr="00513B54">
        <w:rPr>
          <w:rStyle w:val="FootnoteReference"/>
        </w:rPr>
        <w:footnoteRef/>
      </w:r>
      <w:r w:rsidRPr="00C12EAC">
        <w:t xml:space="preserve"> </w:t>
      </w:r>
      <w:hyperlink r:id="rId11" w:history="1">
        <w:r w:rsidRPr="00C12EAC">
          <w:rPr>
            <w:rStyle w:val="Hyperlink"/>
          </w:rPr>
          <w:t>http://www.apra.gov.au/CrossIndustry/Documents/Level-3-Discussion-Paper-Proposed-Level-3-Reporting-Requirements-(Sept-2013).pdf</w:t>
        </w:r>
      </w:hyperlink>
      <w:r>
        <w:rPr>
          <w:rStyle w:val="Hyperlink"/>
        </w:rPr>
        <w:t>.</w:t>
      </w:r>
    </w:p>
  </w:footnote>
  <w:footnote w:id="16">
    <w:p w14:paraId="45C4B08F" w14:textId="77777777" w:rsidR="00781F71" w:rsidRPr="001A1666" w:rsidRDefault="00781F71">
      <w:pPr>
        <w:pStyle w:val="FootnoteText"/>
      </w:pPr>
      <w:r w:rsidRPr="001A1666">
        <w:rPr>
          <w:rStyle w:val="FootnoteReference"/>
        </w:rPr>
        <w:footnoteRef/>
      </w:r>
      <w:r w:rsidRPr="001A1666">
        <w:t xml:space="preserve"> </w:t>
      </w:r>
      <w:hyperlink r:id="rId12" w:history="1">
        <w:r w:rsidRPr="001A1666">
          <w:rPr>
            <w:rStyle w:val="Hyperlink"/>
          </w:rPr>
          <w:t>http://www.apra.gov.au/CrossIndustry/Pages/Supervision-of-conglomerate-groups-(Level-3)---August-2014.aspx</w:t>
        </w:r>
      </w:hyperlink>
      <w:r>
        <w:t>.</w:t>
      </w:r>
    </w:p>
  </w:footnote>
  <w:footnote w:id="17">
    <w:p w14:paraId="25B639D0" w14:textId="77777777" w:rsidR="00781F71" w:rsidRPr="001A1666" w:rsidRDefault="00781F71">
      <w:pPr>
        <w:pStyle w:val="FootnoteText"/>
      </w:pPr>
      <w:r w:rsidRPr="001A1666">
        <w:rPr>
          <w:rStyle w:val="FootnoteReference"/>
        </w:rPr>
        <w:footnoteRef/>
      </w:r>
      <w:r w:rsidRPr="001A1666">
        <w:t xml:space="preserve"> </w:t>
      </w:r>
      <w:hyperlink r:id="rId13" w:history="1">
        <w:r w:rsidRPr="001A1666">
          <w:rPr>
            <w:rStyle w:val="Hyperlink"/>
          </w:rPr>
          <w:t>http://www.apra.gov.au/CrossIndustry/Pages/Supervision-of-conglomerate-groups-L3-March-2016.aspx</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B0B3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FAD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7CFE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C4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BE8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381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88A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16FC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0C7B96"/>
    <w:lvl w:ilvl="0">
      <w:start w:val="1"/>
      <w:numFmt w:val="decimal"/>
      <w:lvlText w:val="%1."/>
      <w:lvlJc w:val="left"/>
      <w:pPr>
        <w:tabs>
          <w:tab w:val="num" w:pos="360"/>
        </w:tabs>
        <w:ind w:left="360" w:hanging="360"/>
      </w:pPr>
    </w:lvl>
  </w:abstractNum>
  <w:abstractNum w:abstractNumId="9" w15:restartNumberingAfterBreak="0">
    <w:nsid w:val="08BE1FA6"/>
    <w:multiLevelType w:val="hybridMultilevel"/>
    <w:tmpl w:val="501E11DA"/>
    <w:lvl w:ilvl="0" w:tplc="49606464">
      <w:start w:val="1"/>
      <w:numFmt w:val="bullet"/>
      <w:pStyle w:val="ListParagraph"/>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0B3E75B2"/>
    <w:multiLevelType w:val="hybridMultilevel"/>
    <w:tmpl w:val="0C9C1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B24E0C"/>
    <w:multiLevelType w:val="hybridMultilevel"/>
    <w:tmpl w:val="7CBA8236"/>
    <w:lvl w:ilvl="0" w:tplc="C5562D4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86F07"/>
    <w:multiLevelType w:val="hybridMultilevel"/>
    <w:tmpl w:val="5892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7A2FC0"/>
    <w:multiLevelType w:val="hybridMultilevel"/>
    <w:tmpl w:val="34FAD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D36ED8"/>
    <w:multiLevelType w:val="hybridMultilevel"/>
    <w:tmpl w:val="4EA2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D14BFF"/>
    <w:multiLevelType w:val="hybridMultilevel"/>
    <w:tmpl w:val="803ABFEE"/>
    <w:lvl w:ilvl="0" w:tplc="7B806948">
      <w:start w:val="1"/>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700B62"/>
    <w:multiLevelType w:val="hybridMultilevel"/>
    <w:tmpl w:val="DD9E8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296A6A"/>
    <w:multiLevelType w:val="hybridMultilevel"/>
    <w:tmpl w:val="194A980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1D20444"/>
    <w:multiLevelType w:val="hybridMultilevel"/>
    <w:tmpl w:val="9FCCE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3F2167"/>
    <w:multiLevelType w:val="hybridMultilevel"/>
    <w:tmpl w:val="B7827526"/>
    <w:lvl w:ilvl="0" w:tplc="BAD64E40">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56B0F"/>
    <w:multiLevelType w:val="hybridMultilevel"/>
    <w:tmpl w:val="BC9C2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6A6EFF"/>
    <w:multiLevelType w:val="hybridMultilevel"/>
    <w:tmpl w:val="825C9ED0"/>
    <w:lvl w:ilvl="0" w:tplc="E1A4DF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3034FF"/>
    <w:multiLevelType w:val="hybridMultilevel"/>
    <w:tmpl w:val="166ECBD6"/>
    <w:lvl w:ilvl="0" w:tplc="122C845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C462E0"/>
    <w:multiLevelType w:val="hybridMultilevel"/>
    <w:tmpl w:val="CEFE63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927AF0"/>
    <w:multiLevelType w:val="hybridMultilevel"/>
    <w:tmpl w:val="4BBCE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E67CB3"/>
    <w:multiLevelType w:val="hybridMultilevel"/>
    <w:tmpl w:val="79960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46445E"/>
    <w:multiLevelType w:val="hybridMultilevel"/>
    <w:tmpl w:val="C1E854CC"/>
    <w:lvl w:ilvl="0" w:tplc="C6C02B2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592398"/>
    <w:multiLevelType w:val="hybridMultilevel"/>
    <w:tmpl w:val="73FABED2"/>
    <w:lvl w:ilvl="0" w:tplc="7B806948">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C00CE9"/>
    <w:multiLevelType w:val="hybridMultilevel"/>
    <w:tmpl w:val="C2FE0B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6"/>
  </w:num>
  <w:num w:numId="3">
    <w:abstractNumId w:val="18"/>
  </w:num>
  <w:num w:numId="4">
    <w:abstractNumId w:val="12"/>
  </w:num>
  <w:num w:numId="5">
    <w:abstractNumId w:val="13"/>
  </w:num>
  <w:num w:numId="6">
    <w:abstractNumId w:val="9"/>
  </w:num>
  <w:num w:numId="7">
    <w:abstractNumId w:val="11"/>
  </w:num>
  <w:num w:numId="8">
    <w:abstractNumId w:val="25"/>
  </w:num>
  <w:num w:numId="9">
    <w:abstractNumId w:val="24"/>
  </w:num>
  <w:num w:numId="10">
    <w:abstractNumId w:val="28"/>
  </w:num>
  <w:num w:numId="11">
    <w:abstractNumId w:val="21"/>
  </w:num>
  <w:num w:numId="12">
    <w:abstractNumId w:val="22"/>
  </w:num>
  <w:num w:numId="13">
    <w:abstractNumId w:val="10"/>
  </w:num>
  <w:num w:numId="14">
    <w:abstractNumId w:val="14"/>
  </w:num>
  <w:num w:numId="15">
    <w:abstractNumId w:val="19"/>
  </w:num>
  <w:num w:numId="16">
    <w:abstractNumId w:val="2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7"/>
  </w:num>
  <w:num w:numId="20">
    <w:abstractNumId w:val="17"/>
  </w:num>
  <w:num w:numId="21">
    <w:abstractNumId w:val="15"/>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0E"/>
    <w:rsid w:val="000033CC"/>
    <w:rsid w:val="000036CC"/>
    <w:rsid w:val="000071BF"/>
    <w:rsid w:val="0000761F"/>
    <w:rsid w:val="00010488"/>
    <w:rsid w:val="00010932"/>
    <w:rsid w:val="0001164A"/>
    <w:rsid w:val="00012A4A"/>
    <w:rsid w:val="00013794"/>
    <w:rsid w:val="000143E1"/>
    <w:rsid w:val="00015567"/>
    <w:rsid w:val="00020AD3"/>
    <w:rsid w:val="00021090"/>
    <w:rsid w:val="00021E95"/>
    <w:rsid w:val="000223D6"/>
    <w:rsid w:val="00022A3F"/>
    <w:rsid w:val="00030CE1"/>
    <w:rsid w:val="00032603"/>
    <w:rsid w:val="00032EB6"/>
    <w:rsid w:val="00034CE2"/>
    <w:rsid w:val="00035DCF"/>
    <w:rsid w:val="00040054"/>
    <w:rsid w:val="00045529"/>
    <w:rsid w:val="00045D0F"/>
    <w:rsid w:val="00047083"/>
    <w:rsid w:val="0005253C"/>
    <w:rsid w:val="00054868"/>
    <w:rsid w:val="000567A1"/>
    <w:rsid w:val="0005710C"/>
    <w:rsid w:val="000628A9"/>
    <w:rsid w:val="00062963"/>
    <w:rsid w:val="00064402"/>
    <w:rsid w:val="00064C76"/>
    <w:rsid w:val="000665CE"/>
    <w:rsid w:val="00070387"/>
    <w:rsid w:val="000713C8"/>
    <w:rsid w:val="00071FB8"/>
    <w:rsid w:val="00074521"/>
    <w:rsid w:val="00074A9E"/>
    <w:rsid w:val="000759E6"/>
    <w:rsid w:val="00075D07"/>
    <w:rsid w:val="000766DE"/>
    <w:rsid w:val="00077F81"/>
    <w:rsid w:val="000837C2"/>
    <w:rsid w:val="00083CCF"/>
    <w:rsid w:val="00085B8C"/>
    <w:rsid w:val="000878BE"/>
    <w:rsid w:val="00090297"/>
    <w:rsid w:val="00092C6F"/>
    <w:rsid w:val="0009347E"/>
    <w:rsid w:val="00093DC5"/>
    <w:rsid w:val="0009480B"/>
    <w:rsid w:val="000949D8"/>
    <w:rsid w:val="00095B7B"/>
    <w:rsid w:val="00097F40"/>
    <w:rsid w:val="000A0EF3"/>
    <w:rsid w:val="000A1877"/>
    <w:rsid w:val="000A20EB"/>
    <w:rsid w:val="000A433C"/>
    <w:rsid w:val="000A71BA"/>
    <w:rsid w:val="000B0EC4"/>
    <w:rsid w:val="000B11E1"/>
    <w:rsid w:val="000C0405"/>
    <w:rsid w:val="000C1893"/>
    <w:rsid w:val="000C27C0"/>
    <w:rsid w:val="000C3159"/>
    <w:rsid w:val="000C5C89"/>
    <w:rsid w:val="000C6C36"/>
    <w:rsid w:val="000C7BAF"/>
    <w:rsid w:val="000D3C1C"/>
    <w:rsid w:val="000D4514"/>
    <w:rsid w:val="000D6C9D"/>
    <w:rsid w:val="000D7557"/>
    <w:rsid w:val="000D767A"/>
    <w:rsid w:val="000E0A69"/>
    <w:rsid w:val="000E1895"/>
    <w:rsid w:val="000E221F"/>
    <w:rsid w:val="000E463C"/>
    <w:rsid w:val="000E56CA"/>
    <w:rsid w:val="000E7721"/>
    <w:rsid w:val="000E78A1"/>
    <w:rsid w:val="000F18AF"/>
    <w:rsid w:val="000F1DDE"/>
    <w:rsid w:val="000F3123"/>
    <w:rsid w:val="000F5D94"/>
    <w:rsid w:val="000F69CB"/>
    <w:rsid w:val="000F7C86"/>
    <w:rsid w:val="000F7E90"/>
    <w:rsid w:val="001010E9"/>
    <w:rsid w:val="001027D0"/>
    <w:rsid w:val="00106A99"/>
    <w:rsid w:val="00113E4C"/>
    <w:rsid w:val="001153BF"/>
    <w:rsid w:val="0011557D"/>
    <w:rsid w:val="001166CA"/>
    <w:rsid w:val="001224E3"/>
    <w:rsid w:val="00123DAD"/>
    <w:rsid w:val="00123EF1"/>
    <w:rsid w:val="00124CC6"/>
    <w:rsid w:val="001263A3"/>
    <w:rsid w:val="00126607"/>
    <w:rsid w:val="00127355"/>
    <w:rsid w:val="001303A3"/>
    <w:rsid w:val="0013126E"/>
    <w:rsid w:val="00131776"/>
    <w:rsid w:val="00131C66"/>
    <w:rsid w:val="00135B73"/>
    <w:rsid w:val="00137756"/>
    <w:rsid w:val="00137EBA"/>
    <w:rsid w:val="001411CF"/>
    <w:rsid w:val="001414BA"/>
    <w:rsid w:val="00141B77"/>
    <w:rsid w:val="00143BB6"/>
    <w:rsid w:val="00144DA8"/>
    <w:rsid w:val="00144F3D"/>
    <w:rsid w:val="0015050D"/>
    <w:rsid w:val="001506A6"/>
    <w:rsid w:val="001508E9"/>
    <w:rsid w:val="00150AB6"/>
    <w:rsid w:val="00152B7F"/>
    <w:rsid w:val="0015368F"/>
    <w:rsid w:val="001568F1"/>
    <w:rsid w:val="001600E6"/>
    <w:rsid w:val="001613AC"/>
    <w:rsid w:val="001630A3"/>
    <w:rsid w:val="00164591"/>
    <w:rsid w:val="00165473"/>
    <w:rsid w:val="0016547D"/>
    <w:rsid w:val="0016554E"/>
    <w:rsid w:val="00165E32"/>
    <w:rsid w:val="0017219C"/>
    <w:rsid w:val="001735FA"/>
    <w:rsid w:val="0017476F"/>
    <w:rsid w:val="0017521E"/>
    <w:rsid w:val="001759C9"/>
    <w:rsid w:val="00176598"/>
    <w:rsid w:val="00176813"/>
    <w:rsid w:val="0018055C"/>
    <w:rsid w:val="00180FCD"/>
    <w:rsid w:val="00182BCD"/>
    <w:rsid w:val="00182FA1"/>
    <w:rsid w:val="001848CC"/>
    <w:rsid w:val="001848E8"/>
    <w:rsid w:val="00184C65"/>
    <w:rsid w:val="0018523C"/>
    <w:rsid w:val="00186173"/>
    <w:rsid w:val="001904AA"/>
    <w:rsid w:val="00192C85"/>
    <w:rsid w:val="00193592"/>
    <w:rsid w:val="001A0E97"/>
    <w:rsid w:val="001A11F4"/>
    <w:rsid w:val="001A1666"/>
    <w:rsid w:val="001A1805"/>
    <w:rsid w:val="001A2C83"/>
    <w:rsid w:val="001A5874"/>
    <w:rsid w:val="001A63DC"/>
    <w:rsid w:val="001B0CDA"/>
    <w:rsid w:val="001B215D"/>
    <w:rsid w:val="001B2C4C"/>
    <w:rsid w:val="001B4AF4"/>
    <w:rsid w:val="001B6056"/>
    <w:rsid w:val="001B6B18"/>
    <w:rsid w:val="001C0392"/>
    <w:rsid w:val="001C0BED"/>
    <w:rsid w:val="001C103F"/>
    <w:rsid w:val="001C314A"/>
    <w:rsid w:val="001C5E06"/>
    <w:rsid w:val="001C6EE4"/>
    <w:rsid w:val="001C70C5"/>
    <w:rsid w:val="001D03EA"/>
    <w:rsid w:val="001D16DC"/>
    <w:rsid w:val="001D26FB"/>
    <w:rsid w:val="001D3839"/>
    <w:rsid w:val="001D3B5A"/>
    <w:rsid w:val="001D4B67"/>
    <w:rsid w:val="001E01F4"/>
    <w:rsid w:val="001E22E3"/>
    <w:rsid w:val="001E2FFC"/>
    <w:rsid w:val="001E3991"/>
    <w:rsid w:val="001E3F21"/>
    <w:rsid w:val="001E4347"/>
    <w:rsid w:val="001E45A0"/>
    <w:rsid w:val="001E4CDE"/>
    <w:rsid w:val="001E60C1"/>
    <w:rsid w:val="001E646A"/>
    <w:rsid w:val="001F029E"/>
    <w:rsid w:val="001F06EF"/>
    <w:rsid w:val="001F0DD7"/>
    <w:rsid w:val="001F1995"/>
    <w:rsid w:val="001F3996"/>
    <w:rsid w:val="001F3B51"/>
    <w:rsid w:val="001F520E"/>
    <w:rsid w:val="001F62BB"/>
    <w:rsid w:val="0020077C"/>
    <w:rsid w:val="0020099C"/>
    <w:rsid w:val="002014EC"/>
    <w:rsid w:val="00201633"/>
    <w:rsid w:val="00202D92"/>
    <w:rsid w:val="00205487"/>
    <w:rsid w:val="00207D50"/>
    <w:rsid w:val="0021152E"/>
    <w:rsid w:val="0021179F"/>
    <w:rsid w:val="00212645"/>
    <w:rsid w:val="002128B8"/>
    <w:rsid w:val="00212A35"/>
    <w:rsid w:val="00213B79"/>
    <w:rsid w:val="00214E07"/>
    <w:rsid w:val="00221F39"/>
    <w:rsid w:val="002234EE"/>
    <w:rsid w:val="00223D27"/>
    <w:rsid w:val="002248F0"/>
    <w:rsid w:val="00225242"/>
    <w:rsid w:val="00226480"/>
    <w:rsid w:val="00233572"/>
    <w:rsid w:val="00233B49"/>
    <w:rsid w:val="002340F1"/>
    <w:rsid w:val="00234B26"/>
    <w:rsid w:val="00234FF1"/>
    <w:rsid w:val="00235ADF"/>
    <w:rsid w:val="00235DD7"/>
    <w:rsid w:val="0023694C"/>
    <w:rsid w:val="002416AF"/>
    <w:rsid w:val="002424C6"/>
    <w:rsid w:val="002434F1"/>
    <w:rsid w:val="00243608"/>
    <w:rsid w:val="002462EE"/>
    <w:rsid w:val="00246984"/>
    <w:rsid w:val="00246E39"/>
    <w:rsid w:val="002473C0"/>
    <w:rsid w:val="00250981"/>
    <w:rsid w:val="00251323"/>
    <w:rsid w:val="002528FC"/>
    <w:rsid w:val="00252A82"/>
    <w:rsid w:val="00253669"/>
    <w:rsid w:val="002538AA"/>
    <w:rsid w:val="0025465A"/>
    <w:rsid w:val="00257524"/>
    <w:rsid w:val="002579F5"/>
    <w:rsid w:val="002619B4"/>
    <w:rsid w:val="00266148"/>
    <w:rsid w:val="00266451"/>
    <w:rsid w:val="002664F7"/>
    <w:rsid w:val="0027011C"/>
    <w:rsid w:val="00270297"/>
    <w:rsid w:val="00270932"/>
    <w:rsid w:val="002726EA"/>
    <w:rsid w:val="00272EAA"/>
    <w:rsid w:val="00274376"/>
    <w:rsid w:val="00275634"/>
    <w:rsid w:val="002760A1"/>
    <w:rsid w:val="00276163"/>
    <w:rsid w:val="0027641E"/>
    <w:rsid w:val="0027644F"/>
    <w:rsid w:val="00276979"/>
    <w:rsid w:val="00281B87"/>
    <w:rsid w:val="0028310F"/>
    <w:rsid w:val="002838DD"/>
    <w:rsid w:val="00284531"/>
    <w:rsid w:val="00285743"/>
    <w:rsid w:val="002873FF"/>
    <w:rsid w:val="002874E8"/>
    <w:rsid w:val="0029012C"/>
    <w:rsid w:val="00291136"/>
    <w:rsid w:val="00293998"/>
    <w:rsid w:val="00293A33"/>
    <w:rsid w:val="00294459"/>
    <w:rsid w:val="0029793E"/>
    <w:rsid w:val="00297E24"/>
    <w:rsid w:val="002A090D"/>
    <w:rsid w:val="002A0C5B"/>
    <w:rsid w:val="002A0EF2"/>
    <w:rsid w:val="002A1341"/>
    <w:rsid w:val="002A260F"/>
    <w:rsid w:val="002A32AC"/>
    <w:rsid w:val="002A3703"/>
    <w:rsid w:val="002A442F"/>
    <w:rsid w:val="002A46FB"/>
    <w:rsid w:val="002A4811"/>
    <w:rsid w:val="002A489C"/>
    <w:rsid w:val="002A5076"/>
    <w:rsid w:val="002A54A9"/>
    <w:rsid w:val="002A6CDC"/>
    <w:rsid w:val="002B3C5F"/>
    <w:rsid w:val="002B4363"/>
    <w:rsid w:val="002B7049"/>
    <w:rsid w:val="002C5C3D"/>
    <w:rsid w:val="002C6825"/>
    <w:rsid w:val="002C7309"/>
    <w:rsid w:val="002C7F0B"/>
    <w:rsid w:val="002D2395"/>
    <w:rsid w:val="002D2A59"/>
    <w:rsid w:val="002D2B5F"/>
    <w:rsid w:val="002D5D5E"/>
    <w:rsid w:val="002D6614"/>
    <w:rsid w:val="002D73B6"/>
    <w:rsid w:val="002E0BE7"/>
    <w:rsid w:val="002E1B51"/>
    <w:rsid w:val="002E3FF6"/>
    <w:rsid w:val="002E4876"/>
    <w:rsid w:val="002E493C"/>
    <w:rsid w:val="002E4A1F"/>
    <w:rsid w:val="002E50D7"/>
    <w:rsid w:val="002E6314"/>
    <w:rsid w:val="002E6BA9"/>
    <w:rsid w:val="002E7A12"/>
    <w:rsid w:val="002E7EF4"/>
    <w:rsid w:val="002F1471"/>
    <w:rsid w:val="002F3A86"/>
    <w:rsid w:val="002F3AE7"/>
    <w:rsid w:val="002F483E"/>
    <w:rsid w:val="002F5C3A"/>
    <w:rsid w:val="002F6041"/>
    <w:rsid w:val="002F73C9"/>
    <w:rsid w:val="003004B9"/>
    <w:rsid w:val="003030DB"/>
    <w:rsid w:val="0030688D"/>
    <w:rsid w:val="0030736B"/>
    <w:rsid w:val="00307848"/>
    <w:rsid w:val="0031067F"/>
    <w:rsid w:val="003106A4"/>
    <w:rsid w:val="0031409A"/>
    <w:rsid w:val="003143AE"/>
    <w:rsid w:val="003149D0"/>
    <w:rsid w:val="00315D28"/>
    <w:rsid w:val="003179C2"/>
    <w:rsid w:val="00317BE7"/>
    <w:rsid w:val="003223FF"/>
    <w:rsid w:val="003226E4"/>
    <w:rsid w:val="003237D5"/>
    <w:rsid w:val="00324C74"/>
    <w:rsid w:val="00325234"/>
    <w:rsid w:val="003252F7"/>
    <w:rsid w:val="00325E14"/>
    <w:rsid w:val="0032798D"/>
    <w:rsid w:val="00327A37"/>
    <w:rsid w:val="00330753"/>
    <w:rsid w:val="00330E68"/>
    <w:rsid w:val="00331478"/>
    <w:rsid w:val="00331CE3"/>
    <w:rsid w:val="003326BC"/>
    <w:rsid w:val="00332E1B"/>
    <w:rsid w:val="00334E90"/>
    <w:rsid w:val="00334FD6"/>
    <w:rsid w:val="0033506C"/>
    <w:rsid w:val="00341A53"/>
    <w:rsid w:val="00342AFB"/>
    <w:rsid w:val="00342FE8"/>
    <w:rsid w:val="00343360"/>
    <w:rsid w:val="00345522"/>
    <w:rsid w:val="00346A39"/>
    <w:rsid w:val="00346DB1"/>
    <w:rsid w:val="003515BB"/>
    <w:rsid w:val="00352CF3"/>
    <w:rsid w:val="0035377F"/>
    <w:rsid w:val="00353FD9"/>
    <w:rsid w:val="003556B2"/>
    <w:rsid w:val="00357C97"/>
    <w:rsid w:val="003604A7"/>
    <w:rsid w:val="00360769"/>
    <w:rsid w:val="00361F04"/>
    <w:rsid w:val="00362B41"/>
    <w:rsid w:val="003631C5"/>
    <w:rsid w:val="00363260"/>
    <w:rsid w:val="00366DF8"/>
    <w:rsid w:val="00367784"/>
    <w:rsid w:val="00370282"/>
    <w:rsid w:val="003712E4"/>
    <w:rsid w:val="0037372D"/>
    <w:rsid w:val="00375DEC"/>
    <w:rsid w:val="003776F6"/>
    <w:rsid w:val="00377B58"/>
    <w:rsid w:val="00377D4F"/>
    <w:rsid w:val="0038032A"/>
    <w:rsid w:val="003807FB"/>
    <w:rsid w:val="003833DA"/>
    <w:rsid w:val="00383A91"/>
    <w:rsid w:val="003842A2"/>
    <w:rsid w:val="00385644"/>
    <w:rsid w:val="00385E81"/>
    <w:rsid w:val="00390D0A"/>
    <w:rsid w:val="00393A32"/>
    <w:rsid w:val="00394760"/>
    <w:rsid w:val="003955CD"/>
    <w:rsid w:val="0039739A"/>
    <w:rsid w:val="003A0DA0"/>
    <w:rsid w:val="003A2623"/>
    <w:rsid w:val="003A3C35"/>
    <w:rsid w:val="003A4769"/>
    <w:rsid w:val="003A67BC"/>
    <w:rsid w:val="003A6AB7"/>
    <w:rsid w:val="003B00AD"/>
    <w:rsid w:val="003B3B8E"/>
    <w:rsid w:val="003B3C01"/>
    <w:rsid w:val="003B6064"/>
    <w:rsid w:val="003B73EE"/>
    <w:rsid w:val="003C099E"/>
    <w:rsid w:val="003C4181"/>
    <w:rsid w:val="003C47EA"/>
    <w:rsid w:val="003D048F"/>
    <w:rsid w:val="003D1AC4"/>
    <w:rsid w:val="003D2C6D"/>
    <w:rsid w:val="003D2F04"/>
    <w:rsid w:val="003D5032"/>
    <w:rsid w:val="003D77FD"/>
    <w:rsid w:val="003E19E3"/>
    <w:rsid w:val="003E24B1"/>
    <w:rsid w:val="003E306F"/>
    <w:rsid w:val="003E47FE"/>
    <w:rsid w:val="003F08AF"/>
    <w:rsid w:val="003F0BD7"/>
    <w:rsid w:val="003F32AA"/>
    <w:rsid w:val="003F50F2"/>
    <w:rsid w:val="004002EA"/>
    <w:rsid w:val="00400BE5"/>
    <w:rsid w:val="00404364"/>
    <w:rsid w:val="00404B6E"/>
    <w:rsid w:val="00405632"/>
    <w:rsid w:val="00414B64"/>
    <w:rsid w:val="00415015"/>
    <w:rsid w:val="00415F33"/>
    <w:rsid w:val="00416968"/>
    <w:rsid w:val="00420130"/>
    <w:rsid w:val="00420887"/>
    <w:rsid w:val="004220E4"/>
    <w:rsid w:val="00422730"/>
    <w:rsid w:val="0042443A"/>
    <w:rsid w:val="004250BF"/>
    <w:rsid w:val="00426214"/>
    <w:rsid w:val="00431DAE"/>
    <w:rsid w:val="00433C55"/>
    <w:rsid w:val="0043471A"/>
    <w:rsid w:val="0043478A"/>
    <w:rsid w:val="004349A1"/>
    <w:rsid w:val="00435237"/>
    <w:rsid w:val="0043532E"/>
    <w:rsid w:val="0043682E"/>
    <w:rsid w:val="00436D2B"/>
    <w:rsid w:val="0044072F"/>
    <w:rsid w:val="00440916"/>
    <w:rsid w:val="004413E1"/>
    <w:rsid w:val="0044258F"/>
    <w:rsid w:val="00442BE5"/>
    <w:rsid w:val="00443999"/>
    <w:rsid w:val="00445805"/>
    <w:rsid w:val="00445A25"/>
    <w:rsid w:val="00447239"/>
    <w:rsid w:val="0044783A"/>
    <w:rsid w:val="0045044E"/>
    <w:rsid w:val="004510D9"/>
    <w:rsid w:val="00451646"/>
    <w:rsid w:val="00452BC6"/>
    <w:rsid w:val="004549B4"/>
    <w:rsid w:val="004550F6"/>
    <w:rsid w:val="00455927"/>
    <w:rsid w:val="004570C5"/>
    <w:rsid w:val="00460537"/>
    <w:rsid w:val="0046135C"/>
    <w:rsid w:val="00462458"/>
    <w:rsid w:val="00462EDC"/>
    <w:rsid w:val="00463078"/>
    <w:rsid w:val="00465D1A"/>
    <w:rsid w:val="00466896"/>
    <w:rsid w:val="00466F81"/>
    <w:rsid w:val="00467AB3"/>
    <w:rsid w:val="0047053B"/>
    <w:rsid w:val="00473AE4"/>
    <w:rsid w:val="0047446C"/>
    <w:rsid w:val="004746D0"/>
    <w:rsid w:val="00477691"/>
    <w:rsid w:val="004806B5"/>
    <w:rsid w:val="00481B42"/>
    <w:rsid w:val="00483C63"/>
    <w:rsid w:val="0048405E"/>
    <w:rsid w:val="00487EF0"/>
    <w:rsid w:val="00490B84"/>
    <w:rsid w:val="004922D6"/>
    <w:rsid w:val="004928CF"/>
    <w:rsid w:val="00493A2C"/>
    <w:rsid w:val="00494661"/>
    <w:rsid w:val="0049660A"/>
    <w:rsid w:val="00496BA7"/>
    <w:rsid w:val="00497FA6"/>
    <w:rsid w:val="004A1016"/>
    <w:rsid w:val="004A1138"/>
    <w:rsid w:val="004A1285"/>
    <w:rsid w:val="004A1539"/>
    <w:rsid w:val="004A1640"/>
    <w:rsid w:val="004A4616"/>
    <w:rsid w:val="004B0546"/>
    <w:rsid w:val="004B15F0"/>
    <w:rsid w:val="004B26FF"/>
    <w:rsid w:val="004B4794"/>
    <w:rsid w:val="004B5123"/>
    <w:rsid w:val="004B5A42"/>
    <w:rsid w:val="004B6C38"/>
    <w:rsid w:val="004C2E83"/>
    <w:rsid w:val="004C3D07"/>
    <w:rsid w:val="004C478C"/>
    <w:rsid w:val="004C536E"/>
    <w:rsid w:val="004C567C"/>
    <w:rsid w:val="004C65F9"/>
    <w:rsid w:val="004C6842"/>
    <w:rsid w:val="004C6C16"/>
    <w:rsid w:val="004C7702"/>
    <w:rsid w:val="004C7874"/>
    <w:rsid w:val="004D1AEE"/>
    <w:rsid w:val="004D29A1"/>
    <w:rsid w:val="004D346F"/>
    <w:rsid w:val="004D6283"/>
    <w:rsid w:val="004D6961"/>
    <w:rsid w:val="004D7C36"/>
    <w:rsid w:val="004E15DE"/>
    <w:rsid w:val="004E3D53"/>
    <w:rsid w:val="004E430B"/>
    <w:rsid w:val="004E6746"/>
    <w:rsid w:val="004E6971"/>
    <w:rsid w:val="004E69FF"/>
    <w:rsid w:val="004E7519"/>
    <w:rsid w:val="004E75B0"/>
    <w:rsid w:val="004F0837"/>
    <w:rsid w:val="004F0BF5"/>
    <w:rsid w:val="004F3844"/>
    <w:rsid w:val="004F4BA0"/>
    <w:rsid w:val="004F5BFE"/>
    <w:rsid w:val="004F6A1B"/>
    <w:rsid w:val="0050030F"/>
    <w:rsid w:val="00501DEE"/>
    <w:rsid w:val="00502440"/>
    <w:rsid w:val="00502E63"/>
    <w:rsid w:val="00502E99"/>
    <w:rsid w:val="00506FC4"/>
    <w:rsid w:val="00507553"/>
    <w:rsid w:val="00511AF0"/>
    <w:rsid w:val="00511E0F"/>
    <w:rsid w:val="00513B54"/>
    <w:rsid w:val="00514D9B"/>
    <w:rsid w:val="00514E83"/>
    <w:rsid w:val="005158F5"/>
    <w:rsid w:val="0051653A"/>
    <w:rsid w:val="00517639"/>
    <w:rsid w:val="00520DCB"/>
    <w:rsid w:val="005236C4"/>
    <w:rsid w:val="005244C3"/>
    <w:rsid w:val="00526A01"/>
    <w:rsid w:val="00526A86"/>
    <w:rsid w:val="00530FC1"/>
    <w:rsid w:val="00531294"/>
    <w:rsid w:val="005320B1"/>
    <w:rsid w:val="005328F0"/>
    <w:rsid w:val="005332B8"/>
    <w:rsid w:val="00535007"/>
    <w:rsid w:val="005356D7"/>
    <w:rsid w:val="00536175"/>
    <w:rsid w:val="00536F94"/>
    <w:rsid w:val="0054108D"/>
    <w:rsid w:val="005468FC"/>
    <w:rsid w:val="00551695"/>
    <w:rsid w:val="005517C7"/>
    <w:rsid w:val="00553A27"/>
    <w:rsid w:val="00553C74"/>
    <w:rsid w:val="005547BF"/>
    <w:rsid w:val="005549DA"/>
    <w:rsid w:val="00555BE7"/>
    <w:rsid w:val="0055692D"/>
    <w:rsid w:val="00556CDA"/>
    <w:rsid w:val="00557150"/>
    <w:rsid w:val="0055748A"/>
    <w:rsid w:val="00560053"/>
    <w:rsid w:val="00562A4A"/>
    <w:rsid w:val="00562F11"/>
    <w:rsid w:val="005640D0"/>
    <w:rsid w:val="005662C7"/>
    <w:rsid w:val="00567E0E"/>
    <w:rsid w:val="00571E69"/>
    <w:rsid w:val="00573485"/>
    <w:rsid w:val="00574954"/>
    <w:rsid w:val="00574B7C"/>
    <w:rsid w:val="00574F63"/>
    <w:rsid w:val="00575D97"/>
    <w:rsid w:val="0057605C"/>
    <w:rsid w:val="00581666"/>
    <w:rsid w:val="00583B7C"/>
    <w:rsid w:val="00584A7E"/>
    <w:rsid w:val="00586706"/>
    <w:rsid w:val="00586FC2"/>
    <w:rsid w:val="005916B5"/>
    <w:rsid w:val="00592FED"/>
    <w:rsid w:val="005934E7"/>
    <w:rsid w:val="005A1E85"/>
    <w:rsid w:val="005A2361"/>
    <w:rsid w:val="005A2EB2"/>
    <w:rsid w:val="005A44CD"/>
    <w:rsid w:val="005A5021"/>
    <w:rsid w:val="005A57E7"/>
    <w:rsid w:val="005A6F5A"/>
    <w:rsid w:val="005A725B"/>
    <w:rsid w:val="005A7CF1"/>
    <w:rsid w:val="005A7E7D"/>
    <w:rsid w:val="005B1514"/>
    <w:rsid w:val="005B27AC"/>
    <w:rsid w:val="005B2F21"/>
    <w:rsid w:val="005B3234"/>
    <w:rsid w:val="005B371D"/>
    <w:rsid w:val="005B6900"/>
    <w:rsid w:val="005B72CF"/>
    <w:rsid w:val="005C0D7A"/>
    <w:rsid w:val="005C120E"/>
    <w:rsid w:val="005C136D"/>
    <w:rsid w:val="005C265B"/>
    <w:rsid w:val="005C5056"/>
    <w:rsid w:val="005C57BC"/>
    <w:rsid w:val="005C58D6"/>
    <w:rsid w:val="005C74A1"/>
    <w:rsid w:val="005C76B6"/>
    <w:rsid w:val="005D23FE"/>
    <w:rsid w:val="005D4F64"/>
    <w:rsid w:val="005D5BB7"/>
    <w:rsid w:val="005D6EFA"/>
    <w:rsid w:val="005D7B91"/>
    <w:rsid w:val="005D7BEE"/>
    <w:rsid w:val="005D7E20"/>
    <w:rsid w:val="005D7F9B"/>
    <w:rsid w:val="005E063E"/>
    <w:rsid w:val="005E0B83"/>
    <w:rsid w:val="005E16B1"/>
    <w:rsid w:val="005E382A"/>
    <w:rsid w:val="005E493F"/>
    <w:rsid w:val="005E4D9E"/>
    <w:rsid w:val="005E5910"/>
    <w:rsid w:val="005E6325"/>
    <w:rsid w:val="005E695F"/>
    <w:rsid w:val="005E6CCA"/>
    <w:rsid w:val="005E78E6"/>
    <w:rsid w:val="005F0868"/>
    <w:rsid w:val="005F0DBF"/>
    <w:rsid w:val="005F11D1"/>
    <w:rsid w:val="005F1C0F"/>
    <w:rsid w:val="005F1E96"/>
    <w:rsid w:val="005F2506"/>
    <w:rsid w:val="005F433E"/>
    <w:rsid w:val="005F4D43"/>
    <w:rsid w:val="005F6BEC"/>
    <w:rsid w:val="00601D7F"/>
    <w:rsid w:val="00602180"/>
    <w:rsid w:val="006034E1"/>
    <w:rsid w:val="006039AA"/>
    <w:rsid w:val="00604244"/>
    <w:rsid w:val="006074DE"/>
    <w:rsid w:val="00607C6B"/>
    <w:rsid w:val="0061407B"/>
    <w:rsid w:val="006146C8"/>
    <w:rsid w:val="00614C07"/>
    <w:rsid w:val="00615EF4"/>
    <w:rsid w:val="00616598"/>
    <w:rsid w:val="006178D5"/>
    <w:rsid w:val="00617AEA"/>
    <w:rsid w:val="006216B8"/>
    <w:rsid w:val="00622480"/>
    <w:rsid w:val="00623DEE"/>
    <w:rsid w:val="0062655C"/>
    <w:rsid w:val="00630213"/>
    <w:rsid w:val="006302FE"/>
    <w:rsid w:val="00633523"/>
    <w:rsid w:val="006338C8"/>
    <w:rsid w:val="006361B6"/>
    <w:rsid w:val="006366C8"/>
    <w:rsid w:val="00637C2E"/>
    <w:rsid w:val="00637DB6"/>
    <w:rsid w:val="00642DE4"/>
    <w:rsid w:val="00644A16"/>
    <w:rsid w:val="00644C8F"/>
    <w:rsid w:val="00644D6B"/>
    <w:rsid w:val="0064566A"/>
    <w:rsid w:val="00645769"/>
    <w:rsid w:val="00647D58"/>
    <w:rsid w:val="00652756"/>
    <w:rsid w:val="006530FC"/>
    <w:rsid w:val="006536EC"/>
    <w:rsid w:val="00653B52"/>
    <w:rsid w:val="00654E51"/>
    <w:rsid w:val="006560BC"/>
    <w:rsid w:val="006565DC"/>
    <w:rsid w:val="006568CF"/>
    <w:rsid w:val="00656E76"/>
    <w:rsid w:val="00657251"/>
    <w:rsid w:val="00660F60"/>
    <w:rsid w:val="00663897"/>
    <w:rsid w:val="0066662A"/>
    <w:rsid w:val="00670E83"/>
    <w:rsid w:val="0067126D"/>
    <w:rsid w:val="006731DA"/>
    <w:rsid w:val="00675843"/>
    <w:rsid w:val="006769D5"/>
    <w:rsid w:val="0067787E"/>
    <w:rsid w:val="00677F12"/>
    <w:rsid w:val="006823D5"/>
    <w:rsid w:val="00683219"/>
    <w:rsid w:val="00684CED"/>
    <w:rsid w:val="00684F73"/>
    <w:rsid w:val="0068544C"/>
    <w:rsid w:val="00686048"/>
    <w:rsid w:val="00686B56"/>
    <w:rsid w:val="0069003B"/>
    <w:rsid w:val="00690066"/>
    <w:rsid w:val="006903F4"/>
    <w:rsid w:val="006911F7"/>
    <w:rsid w:val="006916E5"/>
    <w:rsid w:val="006917BD"/>
    <w:rsid w:val="00692FF1"/>
    <w:rsid w:val="00693731"/>
    <w:rsid w:val="00693DED"/>
    <w:rsid w:val="00693F1F"/>
    <w:rsid w:val="00694853"/>
    <w:rsid w:val="00695F8D"/>
    <w:rsid w:val="006A7452"/>
    <w:rsid w:val="006B019B"/>
    <w:rsid w:val="006B03D5"/>
    <w:rsid w:val="006B13B7"/>
    <w:rsid w:val="006B1837"/>
    <w:rsid w:val="006B1A05"/>
    <w:rsid w:val="006B4049"/>
    <w:rsid w:val="006B5DD5"/>
    <w:rsid w:val="006C10FA"/>
    <w:rsid w:val="006C7889"/>
    <w:rsid w:val="006C78CD"/>
    <w:rsid w:val="006C7CD2"/>
    <w:rsid w:val="006D06CB"/>
    <w:rsid w:val="006D0CC3"/>
    <w:rsid w:val="006D5C07"/>
    <w:rsid w:val="006D71C4"/>
    <w:rsid w:val="006D7DCA"/>
    <w:rsid w:val="006E0CDA"/>
    <w:rsid w:val="006E0D08"/>
    <w:rsid w:val="006E1C2D"/>
    <w:rsid w:val="006E22FF"/>
    <w:rsid w:val="006E24AB"/>
    <w:rsid w:val="006E3600"/>
    <w:rsid w:val="006F0788"/>
    <w:rsid w:val="006F2E55"/>
    <w:rsid w:val="006F3FC2"/>
    <w:rsid w:val="006F4497"/>
    <w:rsid w:val="006F4A24"/>
    <w:rsid w:val="006F4D12"/>
    <w:rsid w:val="006F5703"/>
    <w:rsid w:val="006F5BFA"/>
    <w:rsid w:val="006F6317"/>
    <w:rsid w:val="00702593"/>
    <w:rsid w:val="007031F4"/>
    <w:rsid w:val="00703D66"/>
    <w:rsid w:val="007054E1"/>
    <w:rsid w:val="00705E72"/>
    <w:rsid w:val="00714902"/>
    <w:rsid w:val="00721C8E"/>
    <w:rsid w:val="0072264D"/>
    <w:rsid w:val="00723114"/>
    <w:rsid w:val="0072335B"/>
    <w:rsid w:val="00723B39"/>
    <w:rsid w:val="0072426F"/>
    <w:rsid w:val="00724A1F"/>
    <w:rsid w:val="0072533E"/>
    <w:rsid w:val="00725F8E"/>
    <w:rsid w:val="00730088"/>
    <w:rsid w:val="007301E3"/>
    <w:rsid w:val="00732692"/>
    <w:rsid w:val="0073368D"/>
    <w:rsid w:val="00734651"/>
    <w:rsid w:val="0073472A"/>
    <w:rsid w:val="00736C62"/>
    <w:rsid w:val="007378E5"/>
    <w:rsid w:val="00740B1C"/>
    <w:rsid w:val="00744B37"/>
    <w:rsid w:val="00744F93"/>
    <w:rsid w:val="00746811"/>
    <w:rsid w:val="00747BF5"/>
    <w:rsid w:val="0075328F"/>
    <w:rsid w:val="00755D00"/>
    <w:rsid w:val="0075627F"/>
    <w:rsid w:val="00757341"/>
    <w:rsid w:val="0076063C"/>
    <w:rsid w:val="0076087B"/>
    <w:rsid w:val="007621F2"/>
    <w:rsid w:val="0076228F"/>
    <w:rsid w:val="007627EE"/>
    <w:rsid w:val="00762F52"/>
    <w:rsid w:val="00763356"/>
    <w:rsid w:val="00763461"/>
    <w:rsid w:val="00763F44"/>
    <w:rsid w:val="007679EC"/>
    <w:rsid w:val="007734D3"/>
    <w:rsid w:val="00773643"/>
    <w:rsid w:val="007802FC"/>
    <w:rsid w:val="007810C1"/>
    <w:rsid w:val="00781F71"/>
    <w:rsid w:val="00782979"/>
    <w:rsid w:val="00783470"/>
    <w:rsid w:val="007865CA"/>
    <w:rsid w:val="00792303"/>
    <w:rsid w:val="007940C5"/>
    <w:rsid w:val="00795269"/>
    <w:rsid w:val="007A29EC"/>
    <w:rsid w:val="007A2AB0"/>
    <w:rsid w:val="007A3906"/>
    <w:rsid w:val="007A50D6"/>
    <w:rsid w:val="007A518D"/>
    <w:rsid w:val="007A6281"/>
    <w:rsid w:val="007B1332"/>
    <w:rsid w:val="007B263F"/>
    <w:rsid w:val="007B3303"/>
    <w:rsid w:val="007B3E8C"/>
    <w:rsid w:val="007B7311"/>
    <w:rsid w:val="007B7639"/>
    <w:rsid w:val="007B7D38"/>
    <w:rsid w:val="007C00AD"/>
    <w:rsid w:val="007C08C7"/>
    <w:rsid w:val="007C1551"/>
    <w:rsid w:val="007C3A06"/>
    <w:rsid w:val="007C3DB8"/>
    <w:rsid w:val="007C47C0"/>
    <w:rsid w:val="007D2DCE"/>
    <w:rsid w:val="007D4BDD"/>
    <w:rsid w:val="007D6B12"/>
    <w:rsid w:val="007E0F1C"/>
    <w:rsid w:val="007E35FE"/>
    <w:rsid w:val="007E3BFA"/>
    <w:rsid w:val="007E5089"/>
    <w:rsid w:val="007E51B7"/>
    <w:rsid w:val="007E5788"/>
    <w:rsid w:val="007E75A9"/>
    <w:rsid w:val="007F47DC"/>
    <w:rsid w:val="007F71F4"/>
    <w:rsid w:val="008008A0"/>
    <w:rsid w:val="00804057"/>
    <w:rsid w:val="0080482F"/>
    <w:rsid w:val="00804C43"/>
    <w:rsid w:val="00805BFD"/>
    <w:rsid w:val="00806EE6"/>
    <w:rsid w:val="0080785A"/>
    <w:rsid w:val="00811BC8"/>
    <w:rsid w:val="008148B4"/>
    <w:rsid w:val="008158CB"/>
    <w:rsid w:val="00817366"/>
    <w:rsid w:val="00822789"/>
    <w:rsid w:val="008229D2"/>
    <w:rsid w:val="00823406"/>
    <w:rsid w:val="0082391E"/>
    <w:rsid w:val="0082495F"/>
    <w:rsid w:val="008275A3"/>
    <w:rsid w:val="008313C0"/>
    <w:rsid w:val="0083299D"/>
    <w:rsid w:val="00832E09"/>
    <w:rsid w:val="00833A4B"/>
    <w:rsid w:val="008346A0"/>
    <w:rsid w:val="0083792B"/>
    <w:rsid w:val="008409CB"/>
    <w:rsid w:val="0084163C"/>
    <w:rsid w:val="00841E1B"/>
    <w:rsid w:val="008425B9"/>
    <w:rsid w:val="00843E7A"/>
    <w:rsid w:val="00845078"/>
    <w:rsid w:val="00845254"/>
    <w:rsid w:val="008462AC"/>
    <w:rsid w:val="00847DE4"/>
    <w:rsid w:val="0085262B"/>
    <w:rsid w:val="00853DC2"/>
    <w:rsid w:val="00854BA7"/>
    <w:rsid w:val="008562DE"/>
    <w:rsid w:val="00856555"/>
    <w:rsid w:val="00857061"/>
    <w:rsid w:val="00861103"/>
    <w:rsid w:val="008619E6"/>
    <w:rsid w:val="00861B57"/>
    <w:rsid w:val="00862146"/>
    <w:rsid w:val="0086276E"/>
    <w:rsid w:val="00863FD8"/>
    <w:rsid w:val="008653D2"/>
    <w:rsid w:val="0087253C"/>
    <w:rsid w:val="00873CE5"/>
    <w:rsid w:val="00874D53"/>
    <w:rsid w:val="00875F61"/>
    <w:rsid w:val="0087725B"/>
    <w:rsid w:val="00877A4C"/>
    <w:rsid w:val="008815A0"/>
    <w:rsid w:val="00883807"/>
    <w:rsid w:val="00884AC2"/>
    <w:rsid w:val="00884CAF"/>
    <w:rsid w:val="00885888"/>
    <w:rsid w:val="00886423"/>
    <w:rsid w:val="0089152D"/>
    <w:rsid w:val="00891E6E"/>
    <w:rsid w:val="00892586"/>
    <w:rsid w:val="008927BF"/>
    <w:rsid w:val="00892EBD"/>
    <w:rsid w:val="00893822"/>
    <w:rsid w:val="00894463"/>
    <w:rsid w:val="008956A4"/>
    <w:rsid w:val="00896844"/>
    <w:rsid w:val="00897216"/>
    <w:rsid w:val="00897C33"/>
    <w:rsid w:val="00897DF6"/>
    <w:rsid w:val="008A2B9F"/>
    <w:rsid w:val="008A2DE4"/>
    <w:rsid w:val="008A3207"/>
    <w:rsid w:val="008A381A"/>
    <w:rsid w:val="008A454C"/>
    <w:rsid w:val="008A7EDD"/>
    <w:rsid w:val="008A7F45"/>
    <w:rsid w:val="008B0A2F"/>
    <w:rsid w:val="008B2334"/>
    <w:rsid w:val="008B3D80"/>
    <w:rsid w:val="008B461B"/>
    <w:rsid w:val="008B64A7"/>
    <w:rsid w:val="008B6996"/>
    <w:rsid w:val="008B6AEB"/>
    <w:rsid w:val="008B7B54"/>
    <w:rsid w:val="008C186B"/>
    <w:rsid w:val="008C288B"/>
    <w:rsid w:val="008C3AF7"/>
    <w:rsid w:val="008C75CC"/>
    <w:rsid w:val="008D0575"/>
    <w:rsid w:val="008D0C9E"/>
    <w:rsid w:val="008D1129"/>
    <w:rsid w:val="008D259E"/>
    <w:rsid w:val="008D35C4"/>
    <w:rsid w:val="008D4E77"/>
    <w:rsid w:val="008D5106"/>
    <w:rsid w:val="008D5C17"/>
    <w:rsid w:val="008D6DE2"/>
    <w:rsid w:val="008E3DB5"/>
    <w:rsid w:val="008E4E23"/>
    <w:rsid w:val="008E7BC4"/>
    <w:rsid w:val="008F02D6"/>
    <w:rsid w:val="008F1C59"/>
    <w:rsid w:val="008F2449"/>
    <w:rsid w:val="008F2E25"/>
    <w:rsid w:val="008F6183"/>
    <w:rsid w:val="0090108A"/>
    <w:rsid w:val="00901329"/>
    <w:rsid w:val="00901C59"/>
    <w:rsid w:val="00902637"/>
    <w:rsid w:val="00902A4A"/>
    <w:rsid w:val="00902F72"/>
    <w:rsid w:val="0090442D"/>
    <w:rsid w:val="00907639"/>
    <w:rsid w:val="00907E3D"/>
    <w:rsid w:val="00910F2F"/>
    <w:rsid w:val="00912104"/>
    <w:rsid w:val="00913A54"/>
    <w:rsid w:val="0091621F"/>
    <w:rsid w:val="00916C03"/>
    <w:rsid w:val="00920ADB"/>
    <w:rsid w:val="00920BCE"/>
    <w:rsid w:val="00921619"/>
    <w:rsid w:val="0092240F"/>
    <w:rsid w:val="0092357F"/>
    <w:rsid w:val="0092632E"/>
    <w:rsid w:val="009276F3"/>
    <w:rsid w:val="009310E1"/>
    <w:rsid w:val="00931705"/>
    <w:rsid w:val="00931FD7"/>
    <w:rsid w:val="00932B09"/>
    <w:rsid w:val="00932DED"/>
    <w:rsid w:val="00937184"/>
    <w:rsid w:val="00937DC7"/>
    <w:rsid w:val="0094099B"/>
    <w:rsid w:val="00942B19"/>
    <w:rsid w:val="00942CE5"/>
    <w:rsid w:val="009442CC"/>
    <w:rsid w:val="009448D7"/>
    <w:rsid w:val="00945C2A"/>
    <w:rsid w:val="0094615C"/>
    <w:rsid w:val="00946C13"/>
    <w:rsid w:val="00947F50"/>
    <w:rsid w:val="00953AEB"/>
    <w:rsid w:val="0095548A"/>
    <w:rsid w:val="00956E56"/>
    <w:rsid w:val="009573BB"/>
    <w:rsid w:val="0095774A"/>
    <w:rsid w:val="00957A50"/>
    <w:rsid w:val="00960D04"/>
    <w:rsid w:val="009625D2"/>
    <w:rsid w:val="00962C40"/>
    <w:rsid w:val="00964354"/>
    <w:rsid w:val="009644EE"/>
    <w:rsid w:val="0096470B"/>
    <w:rsid w:val="009777F0"/>
    <w:rsid w:val="00980F0F"/>
    <w:rsid w:val="00981613"/>
    <w:rsid w:val="009818E5"/>
    <w:rsid w:val="00982BCD"/>
    <w:rsid w:val="009832A9"/>
    <w:rsid w:val="009847F6"/>
    <w:rsid w:val="00984E3D"/>
    <w:rsid w:val="00985465"/>
    <w:rsid w:val="009855F2"/>
    <w:rsid w:val="009869BB"/>
    <w:rsid w:val="009910E9"/>
    <w:rsid w:val="00991C18"/>
    <w:rsid w:val="009923FB"/>
    <w:rsid w:val="00992A11"/>
    <w:rsid w:val="009930D7"/>
    <w:rsid w:val="00993946"/>
    <w:rsid w:val="009944F8"/>
    <w:rsid w:val="00994CA9"/>
    <w:rsid w:val="00995DAF"/>
    <w:rsid w:val="00997C0A"/>
    <w:rsid w:val="009A15EC"/>
    <w:rsid w:val="009A496D"/>
    <w:rsid w:val="009A5C2C"/>
    <w:rsid w:val="009A6558"/>
    <w:rsid w:val="009B078F"/>
    <w:rsid w:val="009B134C"/>
    <w:rsid w:val="009B3651"/>
    <w:rsid w:val="009B42E1"/>
    <w:rsid w:val="009B43C1"/>
    <w:rsid w:val="009B4DE9"/>
    <w:rsid w:val="009B58E3"/>
    <w:rsid w:val="009B5E69"/>
    <w:rsid w:val="009B7CEE"/>
    <w:rsid w:val="009C0CCC"/>
    <w:rsid w:val="009C12F7"/>
    <w:rsid w:val="009C138E"/>
    <w:rsid w:val="009C1E07"/>
    <w:rsid w:val="009C20DE"/>
    <w:rsid w:val="009C5368"/>
    <w:rsid w:val="009C5899"/>
    <w:rsid w:val="009C72D7"/>
    <w:rsid w:val="009C76F7"/>
    <w:rsid w:val="009D09DB"/>
    <w:rsid w:val="009D562D"/>
    <w:rsid w:val="009D56AB"/>
    <w:rsid w:val="009D5F7A"/>
    <w:rsid w:val="009D726D"/>
    <w:rsid w:val="009E0B31"/>
    <w:rsid w:val="009E2757"/>
    <w:rsid w:val="009E3DD5"/>
    <w:rsid w:val="009E4B8E"/>
    <w:rsid w:val="009E6E05"/>
    <w:rsid w:val="009F1E68"/>
    <w:rsid w:val="009F3C8A"/>
    <w:rsid w:val="009F40AC"/>
    <w:rsid w:val="009F4F6D"/>
    <w:rsid w:val="009F5001"/>
    <w:rsid w:val="009F65E0"/>
    <w:rsid w:val="00A01E63"/>
    <w:rsid w:val="00A03D3D"/>
    <w:rsid w:val="00A05823"/>
    <w:rsid w:val="00A069D7"/>
    <w:rsid w:val="00A07D95"/>
    <w:rsid w:val="00A103EE"/>
    <w:rsid w:val="00A1149A"/>
    <w:rsid w:val="00A13B6A"/>
    <w:rsid w:val="00A14788"/>
    <w:rsid w:val="00A14FCF"/>
    <w:rsid w:val="00A15878"/>
    <w:rsid w:val="00A1603A"/>
    <w:rsid w:val="00A20177"/>
    <w:rsid w:val="00A24DBD"/>
    <w:rsid w:val="00A24E3A"/>
    <w:rsid w:val="00A25283"/>
    <w:rsid w:val="00A32461"/>
    <w:rsid w:val="00A328F4"/>
    <w:rsid w:val="00A34A3A"/>
    <w:rsid w:val="00A36581"/>
    <w:rsid w:val="00A366EC"/>
    <w:rsid w:val="00A370AC"/>
    <w:rsid w:val="00A41BEA"/>
    <w:rsid w:val="00A4372A"/>
    <w:rsid w:val="00A4512D"/>
    <w:rsid w:val="00A45AA3"/>
    <w:rsid w:val="00A46854"/>
    <w:rsid w:val="00A521FE"/>
    <w:rsid w:val="00A53F2D"/>
    <w:rsid w:val="00A56500"/>
    <w:rsid w:val="00A574AC"/>
    <w:rsid w:val="00A60CFF"/>
    <w:rsid w:val="00A62443"/>
    <w:rsid w:val="00A63A2B"/>
    <w:rsid w:val="00A640D1"/>
    <w:rsid w:val="00A65BB6"/>
    <w:rsid w:val="00A65CAC"/>
    <w:rsid w:val="00A661DD"/>
    <w:rsid w:val="00A669D1"/>
    <w:rsid w:val="00A7027A"/>
    <w:rsid w:val="00A72501"/>
    <w:rsid w:val="00A74318"/>
    <w:rsid w:val="00A76042"/>
    <w:rsid w:val="00A825ED"/>
    <w:rsid w:val="00A82D2B"/>
    <w:rsid w:val="00A836E0"/>
    <w:rsid w:val="00A83FD1"/>
    <w:rsid w:val="00A846F3"/>
    <w:rsid w:val="00A84E35"/>
    <w:rsid w:val="00A85D85"/>
    <w:rsid w:val="00A86335"/>
    <w:rsid w:val="00A90F4B"/>
    <w:rsid w:val="00A91621"/>
    <w:rsid w:val="00A93C36"/>
    <w:rsid w:val="00A96D3E"/>
    <w:rsid w:val="00A97C17"/>
    <w:rsid w:val="00AA1AF3"/>
    <w:rsid w:val="00AA4260"/>
    <w:rsid w:val="00AA4FFE"/>
    <w:rsid w:val="00AA6480"/>
    <w:rsid w:val="00AA6822"/>
    <w:rsid w:val="00AA74CB"/>
    <w:rsid w:val="00AA74DE"/>
    <w:rsid w:val="00AB007D"/>
    <w:rsid w:val="00AB2118"/>
    <w:rsid w:val="00AB29F1"/>
    <w:rsid w:val="00AB3657"/>
    <w:rsid w:val="00AB386F"/>
    <w:rsid w:val="00AB43E6"/>
    <w:rsid w:val="00AB466F"/>
    <w:rsid w:val="00AB54D3"/>
    <w:rsid w:val="00AB5794"/>
    <w:rsid w:val="00AB5986"/>
    <w:rsid w:val="00AB6134"/>
    <w:rsid w:val="00AB7A1E"/>
    <w:rsid w:val="00AB7A47"/>
    <w:rsid w:val="00AB7B56"/>
    <w:rsid w:val="00AC1C5A"/>
    <w:rsid w:val="00AC2517"/>
    <w:rsid w:val="00AC35A6"/>
    <w:rsid w:val="00AC3C7A"/>
    <w:rsid w:val="00AC3DD2"/>
    <w:rsid w:val="00AC42A1"/>
    <w:rsid w:val="00AC789A"/>
    <w:rsid w:val="00AC7E25"/>
    <w:rsid w:val="00AD130B"/>
    <w:rsid w:val="00AD1497"/>
    <w:rsid w:val="00AD17C0"/>
    <w:rsid w:val="00AD1893"/>
    <w:rsid w:val="00AD1952"/>
    <w:rsid w:val="00AD22E7"/>
    <w:rsid w:val="00AD42EC"/>
    <w:rsid w:val="00AD44F8"/>
    <w:rsid w:val="00AD5980"/>
    <w:rsid w:val="00AD655E"/>
    <w:rsid w:val="00AD6D8E"/>
    <w:rsid w:val="00AD74AA"/>
    <w:rsid w:val="00AE2008"/>
    <w:rsid w:val="00AE34FF"/>
    <w:rsid w:val="00AE457B"/>
    <w:rsid w:val="00AE4833"/>
    <w:rsid w:val="00AE5802"/>
    <w:rsid w:val="00AF097C"/>
    <w:rsid w:val="00AF1135"/>
    <w:rsid w:val="00AF28DE"/>
    <w:rsid w:val="00AF3153"/>
    <w:rsid w:val="00AF4C27"/>
    <w:rsid w:val="00AF4FD8"/>
    <w:rsid w:val="00AF6293"/>
    <w:rsid w:val="00AF7137"/>
    <w:rsid w:val="00B0023C"/>
    <w:rsid w:val="00B013FF"/>
    <w:rsid w:val="00B022B6"/>
    <w:rsid w:val="00B04B20"/>
    <w:rsid w:val="00B07DEC"/>
    <w:rsid w:val="00B11D81"/>
    <w:rsid w:val="00B124EC"/>
    <w:rsid w:val="00B1255B"/>
    <w:rsid w:val="00B13F17"/>
    <w:rsid w:val="00B14BA5"/>
    <w:rsid w:val="00B150D8"/>
    <w:rsid w:val="00B1693D"/>
    <w:rsid w:val="00B17697"/>
    <w:rsid w:val="00B17D97"/>
    <w:rsid w:val="00B17F7C"/>
    <w:rsid w:val="00B205D5"/>
    <w:rsid w:val="00B234B7"/>
    <w:rsid w:val="00B238F1"/>
    <w:rsid w:val="00B23AB7"/>
    <w:rsid w:val="00B24016"/>
    <w:rsid w:val="00B3167E"/>
    <w:rsid w:val="00B350C7"/>
    <w:rsid w:val="00B36B72"/>
    <w:rsid w:val="00B36F0C"/>
    <w:rsid w:val="00B37706"/>
    <w:rsid w:val="00B401A7"/>
    <w:rsid w:val="00B40CDD"/>
    <w:rsid w:val="00B41FE4"/>
    <w:rsid w:val="00B43623"/>
    <w:rsid w:val="00B439F9"/>
    <w:rsid w:val="00B44398"/>
    <w:rsid w:val="00B4506C"/>
    <w:rsid w:val="00B46BEB"/>
    <w:rsid w:val="00B5453C"/>
    <w:rsid w:val="00B54A57"/>
    <w:rsid w:val="00B56219"/>
    <w:rsid w:val="00B56991"/>
    <w:rsid w:val="00B56A9F"/>
    <w:rsid w:val="00B630B5"/>
    <w:rsid w:val="00B630B9"/>
    <w:rsid w:val="00B70977"/>
    <w:rsid w:val="00B728A5"/>
    <w:rsid w:val="00B750E4"/>
    <w:rsid w:val="00B77636"/>
    <w:rsid w:val="00B776CD"/>
    <w:rsid w:val="00B827D4"/>
    <w:rsid w:val="00B83DF3"/>
    <w:rsid w:val="00B853D0"/>
    <w:rsid w:val="00B86214"/>
    <w:rsid w:val="00B865FC"/>
    <w:rsid w:val="00B87979"/>
    <w:rsid w:val="00B91C4A"/>
    <w:rsid w:val="00B93A65"/>
    <w:rsid w:val="00B93FDB"/>
    <w:rsid w:val="00B947A5"/>
    <w:rsid w:val="00B94E82"/>
    <w:rsid w:val="00B9584A"/>
    <w:rsid w:val="00B96A46"/>
    <w:rsid w:val="00B97C0C"/>
    <w:rsid w:val="00BA0020"/>
    <w:rsid w:val="00BA0878"/>
    <w:rsid w:val="00BA20A3"/>
    <w:rsid w:val="00BA3028"/>
    <w:rsid w:val="00BA4614"/>
    <w:rsid w:val="00BA6F75"/>
    <w:rsid w:val="00BA6FC1"/>
    <w:rsid w:val="00BB03D5"/>
    <w:rsid w:val="00BB1251"/>
    <w:rsid w:val="00BB1824"/>
    <w:rsid w:val="00BB3160"/>
    <w:rsid w:val="00BB58A9"/>
    <w:rsid w:val="00BB72B2"/>
    <w:rsid w:val="00BB7F13"/>
    <w:rsid w:val="00BC056E"/>
    <w:rsid w:val="00BC0E59"/>
    <w:rsid w:val="00BC1816"/>
    <w:rsid w:val="00BC20E4"/>
    <w:rsid w:val="00BC2AB7"/>
    <w:rsid w:val="00BC2B11"/>
    <w:rsid w:val="00BC4C58"/>
    <w:rsid w:val="00BC4F9E"/>
    <w:rsid w:val="00BC55C3"/>
    <w:rsid w:val="00BC5CAE"/>
    <w:rsid w:val="00BD02FC"/>
    <w:rsid w:val="00BD14B4"/>
    <w:rsid w:val="00BD2790"/>
    <w:rsid w:val="00BD5DA9"/>
    <w:rsid w:val="00BE086D"/>
    <w:rsid w:val="00BE0EF1"/>
    <w:rsid w:val="00BE166F"/>
    <w:rsid w:val="00BE2350"/>
    <w:rsid w:val="00BE55DC"/>
    <w:rsid w:val="00BE5CD6"/>
    <w:rsid w:val="00BE6B46"/>
    <w:rsid w:val="00BF040D"/>
    <w:rsid w:val="00BF5E2E"/>
    <w:rsid w:val="00BF68BB"/>
    <w:rsid w:val="00BF6C3A"/>
    <w:rsid w:val="00BF7878"/>
    <w:rsid w:val="00C00240"/>
    <w:rsid w:val="00C0079F"/>
    <w:rsid w:val="00C00B83"/>
    <w:rsid w:val="00C0189F"/>
    <w:rsid w:val="00C0217F"/>
    <w:rsid w:val="00C02577"/>
    <w:rsid w:val="00C0269A"/>
    <w:rsid w:val="00C0442E"/>
    <w:rsid w:val="00C05DA3"/>
    <w:rsid w:val="00C11798"/>
    <w:rsid w:val="00C12EAC"/>
    <w:rsid w:val="00C224A3"/>
    <w:rsid w:val="00C2330E"/>
    <w:rsid w:val="00C236CA"/>
    <w:rsid w:val="00C26F89"/>
    <w:rsid w:val="00C30279"/>
    <w:rsid w:val="00C302FA"/>
    <w:rsid w:val="00C32660"/>
    <w:rsid w:val="00C3286C"/>
    <w:rsid w:val="00C32E42"/>
    <w:rsid w:val="00C332EF"/>
    <w:rsid w:val="00C33A4E"/>
    <w:rsid w:val="00C34368"/>
    <w:rsid w:val="00C34BA6"/>
    <w:rsid w:val="00C3559F"/>
    <w:rsid w:val="00C357AA"/>
    <w:rsid w:val="00C35E68"/>
    <w:rsid w:val="00C40BFE"/>
    <w:rsid w:val="00C41529"/>
    <w:rsid w:val="00C41FD6"/>
    <w:rsid w:val="00C43126"/>
    <w:rsid w:val="00C43686"/>
    <w:rsid w:val="00C444F4"/>
    <w:rsid w:val="00C45CC6"/>
    <w:rsid w:val="00C46D38"/>
    <w:rsid w:val="00C4748A"/>
    <w:rsid w:val="00C479F8"/>
    <w:rsid w:val="00C5283A"/>
    <w:rsid w:val="00C52BDB"/>
    <w:rsid w:val="00C5323E"/>
    <w:rsid w:val="00C53F76"/>
    <w:rsid w:val="00C55CC9"/>
    <w:rsid w:val="00C56B5D"/>
    <w:rsid w:val="00C6007F"/>
    <w:rsid w:val="00C60294"/>
    <w:rsid w:val="00C604EA"/>
    <w:rsid w:val="00C62C6E"/>
    <w:rsid w:val="00C67277"/>
    <w:rsid w:val="00C719ED"/>
    <w:rsid w:val="00C724EF"/>
    <w:rsid w:val="00C74D2F"/>
    <w:rsid w:val="00C74F86"/>
    <w:rsid w:val="00C75761"/>
    <w:rsid w:val="00C7624A"/>
    <w:rsid w:val="00C7653E"/>
    <w:rsid w:val="00C81118"/>
    <w:rsid w:val="00C81C38"/>
    <w:rsid w:val="00C82324"/>
    <w:rsid w:val="00C82B17"/>
    <w:rsid w:val="00C82E20"/>
    <w:rsid w:val="00C85786"/>
    <w:rsid w:val="00C85D4E"/>
    <w:rsid w:val="00C86AEE"/>
    <w:rsid w:val="00C86F95"/>
    <w:rsid w:val="00C87B33"/>
    <w:rsid w:val="00C87E74"/>
    <w:rsid w:val="00C90B4A"/>
    <w:rsid w:val="00C9108E"/>
    <w:rsid w:val="00C95812"/>
    <w:rsid w:val="00C97152"/>
    <w:rsid w:val="00CA15D8"/>
    <w:rsid w:val="00CA300A"/>
    <w:rsid w:val="00CA37DF"/>
    <w:rsid w:val="00CA44E6"/>
    <w:rsid w:val="00CA67B5"/>
    <w:rsid w:val="00CA6CB3"/>
    <w:rsid w:val="00CA70CE"/>
    <w:rsid w:val="00CB124B"/>
    <w:rsid w:val="00CB25D8"/>
    <w:rsid w:val="00CB26B7"/>
    <w:rsid w:val="00CB7F3A"/>
    <w:rsid w:val="00CC0F83"/>
    <w:rsid w:val="00CC396B"/>
    <w:rsid w:val="00CC4402"/>
    <w:rsid w:val="00CC6050"/>
    <w:rsid w:val="00CC6598"/>
    <w:rsid w:val="00CC6882"/>
    <w:rsid w:val="00CC6B01"/>
    <w:rsid w:val="00CC6F03"/>
    <w:rsid w:val="00CC7779"/>
    <w:rsid w:val="00CC7B94"/>
    <w:rsid w:val="00CD0BA8"/>
    <w:rsid w:val="00CD1302"/>
    <w:rsid w:val="00CD178A"/>
    <w:rsid w:val="00CD31E0"/>
    <w:rsid w:val="00CD3AA0"/>
    <w:rsid w:val="00CD3C67"/>
    <w:rsid w:val="00CD5FED"/>
    <w:rsid w:val="00CD63CD"/>
    <w:rsid w:val="00CD66CB"/>
    <w:rsid w:val="00CD6E43"/>
    <w:rsid w:val="00CD78E1"/>
    <w:rsid w:val="00CE00DE"/>
    <w:rsid w:val="00CE0CA1"/>
    <w:rsid w:val="00CE326A"/>
    <w:rsid w:val="00CE412B"/>
    <w:rsid w:val="00CE4B71"/>
    <w:rsid w:val="00CF1250"/>
    <w:rsid w:val="00CF1C72"/>
    <w:rsid w:val="00CF231D"/>
    <w:rsid w:val="00CF2C80"/>
    <w:rsid w:val="00CF3507"/>
    <w:rsid w:val="00CF40CD"/>
    <w:rsid w:val="00CF6CC4"/>
    <w:rsid w:val="00D014AF"/>
    <w:rsid w:val="00D020AF"/>
    <w:rsid w:val="00D02339"/>
    <w:rsid w:val="00D05A6C"/>
    <w:rsid w:val="00D076E0"/>
    <w:rsid w:val="00D10D6A"/>
    <w:rsid w:val="00D11115"/>
    <w:rsid w:val="00D11CBC"/>
    <w:rsid w:val="00D13ECF"/>
    <w:rsid w:val="00D142D4"/>
    <w:rsid w:val="00D1582E"/>
    <w:rsid w:val="00D15E28"/>
    <w:rsid w:val="00D17C54"/>
    <w:rsid w:val="00D17DEF"/>
    <w:rsid w:val="00D208FD"/>
    <w:rsid w:val="00D231F9"/>
    <w:rsid w:val="00D258DB"/>
    <w:rsid w:val="00D25BBF"/>
    <w:rsid w:val="00D26B0B"/>
    <w:rsid w:val="00D27735"/>
    <w:rsid w:val="00D30BD0"/>
    <w:rsid w:val="00D30D90"/>
    <w:rsid w:val="00D30E4B"/>
    <w:rsid w:val="00D313A8"/>
    <w:rsid w:val="00D31897"/>
    <w:rsid w:val="00D327FF"/>
    <w:rsid w:val="00D33ACA"/>
    <w:rsid w:val="00D352BA"/>
    <w:rsid w:val="00D354A7"/>
    <w:rsid w:val="00D4006E"/>
    <w:rsid w:val="00D403DA"/>
    <w:rsid w:val="00D43CE3"/>
    <w:rsid w:val="00D44226"/>
    <w:rsid w:val="00D44878"/>
    <w:rsid w:val="00D47864"/>
    <w:rsid w:val="00D52D17"/>
    <w:rsid w:val="00D565F9"/>
    <w:rsid w:val="00D57C38"/>
    <w:rsid w:val="00D6004C"/>
    <w:rsid w:val="00D6047F"/>
    <w:rsid w:val="00D63542"/>
    <w:rsid w:val="00D638E0"/>
    <w:rsid w:val="00D64906"/>
    <w:rsid w:val="00D6585A"/>
    <w:rsid w:val="00D66BBC"/>
    <w:rsid w:val="00D708ED"/>
    <w:rsid w:val="00D726AD"/>
    <w:rsid w:val="00D7509E"/>
    <w:rsid w:val="00D76146"/>
    <w:rsid w:val="00D76E8E"/>
    <w:rsid w:val="00D775AF"/>
    <w:rsid w:val="00D7792B"/>
    <w:rsid w:val="00D77C6F"/>
    <w:rsid w:val="00D77E15"/>
    <w:rsid w:val="00D821D5"/>
    <w:rsid w:val="00D84385"/>
    <w:rsid w:val="00D844E3"/>
    <w:rsid w:val="00D876D2"/>
    <w:rsid w:val="00D87AB6"/>
    <w:rsid w:val="00D90A96"/>
    <w:rsid w:val="00D914F4"/>
    <w:rsid w:val="00D91C9C"/>
    <w:rsid w:val="00D94A23"/>
    <w:rsid w:val="00D954E8"/>
    <w:rsid w:val="00D95D35"/>
    <w:rsid w:val="00D95F1A"/>
    <w:rsid w:val="00D96A72"/>
    <w:rsid w:val="00DA3B89"/>
    <w:rsid w:val="00DA4F31"/>
    <w:rsid w:val="00DA5F68"/>
    <w:rsid w:val="00DB014B"/>
    <w:rsid w:val="00DB1C77"/>
    <w:rsid w:val="00DB279B"/>
    <w:rsid w:val="00DB2FC7"/>
    <w:rsid w:val="00DB3DB2"/>
    <w:rsid w:val="00DB4926"/>
    <w:rsid w:val="00DB5AE5"/>
    <w:rsid w:val="00DB6366"/>
    <w:rsid w:val="00DB6DA1"/>
    <w:rsid w:val="00DB6DF1"/>
    <w:rsid w:val="00DC08E2"/>
    <w:rsid w:val="00DC1386"/>
    <w:rsid w:val="00DC16CB"/>
    <w:rsid w:val="00DC3358"/>
    <w:rsid w:val="00DC4301"/>
    <w:rsid w:val="00DC5666"/>
    <w:rsid w:val="00DD0B87"/>
    <w:rsid w:val="00DD0CC2"/>
    <w:rsid w:val="00DD12D4"/>
    <w:rsid w:val="00DD1C97"/>
    <w:rsid w:val="00DD3CC9"/>
    <w:rsid w:val="00DD6D70"/>
    <w:rsid w:val="00DE0661"/>
    <w:rsid w:val="00DE06A5"/>
    <w:rsid w:val="00DE0A9C"/>
    <w:rsid w:val="00DE18C0"/>
    <w:rsid w:val="00DE19F1"/>
    <w:rsid w:val="00DE1C3F"/>
    <w:rsid w:val="00DE2317"/>
    <w:rsid w:val="00DE2320"/>
    <w:rsid w:val="00DE2BDD"/>
    <w:rsid w:val="00DE3397"/>
    <w:rsid w:val="00DE6BBD"/>
    <w:rsid w:val="00DF0810"/>
    <w:rsid w:val="00DF0F68"/>
    <w:rsid w:val="00DF14AA"/>
    <w:rsid w:val="00DF3F26"/>
    <w:rsid w:val="00DF555E"/>
    <w:rsid w:val="00E00375"/>
    <w:rsid w:val="00E00D86"/>
    <w:rsid w:val="00E00DBE"/>
    <w:rsid w:val="00E00E62"/>
    <w:rsid w:val="00E01097"/>
    <w:rsid w:val="00E01E75"/>
    <w:rsid w:val="00E056B7"/>
    <w:rsid w:val="00E06309"/>
    <w:rsid w:val="00E10B08"/>
    <w:rsid w:val="00E1180F"/>
    <w:rsid w:val="00E11BBF"/>
    <w:rsid w:val="00E122F9"/>
    <w:rsid w:val="00E1327F"/>
    <w:rsid w:val="00E15497"/>
    <w:rsid w:val="00E1685C"/>
    <w:rsid w:val="00E1731B"/>
    <w:rsid w:val="00E17F9A"/>
    <w:rsid w:val="00E201A8"/>
    <w:rsid w:val="00E216F1"/>
    <w:rsid w:val="00E230F4"/>
    <w:rsid w:val="00E23D87"/>
    <w:rsid w:val="00E24C3F"/>
    <w:rsid w:val="00E30D9D"/>
    <w:rsid w:val="00E31DF9"/>
    <w:rsid w:val="00E33041"/>
    <w:rsid w:val="00E33CF7"/>
    <w:rsid w:val="00E33D07"/>
    <w:rsid w:val="00E33E3B"/>
    <w:rsid w:val="00E347AE"/>
    <w:rsid w:val="00E34FC1"/>
    <w:rsid w:val="00E35CDB"/>
    <w:rsid w:val="00E37800"/>
    <w:rsid w:val="00E40CD1"/>
    <w:rsid w:val="00E431C8"/>
    <w:rsid w:val="00E440C2"/>
    <w:rsid w:val="00E44508"/>
    <w:rsid w:val="00E446A3"/>
    <w:rsid w:val="00E45514"/>
    <w:rsid w:val="00E4564C"/>
    <w:rsid w:val="00E45D3F"/>
    <w:rsid w:val="00E461F7"/>
    <w:rsid w:val="00E465A0"/>
    <w:rsid w:val="00E475D5"/>
    <w:rsid w:val="00E5165D"/>
    <w:rsid w:val="00E51E3B"/>
    <w:rsid w:val="00E52683"/>
    <w:rsid w:val="00E541ED"/>
    <w:rsid w:val="00E57B0F"/>
    <w:rsid w:val="00E60447"/>
    <w:rsid w:val="00E61F31"/>
    <w:rsid w:val="00E622A9"/>
    <w:rsid w:val="00E623E9"/>
    <w:rsid w:val="00E6274D"/>
    <w:rsid w:val="00E64C85"/>
    <w:rsid w:val="00E66ED9"/>
    <w:rsid w:val="00E67DB9"/>
    <w:rsid w:val="00E727D1"/>
    <w:rsid w:val="00E90B09"/>
    <w:rsid w:val="00E90C89"/>
    <w:rsid w:val="00E91C9D"/>
    <w:rsid w:val="00E924E4"/>
    <w:rsid w:val="00E936D2"/>
    <w:rsid w:val="00E93D9C"/>
    <w:rsid w:val="00E94B46"/>
    <w:rsid w:val="00E95CFA"/>
    <w:rsid w:val="00E97065"/>
    <w:rsid w:val="00EA1439"/>
    <w:rsid w:val="00EA2BAD"/>
    <w:rsid w:val="00EA32EA"/>
    <w:rsid w:val="00EA36B7"/>
    <w:rsid w:val="00EA4670"/>
    <w:rsid w:val="00EA46FE"/>
    <w:rsid w:val="00EA4735"/>
    <w:rsid w:val="00EA58D9"/>
    <w:rsid w:val="00EA6255"/>
    <w:rsid w:val="00EA6534"/>
    <w:rsid w:val="00EA6538"/>
    <w:rsid w:val="00EA7ACF"/>
    <w:rsid w:val="00EB1DC2"/>
    <w:rsid w:val="00EB2111"/>
    <w:rsid w:val="00EB21F8"/>
    <w:rsid w:val="00EB564A"/>
    <w:rsid w:val="00EC0FB2"/>
    <w:rsid w:val="00EC1430"/>
    <w:rsid w:val="00EC19D3"/>
    <w:rsid w:val="00EC1B87"/>
    <w:rsid w:val="00EC28E8"/>
    <w:rsid w:val="00EC3783"/>
    <w:rsid w:val="00EC3B4A"/>
    <w:rsid w:val="00EC3CDC"/>
    <w:rsid w:val="00EC450C"/>
    <w:rsid w:val="00EC526A"/>
    <w:rsid w:val="00EC5653"/>
    <w:rsid w:val="00EC617A"/>
    <w:rsid w:val="00ED05C9"/>
    <w:rsid w:val="00ED453B"/>
    <w:rsid w:val="00ED5156"/>
    <w:rsid w:val="00EE019B"/>
    <w:rsid w:val="00EE0340"/>
    <w:rsid w:val="00EE09C2"/>
    <w:rsid w:val="00EE133F"/>
    <w:rsid w:val="00EE2B8F"/>
    <w:rsid w:val="00EE4545"/>
    <w:rsid w:val="00EE4C49"/>
    <w:rsid w:val="00EE5CF9"/>
    <w:rsid w:val="00EE5D84"/>
    <w:rsid w:val="00EE67A5"/>
    <w:rsid w:val="00EE7B37"/>
    <w:rsid w:val="00EF4011"/>
    <w:rsid w:val="00EF5E81"/>
    <w:rsid w:val="00EF6E84"/>
    <w:rsid w:val="00F00A14"/>
    <w:rsid w:val="00F01E8A"/>
    <w:rsid w:val="00F045AF"/>
    <w:rsid w:val="00F04EC0"/>
    <w:rsid w:val="00F0516E"/>
    <w:rsid w:val="00F05692"/>
    <w:rsid w:val="00F06AE7"/>
    <w:rsid w:val="00F10436"/>
    <w:rsid w:val="00F10823"/>
    <w:rsid w:val="00F11215"/>
    <w:rsid w:val="00F126FC"/>
    <w:rsid w:val="00F12A9E"/>
    <w:rsid w:val="00F1345B"/>
    <w:rsid w:val="00F17525"/>
    <w:rsid w:val="00F20803"/>
    <w:rsid w:val="00F2110E"/>
    <w:rsid w:val="00F22351"/>
    <w:rsid w:val="00F22F2F"/>
    <w:rsid w:val="00F241E7"/>
    <w:rsid w:val="00F247D3"/>
    <w:rsid w:val="00F24DA2"/>
    <w:rsid w:val="00F25E28"/>
    <w:rsid w:val="00F27E56"/>
    <w:rsid w:val="00F30338"/>
    <w:rsid w:val="00F303E5"/>
    <w:rsid w:val="00F30585"/>
    <w:rsid w:val="00F30B44"/>
    <w:rsid w:val="00F30DDE"/>
    <w:rsid w:val="00F32A10"/>
    <w:rsid w:val="00F3455D"/>
    <w:rsid w:val="00F34FDE"/>
    <w:rsid w:val="00F356EE"/>
    <w:rsid w:val="00F37307"/>
    <w:rsid w:val="00F42ABC"/>
    <w:rsid w:val="00F42FCC"/>
    <w:rsid w:val="00F46EB9"/>
    <w:rsid w:val="00F47092"/>
    <w:rsid w:val="00F474BC"/>
    <w:rsid w:val="00F51C02"/>
    <w:rsid w:val="00F51EC7"/>
    <w:rsid w:val="00F52C63"/>
    <w:rsid w:val="00F55C9A"/>
    <w:rsid w:val="00F5622A"/>
    <w:rsid w:val="00F5636D"/>
    <w:rsid w:val="00F566AF"/>
    <w:rsid w:val="00F5720C"/>
    <w:rsid w:val="00F608BC"/>
    <w:rsid w:val="00F60E46"/>
    <w:rsid w:val="00F6239B"/>
    <w:rsid w:val="00F626E2"/>
    <w:rsid w:val="00F62912"/>
    <w:rsid w:val="00F632AF"/>
    <w:rsid w:val="00F63B65"/>
    <w:rsid w:val="00F6599D"/>
    <w:rsid w:val="00F66F39"/>
    <w:rsid w:val="00F6718B"/>
    <w:rsid w:val="00F716F9"/>
    <w:rsid w:val="00F72D17"/>
    <w:rsid w:val="00F72F3D"/>
    <w:rsid w:val="00F7443C"/>
    <w:rsid w:val="00F74BB3"/>
    <w:rsid w:val="00F7706D"/>
    <w:rsid w:val="00F77AC8"/>
    <w:rsid w:val="00F808AD"/>
    <w:rsid w:val="00F82A53"/>
    <w:rsid w:val="00F8556C"/>
    <w:rsid w:val="00F86100"/>
    <w:rsid w:val="00F86F83"/>
    <w:rsid w:val="00F922DC"/>
    <w:rsid w:val="00F93AA9"/>
    <w:rsid w:val="00F95616"/>
    <w:rsid w:val="00F95E08"/>
    <w:rsid w:val="00F966CA"/>
    <w:rsid w:val="00F97429"/>
    <w:rsid w:val="00FA0962"/>
    <w:rsid w:val="00FA1685"/>
    <w:rsid w:val="00FA20D1"/>
    <w:rsid w:val="00FA2CA6"/>
    <w:rsid w:val="00FA3685"/>
    <w:rsid w:val="00FA5345"/>
    <w:rsid w:val="00FA5A8E"/>
    <w:rsid w:val="00FA67B7"/>
    <w:rsid w:val="00FA685A"/>
    <w:rsid w:val="00FB1D41"/>
    <w:rsid w:val="00FB6DEB"/>
    <w:rsid w:val="00FC1793"/>
    <w:rsid w:val="00FC2385"/>
    <w:rsid w:val="00FC2DEC"/>
    <w:rsid w:val="00FC2E50"/>
    <w:rsid w:val="00FC422F"/>
    <w:rsid w:val="00FC4B72"/>
    <w:rsid w:val="00FC5D1B"/>
    <w:rsid w:val="00FC5E55"/>
    <w:rsid w:val="00FC792B"/>
    <w:rsid w:val="00FD101E"/>
    <w:rsid w:val="00FD1927"/>
    <w:rsid w:val="00FD274F"/>
    <w:rsid w:val="00FD3622"/>
    <w:rsid w:val="00FD54A2"/>
    <w:rsid w:val="00FE0BD6"/>
    <w:rsid w:val="00FE0C37"/>
    <w:rsid w:val="00FE11A6"/>
    <w:rsid w:val="00FE2114"/>
    <w:rsid w:val="00FE5E8B"/>
    <w:rsid w:val="00FE6BF7"/>
    <w:rsid w:val="00FF1273"/>
    <w:rsid w:val="00FF18BA"/>
    <w:rsid w:val="00FF1B5F"/>
    <w:rsid w:val="00FF3D8C"/>
    <w:rsid w:val="00FF4407"/>
    <w:rsid w:val="00FF7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2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EF1"/>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Heading"/>
    <w:next w:val="Normal"/>
    <w:link w:val="Heading2Char"/>
    <w:uiPriority w:val="6"/>
    <w:unhideWhenUsed/>
    <w:qFormat/>
    <w:rsid w:val="00513B54"/>
    <w:pPr>
      <w:spacing w:after="120"/>
      <w:jc w:val="both"/>
      <w:outlineLvl w:val="1"/>
    </w:pPr>
    <w:rPr>
      <w:b/>
      <w:sz w:val="32"/>
      <w:szCs w:val="32"/>
    </w:rPr>
  </w:style>
  <w:style w:type="paragraph" w:styleId="Heading3">
    <w:name w:val="heading 3"/>
    <w:basedOn w:val="Normal"/>
    <w:next w:val="Normal"/>
    <w:link w:val="Heading3Char"/>
    <w:uiPriority w:val="7"/>
    <w:unhideWhenUsed/>
    <w:qFormat/>
    <w:rsid w:val="00513B54"/>
    <w:pPr>
      <w:keepNext/>
      <w:autoSpaceDE w:val="0"/>
      <w:autoSpaceDN w:val="0"/>
      <w:adjustRightInd w:val="0"/>
      <w:spacing w:after="240"/>
      <w:jc w:val="both"/>
      <w:outlineLvl w:val="2"/>
    </w:pPr>
    <w:rPr>
      <w:rFonts w:ascii="Times New Roman" w:eastAsia="Times New Roman" w:hAnsi="Times New Roman"/>
      <w:b/>
      <w:sz w:val="28"/>
      <w:szCs w:val="28"/>
      <w:lang w:eastAsia="en-AU"/>
    </w:rPr>
  </w:style>
  <w:style w:type="paragraph" w:styleId="Heading4">
    <w:name w:val="heading 4"/>
    <w:aliases w:val="General Heading"/>
    <w:basedOn w:val="Normal"/>
    <w:next w:val="Normal"/>
    <w:link w:val="Heading4Char"/>
    <w:uiPriority w:val="3"/>
    <w:unhideWhenUsed/>
    <w:qFormat/>
    <w:rsid w:val="00513B54"/>
    <w:pPr>
      <w:keepNext/>
      <w:spacing w:after="240"/>
      <w:jc w:val="both"/>
      <w:outlineLvl w:val="3"/>
    </w:pPr>
    <w:rPr>
      <w:rFonts w:ascii="Times New Roman" w:hAnsi="Times New Roman"/>
      <w:b/>
      <w:sz w:val="24"/>
      <w:szCs w:val="24"/>
    </w:rPr>
  </w:style>
  <w:style w:type="paragraph" w:styleId="Heading5">
    <w:name w:val="heading 5"/>
    <w:aliases w:val="Chapter Heading"/>
    <w:basedOn w:val="Heading6"/>
    <w:next w:val="Normal"/>
    <w:link w:val="Heading5Char"/>
    <w:uiPriority w:val="4"/>
    <w:unhideWhenUsed/>
    <w:qFormat/>
    <w:rsid w:val="00513B54"/>
    <w:pPr>
      <w:outlineLvl w:val="4"/>
    </w:pPr>
  </w:style>
  <w:style w:type="paragraph" w:styleId="Heading6">
    <w:name w:val="heading 6"/>
    <w:aliases w:val="Cover Page Heading"/>
    <w:basedOn w:val="Normal"/>
    <w:next w:val="Normal"/>
    <w:link w:val="Heading6Char"/>
    <w:uiPriority w:val="8"/>
    <w:unhideWhenUsed/>
    <w:qFormat/>
    <w:rsid w:val="00513B54"/>
    <w:pPr>
      <w:keepNext/>
      <w:spacing w:after="24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AB386F"/>
    <w:rPr>
      <w:rFonts w:ascii="Times New Roman" w:eastAsia="Times New Roman" w:hAnsi="Times New Roman"/>
      <w:b/>
      <w:sz w:val="32"/>
      <w:szCs w:val="32"/>
      <w:lang w:eastAsia="en-US"/>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AB386F"/>
    <w:rPr>
      <w:rFonts w:ascii="Times New Roman" w:eastAsia="Times New Roman" w:hAnsi="Times New Roman"/>
      <w:b/>
      <w:sz w:val="28"/>
      <w:szCs w:val="28"/>
    </w:rPr>
  </w:style>
  <w:style w:type="character" w:customStyle="1" w:styleId="Heading4Char">
    <w:name w:val="Heading 4 Char"/>
    <w:aliases w:val="General Heading Char"/>
    <w:link w:val="Heading4"/>
    <w:uiPriority w:val="3"/>
    <w:rsid w:val="00AB386F"/>
    <w:rPr>
      <w:rFonts w:ascii="Times New Roman" w:hAnsi="Times New Roman"/>
      <w:b/>
      <w:sz w:val="24"/>
      <w:szCs w:val="24"/>
      <w:lang w:eastAsia="en-US"/>
    </w:rPr>
  </w:style>
  <w:style w:type="character" w:customStyle="1" w:styleId="Heading5Char">
    <w:name w:val="Heading 5 Char"/>
    <w:aliases w:val="Chapter Heading Char"/>
    <w:link w:val="Heading5"/>
    <w:uiPriority w:val="4"/>
    <w:rsid w:val="00AB386F"/>
    <w:rPr>
      <w:rFonts w:ascii="Trebuchet MS" w:hAnsi="Trebuchet MS"/>
      <w:sz w:val="22"/>
      <w:szCs w:val="22"/>
      <w:lang w:eastAsia="en-US"/>
    </w:rPr>
  </w:style>
  <w:style w:type="character" w:customStyle="1" w:styleId="Heading6Char">
    <w:name w:val="Heading 6 Char"/>
    <w:aliases w:val="Cover Page Heading Char"/>
    <w:link w:val="Heading6"/>
    <w:uiPriority w:val="8"/>
    <w:rsid w:val="00AB386F"/>
    <w:rPr>
      <w:rFonts w:ascii="Trebuchet MS" w:hAnsi="Trebuchet MS"/>
      <w:sz w:val="22"/>
      <w:szCs w:val="22"/>
      <w:lang w:eastAsia="en-US"/>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1A5874"/>
    <w:pPr>
      <w:tabs>
        <w:tab w:val="center" w:pos="4513"/>
        <w:tab w:val="right" w:pos="9026"/>
      </w:tabs>
    </w:pPr>
    <w:rPr>
      <w:sz w:val="20"/>
      <w:szCs w:val="20"/>
    </w:rPr>
  </w:style>
  <w:style w:type="character" w:customStyle="1" w:styleId="HeaderChar">
    <w:name w:val="Header Char"/>
    <w:link w:val="Header"/>
    <w:uiPriority w:val="99"/>
    <w:rsid w:val="001A5874"/>
    <w:rPr>
      <w:rFonts w:ascii="Trebuchet MS" w:hAnsi="Trebuchet MS"/>
    </w:rPr>
  </w:style>
  <w:style w:type="paragraph" w:styleId="Footer">
    <w:name w:val="footer"/>
    <w:basedOn w:val="Normal"/>
    <w:link w:val="FooterChar"/>
    <w:uiPriority w:val="99"/>
    <w:unhideWhenUsed/>
    <w:rsid w:val="001A5874"/>
    <w:pPr>
      <w:tabs>
        <w:tab w:val="center" w:pos="4513"/>
        <w:tab w:val="right" w:pos="9026"/>
      </w:tabs>
    </w:pPr>
    <w:rPr>
      <w:sz w:val="20"/>
      <w:szCs w:val="20"/>
    </w:rPr>
  </w:style>
  <w:style w:type="character" w:customStyle="1" w:styleId="FooterChar">
    <w:name w:val="Footer Char"/>
    <w:link w:val="Footer"/>
    <w:uiPriority w:val="99"/>
    <w:rsid w:val="001A5874"/>
    <w:rPr>
      <w:rFonts w:ascii="Trebuchet MS" w:hAnsi="Trebuchet MS"/>
    </w:rPr>
  </w:style>
  <w:style w:type="paragraph" w:customStyle="1" w:styleId="Heading">
    <w:name w:val="Heading"/>
    <w:basedOn w:val="Normal"/>
    <w:link w:val="HeadingChar"/>
    <w:rsid w:val="00E24C3F"/>
    <w:rPr>
      <w:rFonts w:ascii="Times New Roman" w:eastAsia="Times New Roman" w:hAnsi="Times New Roman"/>
      <w:sz w:val="26"/>
      <w:szCs w:val="24"/>
    </w:rPr>
  </w:style>
  <w:style w:type="character" w:customStyle="1" w:styleId="HeadingChar">
    <w:name w:val="Heading Char"/>
    <w:link w:val="Heading"/>
    <w:locked/>
    <w:rsid w:val="00E24C3F"/>
    <w:rPr>
      <w:rFonts w:ascii="Times New Roman" w:eastAsia="Times New Roman" w:hAnsi="Times New Roman"/>
      <w:sz w:val="26"/>
      <w:szCs w:val="24"/>
    </w:rPr>
  </w:style>
  <w:style w:type="paragraph" w:customStyle="1" w:styleId="Default">
    <w:name w:val="Default"/>
    <w:rsid w:val="008815A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8815A0"/>
    <w:rPr>
      <w:sz w:val="16"/>
      <w:szCs w:val="16"/>
    </w:rPr>
  </w:style>
  <w:style w:type="paragraph" w:styleId="CommentText">
    <w:name w:val="annotation text"/>
    <w:basedOn w:val="Normal"/>
    <w:link w:val="CommentTextChar"/>
    <w:uiPriority w:val="99"/>
    <w:semiHidden/>
    <w:unhideWhenUsed/>
    <w:rsid w:val="008815A0"/>
    <w:rPr>
      <w:sz w:val="20"/>
      <w:szCs w:val="20"/>
    </w:rPr>
  </w:style>
  <w:style w:type="character" w:customStyle="1" w:styleId="CommentTextChar">
    <w:name w:val="Comment Text Char"/>
    <w:link w:val="CommentText"/>
    <w:uiPriority w:val="99"/>
    <w:semiHidden/>
    <w:rsid w:val="008815A0"/>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8815A0"/>
    <w:rPr>
      <w:b/>
      <w:bCs/>
    </w:rPr>
  </w:style>
  <w:style w:type="character" w:customStyle="1" w:styleId="CommentSubjectChar">
    <w:name w:val="Comment Subject Char"/>
    <w:link w:val="CommentSubject"/>
    <w:uiPriority w:val="99"/>
    <w:semiHidden/>
    <w:rsid w:val="008815A0"/>
    <w:rPr>
      <w:rFonts w:ascii="Trebuchet MS" w:hAnsi="Trebuchet MS"/>
      <w:b/>
      <w:bCs/>
      <w:lang w:eastAsia="en-US"/>
    </w:rPr>
  </w:style>
  <w:style w:type="paragraph" w:styleId="FootnoteText">
    <w:name w:val="footnote text"/>
    <w:basedOn w:val="Normal"/>
    <w:link w:val="FootnoteTextChar"/>
    <w:uiPriority w:val="99"/>
    <w:semiHidden/>
    <w:unhideWhenUsed/>
    <w:rsid w:val="00513B54"/>
    <w:pPr>
      <w:jc w:val="both"/>
    </w:pPr>
    <w:rPr>
      <w:rFonts w:ascii="Times New Roman" w:hAnsi="Times New Roman"/>
      <w:sz w:val="20"/>
      <w:szCs w:val="20"/>
    </w:rPr>
  </w:style>
  <w:style w:type="character" w:customStyle="1" w:styleId="FootnoteTextChar">
    <w:name w:val="Footnote Text Char"/>
    <w:link w:val="FootnoteText"/>
    <w:uiPriority w:val="99"/>
    <w:semiHidden/>
    <w:rsid w:val="00123EF1"/>
    <w:rPr>
      <w:rFonts w:ascii="Times New Roman" w:hAnsi="Times New Roman"/>
      <w:lang w:eastAsia="en-US"/>
    </w:rPr>
  </w:style>
  <w:style w:type="character" w:styleId="Hyperlink">
    <w:name w:val="Hyperlink"/>
    <w:uiPriority w:val="99"/>
    <w:rsid w:val="00F10436"/>
    <w:rPr>
      <w:rFonts w:cs="Times New Roman"/>
      <w:color w:val="0000FF"/>
      <w:u w:val="none"/>
      <w:effect w:val="none"/>
    </w:rPr>
  </w:style>
  <w:style w:type="character" w:styleId="FootnoteReference">
    <w:name w:val="footnote reference"/>
    <w:uiPriority w:val="99"/>
    <w:semiHidden/>
    <w:rsid w:val="00123EF1"/>
    <w:rPr>
      <w:rFonts w:ascii="Times New Roman" w:hAnsi="Times New Roman" w:cs="Times New Roman"/>
      <w:sz w:val="20"/>
      <w:vertAlign w:val="superscript"/>
    </w:rPr>
  </w:style>
  <w:style w:type="character" w:styleId="Emphasis">
    <w:name w:val="Emphasis"/>
    <w:uiPriority w:val="20"/>
    <w:qFormat/>
    <w:rsid w:val="00513B54"/>
    <w:rPr>
      <w:rFonts w:ascii="Times New Roman" w:hAnsi="Times New Roman"/>
      <w:i/>
      <w:iCs/>
      <w:sz w:val="24"/>
      <w:szCs w:val="24"/>
    </w:rPr>
  </w:style>
  <w:style w:type="paragraph" w:styleId="Revision">
    <w:name w:val="Revision"/>
    <w:hidden/>
    <w:uiPriority w:val="99"/>
    <w:semiHidden/>
    <w:rsid w:val="002F483E"/>
    <w:rPr>
      <w:rFonts w:ascii="Trebuchet MS" w:hAnsi="Trebuchet MS"/>
      <w:sz w:val="22"/>
      <w:szCs w:val="22"/>
      <w:lang w:eastAsia="en-US"/>
    </w:rPr>
  </w:style>
  <w:style w:type="paragraph" w:styleId="ListParagraph">
    <w:name w:val="List Paragraph"/>
    <w:basedOn w:val="Normal"/>
    <w:uiPriority w:val="34"/>
    <w:qFormat/>
    <w:rsid w:val="00513B54"/>
    <w:pPr>
      <w:numPr>
        <w:numId w:val="6"/>
      </w:numPr>
      <w:spacing w:after="240"/>
      <w:ind w:left="567" w:hanging="567"/>
      <w:jc w:val="both"/>
    </w:pPr>
    <w:rPr>
      <w:rFonts w:ascii="Times New Roman" w:hAnsi="Times New Roman"/>
      <w:sz w:val="24"/>
      <w:szCs w:val="24"/>
    </w:rPr>
  </w:style>
  <w:style w:type="character" w:styleId="FollowedHyperlink">
    <w:name w:val="FollowedHyperlink"/>
    <w:basedOn w:val="DefaultParagraphFont"/>
    <w:uiPriority w:val="99"/>
    <w:semiHidden/>
    <w:unhideWhenUsed/>
    <w:rsid w:val="00361F04"/>
    <w:rPr>
      <w:color w:val="800080" w:themeColor="followedHyperlink"/>
      <w:u w:val="single"/>
    </w:rPr>
  </w:style>
  <w:style w:type="paragraph" w:customStyle="1" w:styleId="CABNETParagraph">
    <w:name w:val="CABNET Paragraph"/>
    <w:basedOn w:val="Normal"/>
    <w:link w:val="CABNETParagraphChar"/>
    <w:qFormat/>
    <w:rsid w:val="00C46D38"/>
    <w:pPr>
      <w:spacing w:before="120" w:after="120"/>
    </w:pPr>
    <w:rPr>
      <w:rFonts w:ascii="Verdana" w:eastAsiaTheme="minorHAnsi" w:hAnsi="Verdana" w:cstheme="minorBidi"/>
    </w:rPr>
  </w:style>
  <w:style w:type="character" w:customStyle="1" w:styleId="CABNETParagraphChar">
    <w:name w:val="CABNET Paragraph Char"/>
    <w:basedOn w:val="DefaultParagraphFont"/>
    <w:link w:val="CABNETParagraph"/>
    <w:rsid w:val="00C46D38"/>
    <w:rPr>
      <w:rFonts w:ascii="Verdana" w:eastAsiaTheme="minorHAnsi" w:hAnsi="Verdana" w:cstheme="minorBidi"/>
      <w:sz w:val="22"/>
      <w:szCs w:val="22"/>
      <w:lang w:eastAsia="en-US"/>
    </w:rPr>
  </w:style>
  <w:style w:type="table" w:styleId="TableGrid">
    <w:name w:val="Table Grid"/>
    <w:basedOn w:val="TableNormal"/>
    <w:uiPriority w:val="59"/>
    <w:rsid w:val="00C46D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46D38"/>
    <w:rPr>
      <w:b/>
      <w:bCs/>
      <w:i/>
      <w:iCs/>
      <w:color w:val="4F81BD" w:themeColor="accent1"/>
    </w:rPr>
  </w:style>
  <w:style w:type="character" w:styleId="Strong">
    <w:name w:val="Strong"/>
    <w:basedOn w:val="DefaultParagraphFont"/>
    <w:uiPriority w:val="22"/>
    <w:qFormat/>
    <w:rsid w:val="00DF555E"/>
    <w:rPr>
      <w:b/>
      <w:bCs/>
    </w:rPr>
  </w:style>
  <w:style w:type="paragraph" w:styleId="NormalWeb">
    <w:name w:val="Normal (Web)"/>
    <w:basedOn w:val="Normal"/>
    <w:uiPriority w:val="99"/>
    <w:semiHidden/>
    <w:unhideWhenUsed/>
    <w:rsid w:val="00097F40"/>
    <w:pPr>
      <w:spacing w:before="100" w:beforeAutospacing="1" w:after="100" w:afterAutospacing="1"/>
    </w:pPr>
    <w:rPr>
      <w:rFonts w:ascii="Times New Roman" w:eastAsiaTheme="minorEastAsia" w:hAnsi="Times New Roman"/>
      <w:sz w:val="24"/>
      <w:szCs w:val="24"/>
      <w:lang w:eastAsia="en-AU"/>
    </w:rPr>
  </w:style>
  <w:style w:type="paragraph" w:styleId="ListBullet">
    <w:name w:val="List Bullet"/>
    <w:basedOn w:val="List"/>
    <w:unhideWhenUsed/>
    <w:qFormat/>
    <w:rsid w:val="00513B54"/>
    <w:pPr>
      <w:numPr>
        <w:numId w:val="15"/>
      </w:numPr>
      <w:spacing w:after="240"/>
      <w:ind w:left="567" w:hanging="567"/>
      <w:contextualSpacing w:val="0"/>
      <w:jc w:val="both"/>
    </w:pPr>
    <w:rPr>
      <w:rFonts w:ascii="Times New Roman" w:eastAsiaTheme="minorEastAsia" w:hAnsi="Times New Roman"/>
      <w:sz w:val="24"/>
      <w:szCs w:val="24"/>
      <w:lang w:eastAsia="en-AU"/>
    </w:rPr>
  </w:style>
  <w:style w:type="paragraph" w:styleId="List">
    <w:name w:val="List"/>
    <w:basedOn w:val="Normal"/>
    <w:uiPriority w:val="99"/>
    <w:semiHidden/>
    <w:unhideWhenUsed/>
    <w:rsid w:val="00F55C9A"/>
    <w:pPr>
      <w:ind w:left="283" w:hanging="283"/>
      <w:contextualSpacing/>
    </w:pPr>
  </w:style>
  <w:style w:type="character" w:customStyle="1" w:styleId="StyleFootnoteReference12pt">
    <w:name w:val="Style Footnote Reference + 12 pt"/>
    <w:basedOn w:val="FootnoteReference"/>
    <w:rsid w:val="00123EF1"/>
    <w:rPr>
      <w:rFonts w:ascii="Times New Roman" w:hAnsi="Times New Roman" w:cs="Times New Roman"/>
      <w:sz w:val="20"/>
      <w:vertAlign w:val="superscript"/>
    </w:rPr>
  </w:style>
  <w:style w:type="character" w:customStyle="1" w:styleId="StyleFootnoteReference">
    <w:name w:val="Style Footnote Reference"/>
    <w:basedOn w:val="FootnoteReference"/>
    <w:rsid w:val="00123EF1"/>
    <w:rPr>
      <w:rFonts w:ascii="Times New Roman" w:hAnsi="Times New Roman" w:cs="Times New Roman"/>
      <w:sz w:val="20"/>
      <w:vertAlign w:val="superscript"/>
    </w:rPr>
  </w:style>
  <w:style w:type="character" w:customStyle="1" w:styleId="StyleFootnoteReference8ptBold">
    <w:name w:val="Style Footnote Reference + 8 pt Bold"/>
    <w:basedOn w:val="FootnoteReference"/>
    <w:rsid w:val="00123EF1"/>
    <w:rPr>
      <w:rFonts w:ascii="Times New Roman" w:hAnsi="Times New Roman" w:cs="Times New Roman"/>
      <w:b/>
      <w:bCs/>
      <w:sz w:val="20"/>
      <w:vertAlign w:val="superscript"/>
    </w:rPr>
  </w:style>
  <w:style w:type="table" w:styleId="LightGrid-Accent2">
    <w:name w:val="Light Grid Accent 2"/>
    <w:basedOn w:val="TableNormal"/>
    <w:uiPriority w:val="62"/>
    <w:rsid w:val="008A2DE4"/>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qFormat/>
    <w:rsid w:val="008A2DE4"/>
    <w:pPr>
      <w:spacing w:before="120" w:after="120"/>
    </w:pPr>
    <w:rPr>
      <w:rFonts w:ascii="Arial" w:eastAsiaTheme="majorEastAsia" w:hAnsi="Arial" w:cs="Arial"/>
      <w:bCs/>
      <w:sz w:val="20"/>
      <w:szCs w:val="20"/>
    </w:rPr>
  </w:style>
  <w:style w:type="paragraph" w:customStyle="1" w:styleId="TableName">
    <w:name w:val="TableName"/>
    <w:basedOn w:val="Normal"/>
    <w:qFormat/>
    <w:rsid w:val="008A2DE4"/>
    <w:pPr>
      <w:keepNext/>
      <w:spacing w:after="120"/>
    </w:pPr>
    <w:rPr>
      <w:rFonts w:ascii="Arial" w:eastAsiaTheme="minorEastAsia" w:hAnsi="Arial" w:cs="Arial"/>
    </w:rPr>
  </w:style>
  <w:style w:type="paragraph" w:customStyle="1" w:styleId="TableHeading">
    <w:name w:val="Table Heading"/>
    <w:basedOn w:val="Normal"/>
    <w:next w:val="Heading2"/>
    <w:qFormat/>
    <w:rsid w:val="008B0A2F"/>
    <w:pPr>
      <w:keepNext/>
      <w:autoSpaceDE w:val="0"/>
      <w:autoSpaceDN w:val="0"/>
      <w:adjustRightInd w:val="0"/>
      <w:spacing w:after="240"/>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968345">
      <w:bodyDiv w:val="1"/>
      <w:marLeft w:val="0"/>
      <w:marRight w:val="0"/>
      <w:marTop w:val="0"/>
      <w:marBottom w:val="0"/>
      <w:divBdr>
        <w:top w:val="none" w:sz="0" w:space="0" w:color="auto"/>
        <w:left w:val="none" w:sz="0" w:space="0" w:color="auto"/>
        <w:bottom w:val="none" w:sz="0" w:space="0" w:color="auto"/>
        <w:right w:val="none" w:sz="0" w:space="0" w:color="auto"/>
      </w:divBdr>
    </w:div>
    <w:div w:id="1875534986">
      <w:bodyDiv w:val="1"/>
      <w:marLeft w:val="0"/>
      <w:marRight w:val="0"/>
      <w:marTop w:val="0"/>
      <w:marBottom w:val="0"/>
      <w:divBdr>
        <w:top w:val="none" w:sz="0" w:space="0" w:color="auto"/>
        <w:left w:val="none" w:sz="0" w:space="0" w:color="auto"/>
        <w:bottom w:val="none" w:sz="0" w:space="0" w:color="auto"/>
        <w:right w:val="none" w:sz="0" w:space="0" w:color="auto"/>
      </w:divBdr>
    </w:div>
    <w:div w:id="21332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www.apra.gov.au/CrossIndustry/Documents/Discussion-paper-Supervision-of-conglomerate-groups-March-2010.pdf" TargetMode="External"/><Relationship Id="rId13" Type="http://schemas.openxmlformats.org/officeDocument/2006/relationships/hyperlink" Target="http://www.apra.gov.au/CrossIndustry/Pages/Supervision-of-conglomerate-groups-L3-March-2016.aspx" TargetMode="External"/><Relationship Id="rId3" Type="http://schemas.openxmlformats.org/officeDocument/2006/relationships/hyperlink" Target="http://www.bis.org/publ/bcbs239.pdf" TargetMode="External"/><Relationship Id="rId7" Type="http://schemas.openxmlformats.org/officeDocument/2006/relationships/hyperlink" Target="http://www.apra.gov.au/adi/Documents/Prudential-Supervision-of-Conglomerates-November-1999.pdf" TargetMode="External"/><Relationship Id="rId12" Type="http://schemas.openxmlformats.org/officeDocument/2006/relationships/hyperlink" Target="http://www.apra.gov.au/CrossIndustry/Pages/Supervision-of-conglomerate-groups-(Level-3)---August-2014.aspx" TargetMode="External"/><Relationship Id="rId2" Type="http://schemas.openxmlformats.org/officeDocument/2006/relationships/hyperlink" Target="http://www.apra.gov.au/CrossIndustry/Consultations/Documents/Level-3-Response-Paper-(May-2013).pdf" TargetMode="External"/><Relationship Id="rId1" Type="http://schemas.openxmlformats.org/officeDocument/2006/relationships/hyperlink" Target="http://www.bis.org/press/p120924.htm" TargetMode="External"/><Relationship Id="rId6" Type="http://schemas.openxmlformats.org/officeDocument/2006/relationships/hyperlink" Target="http://www.apra.gov.au/adi/Documents/Prudential-Supervision-of-Conglomerates-March-1999.pdf" TargetMode="External"/><Relationship Id="rId11" Type="http://schemas.openxmlformats.org/officeDocument/2006/relationships/hyperlink" Target="http://www.apra.gov.au/CrossIndustry/Documents/Level-3-Discussion-Paper-Proposed-Level-3-Reporting-Requirements-(Sept-2013).pdf" TargetMode="External"/><Relationship Id="rId5" Type="http://schemas.openxmlformats.org/officeDocument/2006/relationships/hyperlink" Target="http://www.apra.gov.au/CrossIndustry/Pages/Supervision-of-conglomerate-groups-L3-March-2016.aspx" TargetMode="External"/><Relationship Id="rId10" Type="http://schemas.openxmlformats.org/officeDocument/2006/relationships/hyperlink" Target="http://www.apra.gov.au/CrossIndustry/Consultations/Documents/Level-3-Response-Paper-(May-2013).pdf" TargetMode="External"/><Relationship Id="rId4" Type="http://schemas.openxmlformats.org/officeDocument/2006/relationships/hyperlink" Target="http://www.apra.gov.au/CrossIndustry/Pages/Supervision-of-conglomerate-groups-L3-March-2016.aspx" TargetMode="External"/><Relationship Id="rId9" Type="http://schemas.openxmlformats.org/officeDocument/2006/relationships/hyperlink" Target="http://www.apra.gov.au/CrossIndustry/Consultations/Documents/Level-3-Response-paper-1-governance-risk-exposures-(December-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BAD32-C003-4B77-AC42-CF77B8E6483C}">
  <ds:schemaRefs>
    <ds:schemaRef ds:uri="http://schemas.openxmlformats.org/officeDocument/2006/bibliography"/>
  </ds:schemaRefs>
</ds:datastoreItem>
</file>

<file path=customXml/itemProps2.xml><?xml version="1.0" encoding="utf-8"?>
<ds:datastoreItem xmlns:ds="http://schemas.openxmlformats.org/officeDocument/2006/customXml" ds:itemID="{2E756075-61EC-433A-AB0B-68597E7204DC}">
  <ds:schemaRefs>
    <ds:schemaRef ds:uri="http://schemas.openxmlformats.org/officeDocument/2006/bibliography"/>
  </ds:schemaRefs>
</ds:datastoreItem>
</file>

<file path=customXml/itemProps3.xml><?xml version="1.0" encoding="utf-8"?>
<ds:datastoreItem xmlns:ds="http://schemas.openxmlformats.org/officeDocument/2006/customXml" ds:itemID="{82E2FB56-F19B-40EE-BA87-E68E84774A52}">
  <ds:schemaRefs>
    <ds:schemaRef ds:uri="http://schemas.openxmlformats.org/officeDocument/2006/bibliography"/>
  </ds:schemaRefs>
</ds:datastoreItem>
</file>

<file path=customXml/itemProps4.xml><?xml version="1.0" encoding="utf-8"?>
<ds:datastoreItem xmlns:ds="http://schemas.openxmlformats.org/officeDocument/2006/customXml" ds:itemID="{4AE887FF-2A35-422E-923E-21A670D7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8768</Words>
  <Characters>51438</Characters>
  <Application>Microsoft Office Word</Application>
  <DocSecurity>4</DocSecurity>
  <Lines>823</Lines>
  <Paragraphs>163</Paragraphs>
  <ScaleCrop>false</ScaleCrop>
  <HeadingPairs>
    <vt:vector size="2" baseType="variant">
      <vt:variant>
        <vt:lpstr>Title</vt:lpstr>
      </vt:variant>
      <vt:variant>
        <vt:i4>1</vt:i4>
      </vt:variant>
    </vt:vector>
  </HeadingPairs>
  <TitlesOfParts>
    <vt:vector size="1" baseType="lpstr">
      <vt:lpstr>Supervision of Conglomerate Groups (Level 3) - Regulation Impact Statement</vt:lpstr>
    </vt:vector>
  </TitlesOfParts>
  <Company/>
  <LinksUpToDate>false</LinksUpToDate>
  <CharactersWithSpaces>60106</CharactersWithSpaces>
  <SharedDoc>false</SharedDoc>
  <HLinks>
    <vt:vector size="24" baseType="variant">
      <vt:variant>
        <vt:i4>196653</vt:i4>
      </vt:variant>
      <vt:variant>
        <vt:i4>9</vt:i4>
      </vt:variant>
      <vt:variant>
        <vt:i4>0</vt:i4>
      </vt:variant>
      <vt:variant>
        <vt:i4>5</vt:i4>
      </vt:variant>
      <vt:variant>
        <vt:lpwstr>http://www.financialstabilityboard.org/publications/r_0904b.pdf</vt:lpwstr>
      </vt:variant>
      <vt:variant>
        <vt:lpwstr/>
      </vt:variant>
      <vt:variant>
        <vt:i4>5832730</vt:i4>
      </vt:variant>
      <vt:variant>
        <vt:i4>6</vt:i4>
      </vt:variant>
      <vt:variant>
        <vt:i4>0</vt:i4>
      </vt:variant>
      <vt:variant>
        <vt:i4>5</vt:i4>
      </vt:variant>
      <vt:variant>
        <vt:lpwstr>http://www.g20.utoronto.ca/2010/g20seoul.html</vt:lpwstr>
      </vt:variant>
      <vt:variant>
        <vt:lpwstr/>
      </vt:variant>
      <vt:variant>
        <vt:i4>8126525</vt:i4>
      </vt:variant>
      <vt:variant>
        <vt:i4>3</vt:i4>
      </vt:variant>
      <vt:variant>
        <vt:i4>0</vt:i4>
      </vt:variant>
      <vt:variant>
        <vt:i4>5</vt:i4>
      </vt:variant>
      <vt:variant>
        <vt:lpwstr>http://www.bis.org/publ/bcbs197.htm</vt:lpwstr>
      </vt:variant>
      <vt:variant>
        <vt:lpwstr/>
      </vt:variant>
      <vt:variant>
        <vt:i4>7798840</vt:i4>
      </vt:variant>
      <vt:variant>
        <vt:i4>0</vt:i4>
      </vt:variant>
      <vt:variant>
        <vt:i4>0</vt:i4>
      </vt:variant>
      <vt:variant>
        <vt:i4>5</vt:i4>
      </vt:variant>
      <vt:variant>
        <vt:lpwstr>http://www.bis.org/publ/bcbs221.htm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Conglomerate Groups (Level 3) - Regulation Impact Statement</dc:title>
  <dc:creator/>
  <cp:keywords>[SEC=UNCLASSIFIED]</cp:keywords>
  <cp:lastModifiedBy/>
  <cp:revision>1</cp:revision>
  <dcterms:created xsi:type="dcterms:W3CDTF">2016-09-12T20:20:00Z</dcterms:created>
  <dcterms:modified xsi:type="dcterms:W3CDTF">2016-09-12T20:20:00Z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D04A1C01782B1089F23FAB86C57859A3C3C02993</vt:lpwstr>
  </property>
  <property fmtid="{D5CDD505-2E9C-101B-9397-08002B2CF9AE}" pid="7" name="PM_InsertionValue">
    <vt:lpwstr>UNCLASSIFIED</vt:lpwstr>
  </property>
  <property fmtid="{D5CDD505-2E9C-101B-9397-08002B2CF9AE}" pid="8" name="PM_Hash_Salt">
    <vt:lpwstr>222EFFFE839489AD89301280C05D7D47</vt:lpwstr>
  </property>
  <property fmtid="{D5CDD505-2E9C-101B-9397-08002B2CF9AE}" pid="9" name="PM_Hash_Version">
    <vt:lpwstr>2014.2</vt:lpwstr>
  </property>
  <property fmtid="{D5CDD505-2E9C-101B-9397-08002B2CF9AE}" pid="10" name="PM_Hash_Salt_Prev">
    <vt:lpwstr>D7C8E95013D7169EA226D82EB1481866</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ies>
</file>