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0DD18" w14:textId="77777777" w:rsidR="002436BD" w:rsidRPr="002C6D26" w:rsidRDefault="00E62E09" w:rsidP="00113C3C">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w:t>
      </w:r>
      <w:r w:rsidR="00D65344">
        <w:rPr>
          <w:rFonts w:ascii="Times New Roman" w:hAnsi="Times New Roman"/>
          <w:sz w:val="24"/>
          <w:szCs w:val="24"/>
        </w:rPr>
        <w:t>s</w:t>
      </w:r>
      <w:r w:rsidR="002436BD" w:rsidRPr="002C6D26">
        <w:rPr>
          <w:rFonts w:ascii="Times New Roman" w:hAnsi="Times New Roman"/>
          <w:sz w:val="24"/>
          <w:szCs w:val="24"/>
        </w:rPr>
        <w:t xml:space="preserve"> No</w:t>
      </w:r>
      <w:r w:rsidR="00D65344">
        <w:rPr>
          <w:rFonts w:ascii="Times New Roman" w:hAnsi="Times New Roman"/>
          <w:sz w:val="24"/>
          <w:szCs w:val="24"/>
        </w:rPr>
        <w:t>s</w:t>
      </w:r>
      <w:r w:rsidR="002436BD" w:rsidRPr="002C6D26">
        <w:rPr>
          <w:rFonts w:ascii="Times New Roman" w:hAnsi="Times New Roman"/>
          <w:sz w:val="24"/>
          <w:szCs w:val="24"/>
        </w:rPr>
        <w:t xml:space="preserve">. </w:t>
      </w:r>
      <w:r w:rsidR="00134D41">
        <w:rPr>
          <w:rFonts w:ascii="Times New Roman" w:hAnsi="Times New Roman"/>
          <w:sz w:val="24"/>
          <w:szCs w:val="24"/>
        </w:rPr>
        <w:t>16 to 21</w:t>
      </w:r>
      <w:r w:rsidR="002436BD" w:rsidRPr="002C6D26">
        <w:rPr>
          <w:rFonts w:ascii="Times New Roman" w:hAnsi="Times New Roman"/>
          <w:sz w:val="24"/>
          <w:szCs w:val="24"/>
        </w:rPr>
        <w:t xml:space="preserve"> of 20</w:t>
      </w:r>
      <w:r w:rsidR="00D65344">
        <w:rPr>
          <w:rFonts w:ascii="Times New Roman" w:hAnsi="Times New Roman"/>
          <w:sz w:val="24"/>
          <w:szCs w:val="24"/>
        </w:rPr>
        <w:t>16</w:t>
      </w:r>
    </w:p>
    <w:p w14:paraId="2EEE8ADB" w14:textId="77777777" w:rsidR="002436BD" w:rsidRPr="002C6D26" w:rsidRDefault="002436BD" w:rsidP="00113C3C">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1051C2B0" w14:textId="77777777" w:rsidR="002436BD" w:rsidRPr="002C6D26" w:rsidRDefault="002436BD" w:rsidP="00113C3C">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2BA68639" w14:textId="77777777" w:rsidR="001A2ADB" w:rsidRDefault="001A2ADB" w:rsidP="00113C3C">
      <w:pPr>
        <w:pStyle w:val="heading0"/>
        <w:spacing w:before="0" w:beforeAutospacing="0" w:after="240" w:afterAutospacing="0"/>
        <w:jc w:val="center"/>
        <w:rPr>
          <w:rFonts w:ascii="Helvetica Neue" w:hAnsi="Helvetica Neue"/>
          <w:sz w:val="19"/>
          <w:szCs w:val="19"/>
        </w:rPr>
      </w:pPr>
      <w:r>
        <w:rPr>
          <w:i/>
          <w:iCs/>
        </w:rPr>
        <w:t>Financial Sector (Collection of Data) Act 2001</w:t>
      </w:r>
      <w:r>
        <w:t>, sections 13 and 15</w:t>
      </w:r>
    </w:p>
    <w:p w14:paraId="2E77F999" w14:textId="77777777" w:rsidR="002436BD" w:rsidRPr="002C6D26" w:rsidRDefault="002436BD" w:rsidP="001317F6">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p>
    <w:p w14:paraId="4BAF2199" w14:textId="40D5FB42" w:rsidR="00246723" w:rsidRPr="00246723" w:rsidRDefault="00246723" w:rsidP="001317F6">
      <w:pPr>
        <w:spacing w:after="240"/>
        <w:jc w:val="both"/>
        <w:rPr>
          <w:rFonts w:ascii="Times New Roman" w:hAnsi="Times New Roman"/>
          <w:sz w:val="24"/>
          <w:szCs w:val="24"/>
        </w:rPr>
      </w:pPr>
      <w:r w:rsidRPr="00246723">
        <w:rPr>
          <w:rFonts w:ascii="Times New Roman" w:hAnsi="Times New Roman"/>
          <w:sz w:val="24"/>
          <w:szCs w:val="24"/>
        </w:rPr>
        <w:t xml:space="preserve">On </w:t>
      </w:r>
      <w:r w:rsidR="00D72FA1">
        <w:rPr>
          <w:rFonts w:ascii="Times New Roman" w:hAnsi="Times New Roman"/>
          <w:sz w:val="24"/>
          <w:szCs w:val="24"/>
        </w:rPr>
        <w:t>6 September 2016</w:t>
      </w:r>
      <w:r w:rsidRPr="00246723">
        <w:rPr>
          <w:rFonts w:ascii="Times New Roman" w:hAnsi="Times New Roman"/>
          <w:sz w:val="24"/>
          <w:szCs w:val="24"/>
        </w:rPr>
        <w:t>, APRA made the following determinations (the instruments):</w:t>
      </w:r>
    </w:p>
    <w:p w14:paraId="18A8BB35" w14:textId="77777777" w:rsidR="00AC7A56" w:rsidRPr="003678FC" w:rsidRDefault="000B14BD" w:rsidP="001317F6">
      <w:pPr>
        <w:widowControl w:val="0"/>
        <w:numPr>
          <w:ilvl w:val="0"/>
          <w:numId w:val="4"/>
        </w:numPr>
        <w:spacing w:after="240"/>
        <w:ind w:left="567" w:hanging="567"/>
        <w:jc w:val="both"/>
        <w:rPr>
          <w:rFonts w:ascii="Times New Roman" w:hAnsi="Times New Roman"/>
          <w:sz w:val="24"/>
          <w:szCs w:val="24"/>
        </w:rPr>
      </w:pPr>
      <w:r w:rsidRPr="003678FC">
        <w:rPr>
          <w:rFonts w:ascii="Times New Roman" w:hAnsi="Times New Roman"/>
          <w:sz w:val="24"/>
          <w:szCs w:val="24"/>
        </w:rPr>
        <w:t>Financial Sector (Collection of Data) (reportin</w:t>
      </w:r>
      <w:r w:rsidR="00736D41" w:rsidRPr="003678FC">
        <w:rPr>
          <w:rFonts w:ascii="Times New Roman" w:hAnsi="Times New Roman"/>
          <w:sz w:val="24"/>
          <w:szCs w:val="24"/>
        </w:rPr>
        <w:t xml:space="preserve">g standard) determination No. </w:t>
      </w:r>
      <w:r w:rsidR="00225786">
        <w:rPr>
          <w:rFonts w:ascii="Times New Roman" w:hAnsi="Times New Roman"/>
          <w:sz w:val="24"/>
          <w:szCs w:val="24"/>
        </w:rPr>
        <w:t>16 of 2016</w:t>
      </w:r>
      <w:r w:rsidRPr="003678FC">
        <w:rPr>
          <w:rFonts w:ascii="Times New Roman" w:hAnsi="Times New Roman"/>
          <w:sz w:val="24"/>
          <w:szCs w:val="24"/>
        </w:rPr>
        <w:t xml:space="preserve"> which</w:t>
      </w:r>
      <w:r w:rsidR="003678FC">
        <w:rPr>
          <w:rFonts w:ascii="Times New Roman" w:hAnsi="Times New Roman"/>
          <w:sz w:val="24"/>
          <w:szCs w:val="24"/>
        </w:rPr>
        <w:t xml:space="preserve"> </w:t>
      </w:r>
      <w:r w:rsidRPr="003678FC">
        <w:rPr>
          <w:rFonts w:ascii="Times New Roman" w:hAnsi="Times New Roman"/>
          <w:sz w:val="24"/>
          <w:szCs w:val="24"/>
        </w:rPr>
        <w:t xml:space="preserve">determines </w:t>
      </w:r>
      <w:r w:rsidRPr="003678FC">
        <w:rPr>
          <w:rFonts w:ascii="Times New Roman" w:hAnsi="Times New Roman"/>
          <w:i/>
          <w:sz w:val="24"/>
          <w:szCs w:val="24"/>
        </w:rPr>
        <w:t xml:space="preserve">Reporting Standard </w:t>
      </w:r>
      <w:r w:rsidR="00225786">
        <w:rPr>
          <w:rFonts w:ascii="Times New Roman" w:hAnsi="Times New Roman"/>
          <w:i/>
          <w:sz w:val="24"/>
          <w:szCs w:val="24"/>
        </w:rPr>
        <w:t>GRS 800.1 Policy Data:</w:t>
      </w:r>
      <w:r w:rsidR="006259DC">
        <w:rPr>
          <w:rFonts w:ascii="Times New Roman" w:hAnsi="Times New Roman"/>
          <w:i/>
          <w:sz w:val="24"/>
          <w:szCs w:val="24"/>
        </w:rPr>
        <w:t xml:space="preserve"> </w:t>
      </w:r>
      <w:r w:rsidR="00225786">
        <w:rPr>
          <w:rFonts w:ascii="Times New Roman" w:hAnsi="Times New Roman"/>
          <w:i/>
          <w:sz w:val="24"/>
          <w:szCs w:val="24"/>
        </w:rPr>
        <w:t>Public and Product Liability and Professional Indemnity Insu</w:t>
      </w:r>
      <w:r w:rsidR="006259DC">
        <w:rPr>
          <w:rFonts w:ascii="Times New Roman" w:hAnsi="Times New Roman"/>
          <w:i/>
          <w:sz w:val="24"/>
          <w:szCs w:val="24"/>
        </w:rPr>
        <w:t xml:space="preserve">rance </w:t>
      </w:r>
      <w:r w:rsidRPr="003678FC">
        <w:rPr>
          <w:rFonts w:ascii="Times New Roman" w:hAnsi="Times New Roman"/>
          <w:sz w:val="24"/>
          <w:szCs w:val="24"/>
        </w:rPr>
        <w:t>(</w:t>
      </w:r>
      <w:r w:rsidR="0060123F">
        <w:rPr>
          <w:rFonts w:ascii="Times New Roman" w:hAnsi="Times New Roman"/>
          <w:sz w:val="24"/>
          <w:szCs w:val="24"/>
        </w:rPr>
        <w:t>GRS 800.1</w:t>
      </w:r>
      <w:r w:rsidRPr="003678FC">
        <w:rPr>
          <w:rFonts w:ascii="Times New Roman" w:hAnsi="Times New Roman"/>
          <w:sz w:val="24"/>
          <w:szCs w:val="24"/>
        </w:rPr>
        <w:t>)</w:t>
      </w:r>
      <w:r w:rsidR="00AC7A56" w:rsidRPr="003678FC">
        <w:rPr>
          <w:rFonts w:ascii="Times New Roman" w:hAnsi="Times New Roman"/>
          <w:sz w:val="24"/>
          <w:szCs w:val="24"/>
        </w:rPr>
        <w:t>;</w:t>
      </w:r>
    </w:p>
    <w:p w14:paraId="1C22A4D1" w14:textId="77777777" w:rsidR="00AC7A56" w:rsidRDefault="000B14BD" w:rsidP="001317F6">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sidR="0060123F">
        <w:rPr>
          <w:rFonts w:ascii="Times New Roman" w:hAnsi="Times New Roman"/>
          <w:sz w:val="24"/>
          <w:szCs w:val="24"/>
        </w:rPr>
        <w:t>17 of 2016</w:t>
      </w:r>
      <w:r w:rsidRPr="000B14BD">
        <w:rPr>
          <w:rFonts w:ascii="Times New Roman" w:hAnsi="Times New Roman"/>
          <w:sz w:val="24"/>
          <w:szCs w:val="24"/>
        </w:rPr>
        <w:t xml:space="preserve"> which</w:t>
      </w:r>
      <w:r w:rsidR="003678FC">
        <w:rPr>
          <w:rFonts w:ascii="Times New Roman" w:hAnsi="Times New Roman"/>
          <w:sz w:val="24"/>
          <w:szCs w:val="24"/>
        </w:rPr>
        <w:t xml:space="preserve"> </w:t>
      </w:r>
      <w:r w:rsidR="002269A4">
        <w:rPr>
          <w:rFonts w:ascii="Times New Roman" w:hAnsi="Times New Roman"/>
          <w:sz w:val="24"/>
          <w:szCs w:val="24"/>
        </w:rPr>
        <w:t xml:space="preserve">revokes </w:t>
      </w:r>
      <w:r w:rsidR="00B95911" w:rsidRPr="00B95911">
        <w:rPr>
          <w:rFonts w:ascii="Times New Roman" w:hAnsi="Times New Roman"/>
          <w:i/>
          <w:sz w:val="24"/>
          <w:szCs w:val="24"/>
        </w:rPr>
        <w:t xml:space="preserve">Reporting </w:t>
      </w:r>
      <w:r w:rsidR="0036492D">
        <w:rPr>
          <w:rFonts w:ascii="Times New Roman" w:hAnsi="Times New Roman"/>
          <w:i/>
          <w:sz w:val="24"/>
          <w:szCs w:val="24"/>
        </w:rPr>
        <w:t>S</w:t>
      </w:r>
      <w:r w:rsidR="00B95911" w:rsidRPr="00B95911">
        <w:rPr>
          <w:rFonts w:ascii="Times New Roman" w:hAnsi="Times New Roman"/>
          <w:i/>
          <w:sz w:val="24"/>
          <w:szCs w:val="24"/>
        </w:rPr>
        <w:t xml:space="preserve">tandard GRS 800.2 Claim Data: Public and Product Liability and Professional Indemnity Insurance </w:t>
      </w:r>
      <w:r w:rsidR="00B95911" w:rsidRPr="00B95911">
        <w:rPr>
          <w:rFonts w:ascii="Times New Roman" w:hAnsi="Times New Roman"/>
          <w:sz w:val="24"/>
          <w:szCs w:val="24"/>
        </w:rPr>
        <w:t xml:space="preserve">made under </w:t>
      </w:r>
      <w:r w:rsidR="003C3E7B" w:rsidRPr="003C3E7B">
        <w:rPr>
          <w:rFonts w:ascii="Times New Roman" w:hAnsi="Times New Roman"/>
          <w:sz w:val="24"/>
          <w:szCs w:val="24"/>
        </w:rPr>
        <w:t>Financial Sector (Collection of Data) (reporting standard) determination No. 62 of 2006</w:t>
      </w:r>
      <w:r w:rsidR="00B95911">
        <w:rPr>
          <w:rFonts w:ascii="Times New Roman" w:hAnsi="Times New Roman"/>
          <w:sz w:val="24"/>
          <w:szCs w:val="24"/>
        </w:rPr>
        <w:t xml:space="preserve">, and </w:t>
      </w:r>
      <w:r w:rsidRPr="000B14BD">
        <w:rPr>
          <w:rFonts w:ascii="Times New Roman" w:hAnsi="Times New Roman"/>
          <w:sz w:val="24"/>
          <w:szCs w:val="24"/>
        </w:rPr>
        <w:t xml:space="preserve">determines </w:t>
      </w:r>
      <w:r w:rsidRPr="000B14BD">
        <w:rPr>
          <w:rFonts w:ascii="Times New Roman" w:hAnsi="Times New Roman"/>
          <w:i/>
          <w:sz w:val="24"/>
          <w:szCs w:val="24"/>
        </w:rPr>
        <w:t>Reporting Standard</w:t>
      </w:r>
      <w:r w:rsidR="0060123F">
        <w:rPr>
          <w:rFonts w:ascii="Times New Roman" w:hAnsi="Times New Roman"/>
          <w:i/>
          <w:sz w:val="24"/>
          <w:szCs w:val="24"/>
        </w:rPr>
        <w:t xml:space="preserve"> GRS 800.</w:t>
      </w:r>
      <w:r w:rsidR="00B905D6">
        <w:rPr>
          <w:rFonts w:ascii="Times New Roman" w:hAnsi="Times New Roman"/>
          <w:i/>
          <w:sz w:val="24"/>
          <w:szCs w:val="24"/>
        </w:rPr>
        <w:t>2</w:t>
      </w:r>
      <w:r w:rsidR="0060123F">
        <w:rPr>
          <w:rFonts w:ascii="Times New Roman" w:hAnsi="Times New Roman"/>
          <w:i/>
          <w:sz w:val="24"/>
          <w:szCs w:val="24"/>
        </w:rPr>
        <w:t xml:space="preserve"> </w:t>
      </w:r>
      <w:r w:rsidR="00B905D6">
        <w:rPr>
          <w:rFonts w:ascii="Times New Roman" w:hAnsi="Times New Roman"/>
          <w:i/>
          <w:sz w:val="24"/>
          <w:szCs w:val="24"/>
        </w:rPr>
        <w:t xml:space="preserve">Claim </w:t>
      </w:r>
      <w:r w:rsidR="0060123F">
        <w:rPr>
          <w:rFonts w:ascii="Times New Roman" w:hAnsi="Times New Roman"/>
          <w:i/>
          <w:sz w:val="24"/>
          <w:szCs w:val="24"/>
        </w:rPr>
        <w:t>Business Data: Public and Product Liability and Professional Indemnity Insurance</w:t>
      </w:r>
      <w:r w:rsidRPr="000B14BD">
        <w:rPr>
          <w:rFonts w:ascii="Times New Roman" w:hAnsi="Times New Roman"/>
          <w:i/>
          <w:sz w:val="24"/>
          <w:szCs w:val="24"/>
        </w:rPr>
        <w:t xml:space="preserve"> </w:t>
      </w:r>
      <w:r w:rsidR="00B905D6">
        <w:rPr>
          <w:rFonts w:ascii="Times New Roman" w:hAnsi="Times New Roman"/>
          <w:sz w:val="24"/>
          <w:szCs w:val="24"/>
        </w:rPr>
        <w:t>(GRS 800.2</w:t>
      </w:r>
      <w:r w:rsidR="00B731B6" w:rsidRPr="00B731B6">
        <w:rPr>
          <w:rFonts w:ascii="Times New Roman" w:hAnsi="Times New Roman"/>
          <w:sz w:val="24"/>
          <w:szCs w:val="24"/>
        </w:rPr>
        <w:t>)</w:t>
      </w:r>
      <w:r w:rsidR="0060123F">
        <w:rPr>
          <w:rFonts w:ascii="Times New Roman" w:hAnsi="Times New Roman"/>
          <w:sz w:val="24"/>
          <w:szCs w:val="24"/>
        </w:rPr>
        <w:t xml:space="preserve">; </w:t>
      </w:r>
    </w:p>
    <w:p w14:paraId="7819A11E" w14:textId="77777777" w:rsidR="00B905D6" w:rsidRPr="00B905D6" w:rsidRDefault="00B905D6" w:rsidP="00B905D6">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Pr>
          <w:rFonts w:ascii="Times New Roman" w:hAnsi="Times New Roman"/>
          <w:sz w:val="24"/>
          <w:szCs w:val="24"/>
        </w:rPr>
        <w:t>18 of 2016</w:t>
      </w:r>
      <w:r w:rsidRPr="000B14BD">
        <w:rPr>
          <w:rFonts w:ascii="Times New Roman" w:hAnsi="Times New Roman"/>
          <w:sz w:val="24"/>
          <w:szCs w:val="24"/>
        </w:rPr>
        <w:t xml:space="preserve"> which</w:t>
      </w:r>
      <w:r>
        <w:rPr>
          <w:rFonts w:ascii="Times New Roman" w:hAnsi="Times New Roman"/>
          <w:sz w:val="24"/>
          <w:szCs w:val="24"/>
        </w:rPr>
        <w:t xml:space="preserve"> </w:t>
      </w:r>
      <w:r w:rsidRPr="000B14BD">
        <w:rPr>
          <w:rFonts w:ascii="Times New Roman" w:hAnsi="Times New Roman"/>
          <w:sz w:val="24"/>
          <w:szCs w:val="24"/>
        </w:rPr>
        <w:t xml:space="preserve">determines </w:t>
      </w:r>
      <w:r w:rsidRPr="000B14BD">
        <w:rPr>
          <w:rFonts w:ascii="Times New Roman" w:hAnsi="Times New Roman"/>
          <w:i/>
          <w:sz w:val="24"/>
          <w:szCs w:val="24"/>
        </w:rPr>
        <w:t>Reporting Standard</w:t>
      </w:r>
      <w:r>
        <w:rPr>
          <w:rFonts w:ascii="Times New Roman" w:hAnsi="Times New Roman"/>
          <w:i/>
          <w:sz w:val="24"/>
          <w:szCs w:val="24"/>
        </w:rPr>
        <w:t xml:space="preserve"> GRS 800.3 Facility Business Data: Public and Product Liability and Professional Indemnity Insurance</w:t>
      </w:r>
      <w:r w:rsidRPr="000B14BD">
        <w:rPr>
          <w:rFonts w:ascii="Times New Roman" w:hAnsi="Times New Roman"/>
          <w:i/>
          <w:sz w:val="24"/>
          <w:szCs w:val="24"/>
        </w:rPr>
        <w:t xml:space="preserve"> </w:t>
      </w:r>
      <w:r>
        <w:rPr>
          <w:rFonts w:ascii="Times New Roman" w:hAnsi="Times New Roman"/>
          <w:sz w:val="24"/>
          <w:szCs w:val="24"/>
        </w:rPr>
        <w:t>(GRS 800.3</w:t>
      </w:r>
      <w:r w:rsidRPr="00B731B6">
        <w:rPr>
          <w:rFonts w:ascii="Times New Roman" w:hAnsi="Times New Roman"/>
          <w:sz w:val="24"/>
          <w:szCs w:val="24"/>
        </w:rPr>
        <w:t>)</w:t>
      </w:r>
      <w:r>
        <w:rPr>
          <w:rFonts w:ascii="Times New Roman" w:hAnsi="Times New Roman"/>
          <w:sz w:val="24"/>
          <w:szCs w:val="24"/>
        </w:rPr>
        <w:t xml:space="preserve">; </w:t>
      </w:r>
    </w:p>
    <w:p w14:paraId="0A46E8C6" w14:textId="77777777" w:rsidR="0060123F" w:rsidRPr="003678FC" w:rsidRDefault="0060123F" w:rsidP="0060123F">
      <w:pPr>
        <w:widowControl w:val="0"/>
        <w:numPr>
          <w:ilvl w:val="0"/>
          <w:numId w:val="4"/>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B905D6">
        <w:rPr>
          <w:rFonts w:ascii="Times New Roman" w:hAnsi="Times New Roman"/>
          <w:sz w:val="24"/>
          <w:szCs w:val="24"/>
        </w:rPr>
        <w:t>19</w:t>
      </w:r>
      <w:r>
        <w:rPr>
          <w:rFonts w:ascii="Times New Roman" w:hAnsi="Times New Roman"/>
          <w:sz w:val="24"/>
          <w:szCs w:val="24"/>
        </w:rPr>
        <w:t xml:space="preserve"> of 2016</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 xml:space="preserve">determines </w:t>
      </w:r>
      <w:r w:rsidRPr="003678FC">
        <w:rPr>
          <w:rFonts w:ascii="Times New Roman" w:hAnsi="Times New Roman"/>
          <w:i/>
          <w:sz w:val="24"/>
          <w:szCs w:val="24"/>
        </w:rPr>
        <w:t xml:space="preserve">Reporting Standard </w:t>
      </w:r>
      <w:r>
        <w:rPr>
          <w:rFonts w:ascii="Times New Roman" w:hAnsi="Times New Roman"/>
          <w:i/>
          <w:sz w:val="24"/>
          <w:szCs w:val="24"/>
        </w:rPr>
        <w:t xml:space="preserve">LOLRS 800.1 Policy Data: Public and Product Liability and Professional Indemnity Insurance </w:t>
      </w:r>
      <w:r w:rsidRPr="003678FC">
        <w:rPr>
          <w:rFonts w:ascii="Times New Roman" w:hAnsi="Times New Roman"/>
          <w:sz w:val="24"/>
          <w:szCs w:val="24"/>
        </w:rPr>
        <w:t>(</w:t>
      </w:r>
      <w:r w:rsidR="006B1F23">
        <w:rPr>
          <w:rFonts w:ascii="Times New Roman" w:hAnsi="Times New Roman"/>
          <w:sz w:val="24"/>
          <w:szCs w:val="24"/>
        </w:rPr>
        <w:t>LOL</w:t>
      </w:r>
      <w:r>
        <w:rPr>
          <w:rFonts w:ascii="Times New Roman" w:hAnsi="Times New Roman"/>
          <w:sz w:val="24"/>
          <w:szCs w:val="24"/>
        </w:rPr>
        <w:t>RS 800.1</w:t>
      </w:r>
      <w:r w:rsidRPr="003678FC">
        <w:rPr>
          <w:rFonts w:ascii="Times New Roman" w:hAnsi="Times New Roman"/>
          <w:sz w:val="24"/>
          <w:szCs w:val="24"/>
        </w:rPr>
        <w:t>);</w:t>
      </w:r>
      <w:r w:rsidR="00B905D6">
        <w:rPr>
          <w:rFonts w:ascii="Times New Roman" w:hAnsi="Times New Roman"/>
          <w:sz w:val="24"/>
          <w:szCs w:val="24"/>
        </w:rPr>
        <w:t xml:space="preserve"> </w:t>
      </w:r>
    </w:p>
    <w:p w14:paraId="5D5CA48F" w14:textId="77777777" w:rsidR="00B905D6" w:rsidRPr="00B905D6" w:rsidRDefault="00B905D6" w:rsidP="00B905D6">
      <w:pPr>
        <w:widowControl w:val="0"/>
        <w:numPr>
          <w:ilvl w:val="0"/>
          <w:numId w:val="4"/>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Pr>
          <w:rFonts w:ascii="Times New Roman" w:hAnsi="Times New Roman"/>
          <w:sz w:val="24"/>
          <w:szCs w:val="24"/>
        </w:rPr>
        <w:t>20 of 2016</w:t>
      </w:r>
      <w:r w:rsidRPr="003678FC">
        <w:rPr>
          <w:rFonts w:ascii="Times New Roman" w:hAnsi="Times New Roman"/>
          <w:sz w:val="24"/>
          <w:szCs w:val="24"/>
        </w:rPr>
        <w:t xml:space="preserve"> which</w:t>
      </w:r>
      <w:r>
        <w:rPr>
          <w:rFonts w:ascii="Times New Roman" w:hAnsi="Times New Roman"/>
          <w:sz w:val="24"/>
          <w:szCs w:val="24"/>
        </w:rPr>
        <w:t xml:space="preserve"> </w:t>
      </w:r>
      <w:r w:rsidR="003C3E7B">
        <w:rPr>
          <w:rFonts w:ascii="Times New Roman" w:hAnsi="Times New Roman"/>
          <w:sz w:val="24"/>
          <w:szCs w:val="24"/>
        </w:rPr>
        <w:t xml:space="preserve">revokes </w:t>
      </w:r>
      <w:r w:rsidR="003C3E7B" w:rsidRPr="003C3E7B">
        <w:rPr>
          <w:rFonts w:ascii="Times New Roman" w:hAnsi="Times New Roman"/>
          <w:i/>
          <w:sz w:val="24"/>
          <w:szCs w:val="24"/>
        </w:rPr>
        <w:t xml:space="preserve">Reporting </w:t>
      </w:r>
      <w:r w:rsidR="0036492D">
        <w:rPr>
          <w:rFonts w:ascii="Times New Roman" w:hAnsi="Times New Roman"/>
          <w:i/>
          <w:sz w:val="24"/>
          <w:szCs w:val="24"/>
        </w:rPr>
        <w:t>S</w:t>
      </w:r>
      <w:r w:rsidR="003C3E7B" w:rsidRPr="003C3E7B">
        <w:rPr>
          <w:rFonts w:ascii="Times New Roman" w:hAnsi="Times New Roman"/>
          <w:i/>
          <w:sz w:val="24"/>
          <w:szCs w:val="24"/>
        </w:rPr>
        <w:t xml:space="preserve">tandard LOLRS 800.2 Claim Data: Public and Product Liability and Professional Indemnity Insurance </w:t>
      </w:r>
      <w:r w:rsidR="003C3E7B" w:rsidRPr="00C61BB2">
        <w:rPr>
          <w:rFonts w:ascii="Times New Roman" w:hAnsi="Times New Roman"/>
          <w:sz w:val="24"/>
          <w:szCs w:val="24"/>
        </w:rPr>
        <w:t>made under</w:t>
      </w:r>
      <w:r w:rsidR="003C3E7B">
        <w:rPr>
          <w:rFonts w:ascii="Times New Roman" w:hAnsi="Times New Roman"/>
          <w:i/>
          <w:sz w:val="24"/>
          <w:szCs w:val="24"/>
        </w:rPr>
        <w:t xml:space="preserve"> </w:t>
      </w:r>
      <w:r w:rsidR="003C3E7B" w:rsidRPr="003C3E7B">
        <w:rPr>
          <w:rFonts w:ascii="Times New Roman" w:hAnsi="Times New Roman"/>
          <w:i/>
          <w:sz w:val="24"/>
          <w:szCs w:val="24"/>
        </w:rPr>
        <w:t xml:space="preserve">Financial Sector (Collection of Data) (reporting standard) determination No. 61 of 2006, </w:t>
      </w:r>
      <w:r w:rsidR="00690AB7" w:rsidRPr="00C61BB2">
        <w:rPr>
          <w:rFonts w:ascii="Times New Roman" w:hAnsi="Times New Roman"/>
          <w:sz w:val="24"/>
          <w:szCs w:val="24"/>
        </w:rPr>
        <w:t xml:space="preserve">and </w:t>
      </w:r>
      <w:r w:rsidRPr="003678FC">
        <w:rPr>
          <w:rFonts w:ascii="Times New Roman" w:hAnsi="Times New Roman"/>
          <w:sz w:val="24"/>
          <w:szCs w:val="24"/>
        </w:rPr>
        <w:t xml:space="preserve">determines </w:t>
      </w:r>
      <w:r w:rsidRPr="003678FC">
        <w:rPr>
          <w:rFonts w:ascii="Times New Roman" w:hAnsi="Times New Roman"/>
          <w:i/>
          <w:sz w:val="24"/>
          <w:szCs w:val="24"/>
        </w:rPr>
        <w:t xml:space="preserve">Reporting Standard </w:t>
      </w:r>
      <w:r>
        <w:rPr>
          <w:rFonts w:ascii="Times New Roman" w:hAnsi="Times New Roman"/>
          <w:i/>
          <w:sz w:val="24"/>
          <w:szCs w:val="24"/>
        </w:rPr>
        <w:t xml:space="preserve">LOLRS 800.2 Claims Data: Public and Product Liability and Professional Indemnity Insurance </w:t>
      </w:r>
      <w:r w:rsidRPr="003678FC">
        <w:rPr>
          <w:rFonts w:ascii="Times New Roman" w:hAnsi="Times New Roman"/>
          <w:sz w:val="24"/>
          <w:szCs w:val="24"/>
        </w:rPr>
        <w:t>(</w:t>
      </w:r>
      <w:r>
        <w:rPr>
          <w:rFonts w:ascii="Times New Roman" w:hAnsi="Times New Roman"/>
          <w:sz w:val="24"/>
          <w:szCs w:val="24"/>
        </w:rPr>
        <w:t>LOLRS 800.2</w:t>
      </w:r>
      <w:r w:rsidRPr="003678FC">
        <w:rPr>
          <w:rFonts w:ascii="Times New Roman" w:hAnsi="Times New Roman"/>
          <w:sz w:val="24"/>
          <w:szCs w:val="24"/>
        </w:rPr>
        <w:t>);</w:t>
      </w:r>
      <w:r>
        <w:rPr>
          <w:rFonts w:ascii="Times New Roman" w:hAnsi="Times New Roman"/>
          <w:sz w:val="24"/>
          <w:szCs w:val="24"/>
        </w:rPr>
        <w:t xml:space="preserve"> and</w:t>
      </w:r>
    </w:p>
    <w:p w14:paraId="4621D75E" w14:textId="77777777" w:rsidR="0060123F" w:rsidRDefault="006B1F23" w:rsidP="001317F6">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sidR="00B905D6">
        <w:rPr>
          <w:rFonts w:ascii="Times New Roman" w:hAnsi="Times New Roman"/>
          <w:sz w:val="24"/>
          <w:szCs w:val="24"/>
        </w:rPr>
        <w:t>21</w:t>
      </w:r>
      <w:r>
        <w:rPr>
          <w:rFonts w:ascii="Times New Roman" w:hAnsi="Times New Roman"/>
          <w:sz w:val="24"/>
          <w:szCs w:val="24"/>
        </w:rPr>
        <w:t xml:space="preserve"> of 2016</w:t>
      </w:r>
      <w:r w:rsidRPr="000B14BD">
        <w:rPr>
          <w:rFonts w:ascii="Times New Roman" w:hAnsi="Times New Roman"/>
          <w:sz w:val="24"/>
          <w:szCs w:val="24"/>
        </w:rPr>
        <w:t xml:space="preserve"> which</w:t>
      </w:r>
      <w:r>
        <w:rPr>
          <w:rFonts w:ascii="Times New Roman" w:hAnsi="Times New Roman"/>
          <w:sz w:val="24"/>
          <w:szCs w:val="24"/>
        </w:rPr>
        <w:t xml:space="preserve"> </w:t>
      </w:r>
      <w:r w:rsidRPr="000B14BD">
        <w:rPr>
          <w:rFonts w:ascii="Times New Roman" w:hAnsi="Times New Roman"/>
          <w:sz w:val="24"/>
          <w:szCs w:val="24"/>
        </w:rPr>
        <w:t xml:space="preserve">determines </w:t>
      </w:r>
      <w:r w:rsidRPr="000B14BD">
        <w:rPr>
          <w:rFonts w:ascii="Times New Roman" w:hAnsi="Times New Roman"/>
          <w:i/>
          <w:sz w:val="24"/>
          <w:szCs w:val="24"/>
        </w:rPr>
        <w:t>Reporting Standard</w:t>
      </w:r>
      <w:r>
        <w:rPr>
          <w:rFonts w:ascii="Times New Roman" w:hAnsi="Times New Roman"/>
          <w:i/>
          <w:sz w:val="24"/>
          <w:szCs w:val="24"/>
        </w:rPr>
        <w:t xml:space="preserve"> LOLRS 800.3 Facility Business Data: Public and Product Liability and Professional Indemnity Insurance</w:t>
      </w:r>
      <w:r w:rsidRPr="000B14BD">
        <w:rPr>
          <w:rFonts w:ascii="Times New Roman" w:hAnsi="Times New Roman"/>
          <w:i/>
          <w:sz w:val="24"/>
          <w:szCs w:val="24"/>
        </w:rPr>
        <w:t xml:space="preserve"> </w:t>
      </w:r>
      <w:r>
        <w:rPr>
          <w:rFonts w:ascii="Times New Roman" w:hAnsi="Times New Roman"/>
          <w:sz w:val="24"/>
          <w:szCs w:val="24"/>
        </w:rPr>
        <w:t>(LOLRS 800.3</w:t>
      </w:r>
      <w:r w:rsidRPr="00B731B6">
        <w:rPr>
          <w:rFonts w:ascii="Times New Roman" w:hAnsi="Times New Roman"/>
          <w:sz w:val="24"/>
          <w:szCs w:val="24"/>
        </w:rPr>
        <w:t>)</w:t>
      </w:r>
    </w:p>
    <w:p w14:paraId="1B500DB0" w14:textId="77777777" w:rsidR="00A36B6B" w:rsidRDefault="00AC7A56" w:rsidP="001317F6">
      <w:pPr>
        <w:widowControl w:val="0"/>
        <w:spacing w:after="240"/>
        <w:jc w:val="both"/>
        <w:rPr>
          <w:rFonts w:ascii="Times New Roman" w:hAnsi="Times New Roman"/>
          <w:sz w:val="24"/>
          <w:szCs w:val="24"/>
        </w:rPr>
      </w:pPr>
      <w:r>
        <w:rPr>
          <w:rFonts w:ascii="Times New Roman" w:hAnsi="Times New Roman"/>
          <w:sz w:val="24"/>
          <w:szCs w:val="24"/>
        </w:rPr>
        <w:t xml:space="preserve">The instruments commence </w:t>
      </w:r>
      <w:r w:rsidR="00A36B6B">
        <w:rPr>
          <w:rFonts w:ascii="Times New Roman" w:hAnsi="Times New Roman"/>
          <w:sz w:val="24"/>
          <w:szCs w:val="24"/>
        </w:rPr>
        <w:t>upon registration on the Federal Register of Legislation.</w:t>
      </w:r>
      <w:r>
        <w:rPr>
          <w:rFonts w:ascii="Times New Roman" w:hAnsi="Times New Roman"/>
          <w:sz w:val="24"/>
          <w:szCs w:val="24"/>
        </w:rPr>
        <w:tab/>
      </w:r>
    </w:p>
    <w:p w14:paraId="6929D8ED" w14:textId="77777777" w:rsidR="002436BD" w:rsidRDefault="002436BD" w:rsidP="001317F6">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lastRenderedPageBreak/>
        <w:t>Background</w:t>
      </w:r>
    </w:p>
    <w:p w14:paraId="0573DA96" w14:textId="77777777" w:rsidR="00A532D9" w:rsidRDefault="00A532D9" w:rsidP="00DD4103">
      <w:pPr>
        <w:pStyle w:val="Heading"/>
        <w:keepNext/>
        <w:spacing w:after="240"/>
        <w:outlineLvl w:val="0"/>
        <w:rPr>
          <w:rFonts w:ascii="Times New Roman" w:hAnsi="Times New Roman"/>
          <w:b w:val="0"/>
          <w:sz w:val="24"/>
          <w:szCs w:val="24"/>
        </w:rPr>
      </w:pPr>
      <w:r w:rsidRPr="00A532D9">
        <w:rPr>
          <w:rFonts w:ascii="Times New Roman" w:hAnsi="Times New Roman"/>
          <w:b w:val="0"/>
          <w:sz w:val="24"/>
          <w:szCs w:val="24"/>
        </w:rPr>
        <w:t>Financial Sector (Collection of Data) Determinations Nos.</w:t>
      </w:r>
      <w:r w:rsidR="0084276E">
        <w:rPr>
          <w:rFonts w:ascii="Times New Roman" w:hAnsi="Times New Roman"/>
          <w:b w:val="0"/>
          <w:sz w:val="24"/>
          <w:szCs w:val="24"/>
        </w:rPr>
        <w:t>16</w:t>
      </w:r>
      <w:r w:rsidRPr="00A532D9">
        <w:rPr>
          <w:rFonts w:ascii="Times New Roman" w:hAnsi="Times New Roman"/>
          <w:b w:val="0"/>
          <w:sz w:val="24"/>
          <w:szCs w:val="24"/>
        </w:rPr>
        <w:t xml:space="preserve"> to </w:t>
      </w:r>
      <w:r w:rsidR="0084276E">
        <w:rPr>
          <w:rFonts w:ascii="Times New Roman" w:hAnsi="Times New Roman"/>
          <w:b w:val="0"/>
          <w:sz w:val="24"/>
          <w:szCs w:val="24"/>
        </w:rPr>
        <w:t>18</w:t>
      </w:r>
      <w:r w:rsidR="006C7F8B">
        <w:rPr>
          <w:rFonts w:ascii="Times New Roman" w:hAnsi="Times New Roman"/>
          <w:b w:val="0"/>
          <w:sz w:val="24"/>
          <w:szCs w:val="24"/>
        </w:rPr>
        <w:t xml:space="preserve"> of 2016</w:t>
      </w:r>
      <w:r w:rsidRPr="00A532D9">
        <w:rPr>
          <w:rFonts w:ascii="Times New Roman" w:hAnsi="Times New Roman"/>
          <w:b w:val="0"/>
          <w:sz w:val="24"/>
          <w:szCs w:val="24"/>
        </w:rPr>
        <w:t xml:space="preserve"> determine reporting standards which will apply to general insurers (within the meaning of the </w:t>
      </w:r>
      <w:r w:rsidRPr="00A532D9">
        <w:rPr>
          <w:rFonts w:ascii="Times New Roman" w:hAnsi="Times New Roman"/>
          <w:b w:val="0"/>
          <w:i/>
          <w:sz w:val="24"/>
          <w:szCs w:val="24"/>
        </w:rPr>
        <w:t>Insurance Act 1973</w:t>
      </w:r>
      <w:r w:rsidRPr="00A532D9">
        <w:rPr>
          <w:rFonts w:ascii="Times New Roman" w:hAnsi="Times New Roman"/>
          <w:b w:val="0"/>
          <w:sz w:val="24"/>
          <w:szCs w:val="24"/>
        </w:rPr>
        <w:t xml:space="preserve">) and require them to provide information in relation to public liability and professional indemnity insurance for the purposes of APRA’s National </w:t>
      </w:r>
      <w:r w:rsidR="001B4F04">
        <w:rPr>
          <w:rFonts w:ascii="Times New Roman" w:hAnsi="Times New Roman"/>
          <w:b w:val="0"/>
          <w:sz w:val="24"/>
          <w:szCs w:val="24"/>
        </w:rPr>
        <w:t>Claims &amp; Policies Database (NCPD</w:t>
      </w:r>
      <w:r w:rsidRPr="00A532D9">
        <w:rPr>
          <w:rFonts w:ascii="Times New Roman" w:hAnsi="Times New Roman"/>
          <w:b w:val="0"/>
          <w:sz w:val="24"/>
          <w:szCs w:val="24"/>
        </w:rPr>
        <w:t>).  Determinations Nos</w:t>
      </w:r>
      <w:r w:rsidR="0084276E">
        <w:rPr>
          <w:rFonts w:ascii="Times New Roman" w:hAnsi="Times New Roman"/>
          <w:b w:val="0"/>
          <w:sz w:val="24"/>
          <w:szCs w:val="24"/>
        </w:rPr>
        <w:t>. 19 to 21 of 2016</w:t>
      </w:r>
      <w:r w:rsidRPr="00A532D9">
        <w:rPr>
          <w:rFonts w:ascii="Times New Roman" w:hAnsi="Times New Roman"/>
          <w:b w:val="0"/>
          <w:sz w:val="24"/>
          <w:szCs w:val="24"/>
        </w:rPr>
        <w:t xml:space="preserve"> </w:t>
      </w:r>
      <w:r w:rsidR="00B94A70">
        <w:rPr>
          <w:rFonts w:ascii="Times New Roman" w:hAnsi="Times New Roman"/>
          <w:b w:val="0"/>
          <w:sz w:val="24"/>
          <w:szCs w:val="24"/>
        </w:rPr>
        <w:t xml:space="preserve">determine reporting standards which will </w:t>
      </w:r>
      <w:r w:rsidRPr="00A532D9">
        <w:rPr>
          <w:rFonts w:ascii="Times New Roman" w:hAnsi="Times New Roman"/>
          <w:b w:val="0"/>
          <w:sz w:val="24"/>
          <w:szCs w:val="24"/>
        </w:rPr>
        <w:t>apply to Lloyd’s and require it to provide sim</w:t>
      </w:r>
      <w:r w:rsidR="00B94A70">
        <w:rPr>
          <w:rFonts w:ascii="Times New Roman" w:hAnsi="Times New Roman"/>
          <w:b w:val="0"/>
          <w:sz w:val="24"/>
          <w:szCs w:val="24"/>
        </w:rPr>
        <w:t>ilar information for the NCPD.</w:t>
      </w:r>
    </w:p>
    <w:p w14:paraId="489561D7" w14:textId="77777777" w:rsidR="00E0652B" w:rsidRPr="00362E77" w:rsidRDefault="0073326B" w:rsidP="00E0652B">
      <w:pPr>
        <w:pStyle w:val="Heading"/>
        <w:rPr>
          <w:rFonts w:ascii="Times New Roman" w:hAnsi="Times New Roman"/>
          <w:b w:val="0"/>
          <w:sz w:val="24"/>
          <w:szCs w:val="24"/>
        </w:rPr>
      </w:pPr>
      <w:r w:rsidRPr="0073326B">
        <w:rPr>
          <w:rFonts w:ascii="Times New Roman" w:hAnsi="Times New Roman"/>
          <w:b w:val="0"/>
          <w:sz w:val="24"/>
          <w:szCs w:val="24"/>
        </w:rPr>
        <w:t xml:space="preserve">In 2013 the </w:t>
      </w:r>
      <w:r w:rsidRPr="0073326B">
        <w:rPr>
          <w:rFonts w:ascii="Times New Roman" w:hAnsi="Times New Roman"/>
          <w:b w:val="0"/>
          <w:i/>
          <w:sz w:val="24"/>
          <w:szCs w:val="24"/>
        </w:rPr>
        <w:t xml:space="preserve">Treasury (Spent and Redundant Instruments) Repeal Regulation 2013 </w:t>
      </w:r>
      <w:r w:rsidRPr="0073326B">
        <w:rPr>
          <w:rFonts w:ascii="Times New Roman" w:hAnsi="Times New Roman"/>
          <w:b w:val="0"/>
          <w:sz w:val="24"/>
          <w:szCs w:val="24"/>
        </w:rPr>
        <w:t>(Regulation) was made.</w:t>
      </w:r>
      <w:r w:rsidRPr="0073326B">
        <w:rPr>
          <w:rFonts w:ascii="Times New Roman" w:hAnsi="Times New Roman"/>
          <w:b w:val="0"/>
          <w:sz w:val="24"/>
          <w:szCs w:val="24"/>
          <w:vertAlign w:val="superscript"/>
        </w:rPr>
        <w:footnoteReference w:id="1"/>
      </w:r>
      <w:r w:rsidRPr="0073326B">
        <w:rPr>
          <w:rFonts w:ascii="Times New Roman" w:hAnsi="Times New Roman"/>
          <w:b w:val="0"/>
          <w:sz w:val="24"/>
          <w:szCs w:val="24"/>
        </w:rPr>
        <w:t xml:space="preserve">  </w:t>
      </w:r>
      <w:r w:rsidR="00E0652B" w:rsidRPr="00362E77">
        <w:rPr>
          <w:rFonts w:ascii="Times New Roman" w:hAnsi="Times New Roman"/>
          <w:b w:val="0"/>
          <w:sz w:val="24"/>
          <w:szCs w:val="24"/>
        </w:rPr>
        <w:t xml:space="preserve">The Regulation mistakenly repealed the following legislative instruments: </w:t>
      </w:r>
      <w:r w:rsidR="00E0652B" w:rsidRPr="00362E77">
        <w:rPr>
          <w:rFonts w:ascii="Times New Roman" w:hAnsi="Times New Roman"/>
          <w:b w:val="0"/>
          <w:i/>
          <w:sz w:val="24"/>
          <w:szCs w:val="24"/>
        </w:rPr>
        <w:t xml:space="preserve">Financial Sector (Collection of Data) determination No. 30 of 2005 – Reporting standard GRS 800.1 (2005), Financial Sector (Collection of Data) determination No. 32 of 2005 – Reporting standard GRS 800.3 (2005), Financial Sector (Collection of Data) determination No. 33 of 2005 – Reporting standard LOLRS 800.1 (2005) </w:t>
      </w:r>
      <w:r w:rsidR="00E0652B" w:rsidRPr="00362E77">
        <w:rPr>
          <w:rFonts w:ascii="Times New Roman" w:hAnsi="Times New Roman"/>
          <w:b w:val="0"/>
          <w:sz w:val="24"/>
          <w:szCs w:val="24"/>
        </w:rPr>
        <w:t xml:space="preserve">and </w:t>
      </w:r>
      <w:r w:rsidR="00E0652B" w:rsidRPr="00362E77">
        <w:rPr>
          <w:rFonts w:ascii="Times New Roman" w:hAnsi="Times New Roman"/>
          <w:b w:val="0"/>
          <w:i/>
          <w:sz w:val="24"/>
          <w:szCs w:val="24"/>
        </w:rPr>
        <w:t xml:space="preserve">Financial Sector (Collection of Data) determination No. 35 of 2005 – Reporting standard LOLRS 800.3 (2005). </w:t>
      </w:r>
      <w:r w:rsidR="00E0652B" w:rsidRPr="00362E77">
        <w:rPr>
          <w:rFonts w:ascii="Times New Roman" w:hAnsi="Times New Roman"/>
          <w:b w:val="0"/>
          <w:sz w:val="24"/>
          <w:szCs w:val="24"/>
        </w:rPr>
        <w:t xml:space="preserve">These legislative instruments made reporting standards for the purposes of collecting data from general insurers and Lloyd’s for the NCPD. </w:t>
      </w:r>
    </w:p>
    <w:p w14:paraId="25D75B89" w14:textId="77777777" w:rsidR="00E0652B" w:rsidRPr="00362E77" w:rsidRDefault="00E0652B" w:rsidP="00E0652B">
      <w:pPr>
        <w:pStyle w:val="Heading"/>
        <w:rPr>
          <w:rFonts w:ascii="Times New Roman" w:hAnsi="Times New Roman"/>
          <w:b w:val="0"/>
          <w:sz w:val="24"/>
          <w:szCs w:val="24"/>
        </w:rPr>
      </w:pPr>
    </w:p>
    <w:p w14:paraId="51DF55DC" w14:textId="77777777" w:rsidR="00250FE8" w:rsidRPr="00144660" w:rsidRDefault="00E0652B" w:rsidP="00362E77">
      <w:pPr>
        <w:pStyle w:val="Heading"/>
        <w:rPr>
          <w:rFonts w:ascii="Times New Roman" w:hAnsi="Times New Roman"/>
          <w:b w:val="0"/>
          <w:sz w:val="24"/>
          <w:szCs w:val="24"/>
        </w:rPr>
      </w:pPr>
      <w:r w:rsidRPr="00362E77">
        <w:rPr>
          <w:rFonts w:ascii="Times New Roman" w:hAnsi="Times New Roman"/>
          <w:b w:val="0"/>
          <w:i/>
          <w:sz w:val="24"/>
          <w:szCs w:val="24"/>
        </w:rPr>
        <w:t>Financial Sector (Collection of Data) (reporting standard) determination No. 61 of 2006</w:t>
      </w:r>
      <w:r w:rsidRPr="00362E77">
        <w:rPr>
          <w:rFonts w:ascii="Times New Roman" w:hAnsi="Times New Roman"/>
          <w:b w:val="0"/>
          <w:sz w:val="24"/>
          <w:szCs w:val="24"/>
        </w:rPr>
        <w:t xml:space="preserve"> which made </w:t>
      </w:r>
      <w:r w:rsidRPr="00362E77">
        <w:rPr>
          <w:rFonts w:ascii="Times New Roman" w:hAnsi="Times New Roman"/>
          <w:b w:val="0"/>
          <w:i/>
          <w:sz w:val="24"/>
          <w:szCs w:val="24"/>
        </w:rPr>
        <w:t xml:space="preserve">Reporting standard LOLRS 800.2 - Claim Data: Public and Product Liability and Professional Indemnity Insurance </w:t>
      </w:r>
      <w:r w:rsidRPr="00362E77">
        <w:rPr>
          <w:rFonts w:ascii="Times New Roman" w:hAnsi="Times New Roman"/>
          <w:b w:val="0"/>
          <w:sz w:val="24"/>
          <w:szCs w:val="24"/>
        </w:rPr>
        <w:t xml:space="preserve">(LOLRS 800.2) and </w:t>
      </w:r>
      <w:r w:rsidRPr="00362E77">
        <w:rPr>
          <w:rFonts w:ascii="Times New Roman" w:hAnsi="Times New Roman"/>
          <w:b w:val="0"/>
          <w:i/>
          <w:sz w:val="24"/>
          <w:szCs w:val="24"/>
        </w:rPr>
        <w:t xml:space="preserve">Financial Sector (Collection of Data) (reporting standard) determination No. 62 of 2006 </w:t>
      </w:r>
      <w:r w:rsidRPr="00362E77">
        <w:rPr>
          <w:rFonts w:ascii="Times New Roman" w:hAnsi="Times New Roman"/>
          <w:b w:val="0"/>
          <w:sz w:val="24"/>
          <w:szCs w:val="24"/>
        </w:rPr>
        <w:t>which</w:t>
      </w:r>
      <w:r w:rsidRPr="00362E77">
        <w:rPr>
          <w:rFonts w:ascii="Times New Roman" w:hAnsi="Times New Roman"/>
          <w:b w:val="0"/>
          <w:i/>
          <w:sz w:val="24"/>
          <w:szCs w:val="24"/>
        </w:rPr>
        <w:t xml:space="preserve"> </w:t>
      </w:r>
      <w:r w:rsidRPr="00362E77">
        <w:rPr>
          <w:rFonts w:ascii="Times New Roman" w:hAnsi="Times New Roman"/>
          <w:b w:val="0"/>
          <w:sz w:val="24"/>
          <w:szCs w:val="24"/>
        </w:rPr>
        <w:t xml:space="preserve">made </w:t>
      </w:r>
      <w:r w:rsidRPr="00362E77">
        <w:rPr>
          <w:rFonts w:ascii="Times New Roman" w:hAnsi="Times New Roman"/>
          <w:b w:val="0"/>
          <w:i/>
          <w:sz w:val="24"/>
          <w:szCs w:val="24"/>
        </w:rPr>
        <w:t xml:space="preserve">Reporting standard GRS 800.2 - Claim Data: Public and Product Liability and Professional Indemnity Insurance </w:t>
      </w:r>
      <w:r w:rsidRPr="00362E77">
        <w:rPr>
          <w:rFonts w:ascii="Times New Roman" w:hAnsi="Times New Roman"/>
          <w:b w:val="0"/>
          <w:sz w:val="24"/>
          <w:szCs w:val="24"/>
        </w:rPr>
        <w:t xml:space="preserve">(GRS 800.2) were not repealed.  Consequently LOLRS 800.2 and GRS 800.2 remained in effect, however, they were due to sunset on 1 October 2016. As APRA is making the suite of reporting standards relating to the collection of data for NCPD, APRA has also reviewed LOLRS 800.2 and GRS 800.2 and is remaking these reporting standards before they are due to sunset. </w:t>
      </w:r>
    </w:p>
    <w:p w14:paraId="7FEDB082" w14:textId="77777777" w:rsidR="0073326B" w:rsidRPr="00A532D9" w:rsidRDefault="00B36083" w:rsidP="004A3C24">
      <w:pPr>
        <w:pStyle w:val="Heading"/>
        <w:keepNext/>
        <w:tabs>
          <w:tab w:val="left" w:pos="4680"/>
        </w:tabs>
        <w:outlineLvl w:val="0"/>
        <w:rPr>
          <w:rFonts w:ascii="Times New Roman" w:hAnsi="Times New Roman"/>
          <w:b w:val="0"/>
          <w:sz w:val="24"/>
          <w:szCs w:val="24"/>
        </w:rPr>
      </w:pPr>
      <w:r>
        <w:rPr>
          <w:rFonts w:ascii="Times New Roman" w:hAnsi="Times New Roman"/>
          <w:b w:val="0"/>
          <w:sz w:val="24"/>
          <w:szCs w:val="24"/>
        </w:rPr>
        <w:tab/>
      </w:r>
    </w:p>
    <w:p w14:paraId="5C997864" w14:textId="77777777" w:rsidR="002436BD" w:rsidRDefault="002436BD" w:rsidP="001317F6">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9E6836">
        <w:rPr>
          <w:rFonts w:ascii="Times New Roman" w:hAnsi="Times New Roman"/>
          <w:sz w:val="24"/>
          <w:szCs w:val="24"/>
        </w:rPr>
        <w:t>s</w:t>
      </w:r>
    </w:p>
    <w:p w14:paraId="06AC7643" w14:textId="77777777" w:rsidR="001B5416" w:rsidRDefault="001B5416" w:rsidP="00503458">
      <w:pPr>
        <w:pStyle w:val="BodyText"/>
        <w:jc w:val="both"/>
        <w:rPr>
          <w:szCs w:val="24"/>
        </w:rPr>
      </w:pPr>
      <w:bookmarkStart w:id="5" w:name="bkPurpose"/>
      <w:bookmarkEnd w:id="5"/>
      <w:r>
        <w:rPr>
          <w:szCs w:val="24"/>
        </w:rPr>
        <w:t>The NCPD was established by APRA in 2003</w:t>
      </w:r>
      <w:r w:rsidR="00B94A70">
        <w:rPr>
          <w:szCs w:val="24"/>
        </w:rPr>
        <w:t>,</w:t>
      </w:r>
      <w:r>
        <w:rPr>
          <w:szCs w:val="24"/>
        </w:rPr>
        <w:t xml:space="preserve"> at the request of Federal Government in consultation with the insurance industry and other stakeholder</w:t>
      </w:r>
      <w:r w:rsidR="007504E3">
        <w:rPr>
          <w:szCs w:val="24"/>
        </w:rPr>
        <w:t>s</w:t>
      </w:r>
      <w:r w:rsidR="00B94A70">
        <w:rPr>
          <w:szCs w:val="24"/>
        </w:rPr>
        <w:t>.  It was created</w:t>
      </w:r>
      <w:r w:rsidR="007504E3">
        <w:rPr>
          <w:szCs w:val="24"/>
        </w:rPr>
        <w:t xml:space="preserve"> to provide insurers, the community and State and Federal Governments with a better understanding of public and products liability insurance and professional indemnity insurance and the ability to monitor trends in premiums and claim costs. </w:t>
      </w:r>
    </w:p>
    <w:p w14:paraId="2141AB54" w14:textId="77777777" w:rsidR="001B5416" w:rsidRDefault="00503458" w:rsidP="00503458">
      <w:pPr>
        <w:pStyle w:val="BodyText"/>
        <w:jc w:val="both"/>
        <w:rPr>
          <w:szCs w:val="24"/>
        </w:rPr>
      </w:pPr>
      <w:r w:rsidRPr="009D2CA1">
        <w:rPr>
          <w:szCs w:val="24"/>
        </w:rPr>
        <w:t xml:space="preserve">The purpose of </w:t>
      </w:r>
      <w:r>
        <w:rPr>
          <w:szCs w:val="24"/>
        </w:rPr>
        <w:t xml:space="preserve">making </w:t>
      </w:r>
      <w:r w:rsidRPr="009D2CA1">
        <w:rPr>
          <w:szCs w:val="24"/>
        </w:rPr>
        <w:t>the</w:t>
      </w:r>
      <w:r>
        <w:rPr>
          <w:szCs w:val="24"/>
        </w:rPr>
        <w:t>se</w:t>
      </w:r>
      <w:r w:rsidRPr="009D2CA1">
        <w:rPr>
          <w:szCs w:val="24"/>
        </w:rPr>
        <w:t xml:space="preserve"> </w:t>
      </w:r>
      <w:r w:rsidR="001B5416">
        <w:rPr>
          <w:szCs w:val="24"/>
        </w:rPr>
        <w:t xml:space="preserve">reporting standards </w:t>
      </w:r>
      <w:r w:rsidRPr="009D2CA1">
        <w:rPr>
          <w:szCs w:val="24"/>
        </w:rPr>
        <w:t xml:space="preserve">is to </w:t>
      </w:r>
      <w:r w:rsidR="00064C1A">
        <w:rPr>
          <w:szCs w:val="24"/>
        </w:rPr>
        <w:t xml:space="preserve">require general insurers and Lloyd’s to provide </w:t>
      </w:r>
      <w:r w:rsidRPr="009D2CA1">
        <w:rPr>
          <w:szCs w:val="24"/>
        </w:rPr>
        <w:t>NCPD to APRA</w:t>
      </w:r>
      <w:r w:rsidR="007504E3">
        <w:rPr>
          <w:szCs w:val="24"/>
        </w:rPr>
        <w:t>,</w:t>
      </w:r>
      <w:r w:rsidRPr="009D2CA1">
        <w:rPr>
          <w:szCs w:val="24"/>
        </w:rPr>
        <w:t xml:space="preserve"> via an agent appointed for that purpose</w:t>
      </w:r>
      <w:r w:rsidR="007504E3">
        <w:rPr>
          <w:szCs w:val="24"/>
        </w:rPr>
        <w:t xml:space="preserve">. </w:t>
      </w:r>
      <w:r w:rsidR="00FF4FBE">
        <w:rPr>
          <w:szCs w:val="24"/>
        </w:rPr>
        <w:t>The most recent versions of GRS 800.1, GRS 800.3, LOLRS 800.1 and LOLRS 800.3</w:t>
      </w:r>
      <w:r w:rsidR="007504E3">
        <w:rPr>
          <w:szCs w:val="24"/>
        </w:rPr>
        <w:t xml:space="preserve"> were inadvertently repealed by the </w:t>
      </w:r>
      <w:r w:rsidR="007504E3" w:rsidRPr="007504E3">
        <w:rPr>
          <w:szCs w:val="24"/>
        </w:rPr>
        <w:t xml:space="preserve">Regulation. </w:t>
      </w:r>
      <w:r w:rsidR="000D1C66" w:rsidRPr="000D1C66">
        <w:rPr>
          <w:szCs w:val="24"/>
        </w:rPr>
        <w:t xml:space="preserve">Financial Sector (Collection of Data) (reporting </w:t>
      </w:r>
      <w:r w:rsidR="000D1C66" w:rsidRPr="00E07C68">
        <w:rPr>
          <w:szCs w:val="24"/>
        </w:rPr>
        <w:t xml:space="preserve">standard) determinations No. 16, No.18, No.19 and No. 21 </w:t>
      </w:r>
      <w:r w:rsidR="00B305F0" w:rsidRPr="00E07C68">
        <w:rPr>
          <w:szCs w:val="24"/>
        </w:rPr>
        <w:t xml:space="preserve"> re</w:t>
      </w:r>
      <w:r w:rsidR="00A0126B" w:rsidRPr="00E07C68">
        <w:rPr>
          <w:szCs w:val="24"/>
        </w:rPr>
        <w:t xml:space="preserve">instate the </w:t>
      </w:r>
      <w:r w:rsidR="00B305F0" w:rsidRPr="00E07C68">
        <w:rPr>
          <w:szCs w:val="24"/>
        </w:rPr>
        <w:t xml:space="preserve">NCPD </w:t>
      </w:r>
      <w:r w:rsidR="007F7604" w:rsidRPr="00E07C68">
        <w:rPr>
          <w:szCs w:val="24"/>
        </w:rPr>
        <w:t xml:space="preserve">reporting framework </w:t>
      </w:r>
      <w:r w:rsidR="00B94A70">
        <w:rPr>
          <w:szCs w:val="24"/>
        </w:rPr>
        <w:t>under</w:t>
      </w:r>
      <w:r w:rsidR="007F7604" w:rsidRPr="00E07C68">
        <w:rPr>
          <w:szCs w:val="24"/>
        </w:rPr>
        <w:t xml:space="preserve"> which </w:t>
      </w:r>
      <w:r w:rsidR="00AE1B24" w:rsidRPr="00E07C68">
        <w:rPr>
          <w:szCs w:val="24"/>
        </w:rPr>
        <w:t xml:space="preserve">general insurers and Lloyd’s </w:t>
      </w:r>
      <w:r w:rsidR="00B305F0" w:rsidRPr="00E07C68">
        <w:rPr>
          <w:szCs w:val="24"/>
        </w:rPr>
        <w:t xml:space="preserve">report data. APRA is also updating </w:t>
      </w:r>
      <w:r w:rsidR="001B5416" w:rsidRPr="00E07C68">
        <w:rPr>
          <w:szCs w:val="24"/>
        </w:rPr>
        <w:t xml:space="preserve">the technical data specifications so that these </w:t>
      </w:r>
      <w:r w:rsidR="0001051A" w:rsidRPr="00E07C68">
        <w:rPr>
          <w:szCs w:val="24"/>
        </w:rPr>
        <w:t xml:space="preserve">reflect the electronic submission requirements. </w:t>
      </w:r>
      <w:r w:rsidRPr="009D2CA1">
        <w:rPr>
          <w:szCs w:val="24"/>
        </w:rPr>
        <w:t xml:space="preserve"> </w:t>
      </w:r>
    </w:p>
    <w:p w14:paraId="6F5677D3" w14:textId="77777777" w:rsidR="0073326B" w:rsidRDefault="00503458" w:rsidP="00503458">
      <w:pPr>
        <w:pStyle w:val="BodyText"/>
        <w:jc w:val="both"/>
        <w:rPr>
          <w:szCs w:val="24"/>
        </w:rPr>
      </w:pPr>
      <w:r w:rsidRPr="009D2CA1">
        <w:rPr>
          <w:szCs w:val="24"/>
        </w:rPr>
        <w:lastRenderedPageBreak/>
        <w:t>The requirements are otherwise the same as they were unde</w:t>
      </w:r>
      <w:r w:rsidR="004A3C24">
        <w:rPr>
          <w:szCs w:val="24"/>
        </w:rPr>
        <w:t xml:space="preserve">r the old reporting standards that were in effect till 2013. </w:t>
      </w:r>
    </w:p>
    <w:p w14:paraId="633FD056" w14:textId="77777777" w:rsidR="00503458" w:rsidRPr="009D2CA1" w:rsidRDefault="005D65E3" w:rsidP="00503458">
      <w:pPr>
        <w:pStyle w:val="BodyText"/>
        <w:jc w:val="both"/>
        <w:rPr>
          <w:szCs w:val="24"/>
        </w:rPr>
      </w:pPr>
      <w:r>
        <w:rPr>
          <w:szCs w:val="24"/>
        </w:rPr>
        <w:t xml:space="preserve">The general insurance industry were unaware that GRS 800.1, LOLRS 800.1, GRS 800.3 and LOLRS 800.3 had been repealed and have continued to provide APRA with data in accordance with the requirements of the repealed standards.  </w:t>
      </w:r>
      <w:r w:rsidR="00064C1A">
        <w:rPr>
          <w:szCs w:val="24"/>
        </w:rPr>
        <w:t xml:space="preserve">In </w:t>
      </w:r>
      <w:r w:rsidR="00503458" w:rsidRPr="009D2CA1">
        <w:rPr>
          <w:szCs w:val="24"/>
        </w:rPr>
        <w:t>making the standards</w:t>
      </w:r>
      <w:r w:rsidR="006C0D0E">
        <w:rPr>
          <w:szCs w:val="24"/>
        </w:rPr>
        <w:t xml:space="preserve"> that replace those which were inadvertently repealed</w:t>
      </w:r>
      <w:r w:rsidR="00503458" w:rsidRPr="009D2CA1">
        <w:rPr>
          <w:szCs w:val="24"/>
        </w:rPr>
        <w:t xml:space="preserve">, APRA </w:t>
      </w:r>
      <w:r w:rsidR="006C0D0E">
        <w:rPr>
          <w:szCs w:val="24"/>
        </w:rPr>
        <w:t>has included a requirement that general insurers and Lloyds report to APRA in relation to the reporting periods that occurred subsequent to the repeal.  The standards note that any material provided to APRA</w:t>
      </w:r>
      <w:r>
        <w:rPr>
          <w:szCs w:val="24"/>
        </w:rPr>
        <w:t xml:space="preserve"> prior to the making of the new standards will satisfy this requirement.  There are not any “missing” reports for this period and </w:t>
      </w:r>
      <w:r w:rsidR="001C030F">
        <w:rPr>
          <w:szCs w:val="24"/>
        </w:rPr>
        <w:t xml:space="preserve">APRA does not expect to receive any further material.  The purpose of the requirement is to make certain that the data received during that time is </w:t>
      </w:r>
      <w:r w:rsidR="004D11CE">
        <w:rPr>
          <w:szCs w:val="24"/>
        </w:rPr>
        <w:t xml:space="preserve">received under section 13 of the Act.  This brings the data within the intended statutory framework, including making the data protected information as defined in section 56 of the </w:t>
      </w:r>
      <w:r w:rsidR="004D11CE" w:rsidRPr="00B34251">
        <w:rPr>
          <w:i/>
          <w:szCs w:val="24"/>
        </w:rPr>
        <w:t>Australian Prudential Regulation Authority Act 1998</w:t>
      </w:r>
      <w:r w:rsidR="004D11CE">
        <w:rPr>
          <w:szCs w:val="24"/>
        </w:rPr>
        <w:t>.</w:t>
      </w:r>
    </w:p>
    <w:p w14:paraId="222868A8" w14:textId="77777777" w:rsidR="00503458" w:rsidRPr="00612FB9" w:rsidRDefault="004A3C24" w:rsidP="001317F6">
      <w:pPr>
        <w:pStyle w:val="Heading"/>
        <w:spacing w:after="240"/>
        <w:rPr>
          <w:rFonts w:ascii="Times New Roman" w:hAnsi="Times New Roman"/>
          <w:b w:val="0"/>
          <w:sz w:val="24"/>
          <w:szCs w:val="24"/>
          <w:u w:val="single"/>
        </w:rPr>
      </w:pPr>
      <w:r w:rsidRPr="00612FB9">
        <w:rPr>
          <w:rFonts w:ascii="Times New Roman" w:hAnsi="Times New Roman"/>
          <w:b w:val="0"/>
          <w:sz w:val="24"/>
          <w:szCs w:val="24"/>
          <w:u w:val="single"/>
        </w:rPr>
        <w:t>Financial Sector (Collec</w:t>
      </w:r>
      <w:r w:rsidR="00702128" w:rsidRPr="00612FB9">
        <w:rPr>
          <w:rFonts w:ascii="Times New Roman" w:hAnsi="Times New Roman"/>
          <w:b w:val="0"/>
          <w:sz w:val="24"/>
          <w:szCs w:val="24"/>
          <w:u w:val="single"/>
        </w:rPr>
        <w:t>tion</w:t>
      </w:r>
      <w:r w:rsidR="00FC021D" w:rsidRPr="00612FB9">
        <w:rPr>
          <w:rFonts w:ascii="Times New Roman" w:hAnsi="Times New Roman"/>
          <w:b w:val="0"/>
          <w:sz w:val="24"/>
          <w:szCs w:val="24"/>
          <w:u w:val="single"/>
        </w:rPr>
        <w:t xml:space="preserve"> of Data) (reporting standard) determination No. 16 of 2016 – Reporting Standard GRS 800.1 Policy Data: Public and Product Liability and Professional Indemnity Insurance </w:t>
      </w:r>
    </w:p>
    <w:p w14:paraId="0343C0B6" w14:textId="77777777" w:rsidR="00FC021D" w:rsidRDefault="00FC021D" w:rsidP="00FC021D">
      <w:pPr>
        <w:pStyle w:val="Heading"/>
        <w:rPr>
          <w:rFonts w:ascii="Times New Roman" w:hAnsi="Times New Roman"/>
          <w:b w:val="0"/>
          <w:sz w:val="24"/>
          <w:szCs w:val="24"/>
        </w:rPr>
      </w:pPr>
      <w:r w:rsidRPr="00FC021D">
        <w:rPr>
          <w:rFonts w:ascii="Times New Roman" w:hAnsi="Times New Roman"/>
          <w:b w:val="0"/>
          <w:sz w:val="24"/>
          <w:szCs w:val="24"/>
        </w:rPr>
        <w:t xml:space="preserve">This reporting standard requires general insurers that write public liability, product liability or professional indemnity insurance policies to provide data on policies in force during a </w:t>
      </w:r>
      <w:r w:rsidR="007C77F8">
        <w:rPr>
          <w:rFonts w:ascii="Times New Roman" w:hAnsi="Times New Roman"/>
          <w:b w:val="0"/>
          <w:sz w:val="24"/>
          <w:szCs w:val="24"/>
        </w:rPr>
        <w:t xml:space="preserve">6 month </w:t>
      </w:r>
      <w:r w:rsidRPr="00FC021D">
        <w:rPr>
          <w:rFonts w:ascii="Times New Roman" w:hAnsi="Times New Roman"/>
          <w:b w:val="0"/>
          <w:sz w:val="24"/>
          <w:szCs w:val="24"/>
        </w:rPr>
        <w:t xml:space="preserve">reporting period.  </w:t>
      </w:r>
    </w:p>
    <w:p w14:paraId="5944CB20" w14:textId="77777777" w:rsidR="0021247A" w:rsidRDefault="0021247A" w:rsidP="00FC021D">
      <w:pPr>
        <w:pStyle w:val="Heading"/>
        <w:rPr>
          <w:rFonts w:ascii="Times New Roman" w:hAnsi="Times New Roman"/>
          <w:b w:val="0"/>
          <w:sz w:val="24"/>
          <w:szCs w:val="24"/>
        </w:rPr>
      </w:pPr>
    </w:p>
    <w:p w14:paraId="3F316FA2" w14:textId="77777777" w:rsidR="0021247A" w:rsidRDefault="0021247A" w:rsidP="00794340">
      <w:pPr>
        <w:pStyle w:val="Heading"/>
        <w:rPr>
          <w:b w:val="0"/>
          <w:sz w:val="24"/>
          <w:szCs w:val="24"/>
        </w:rPr>
      </w:pPr>
      <w:r>
        <w:rPr>
          <w:rFonts w:ascii="Times New Roman" w:hAnsi="Times New Roman"/>
          <w:b w:val="0"/>
          <w:sz w:val="24"/>
          <w:szCs w:val="24"/>
        </w:rPr>
        <w:t xml:space="preserve">Similar to the </w:t>
      </w:r>
      <w:r w:rsidR="007C77F8">
        <w:rPr>
          <w:rFonts w:ascii="Times New Roman" w:hAnsi="Times New Roman"/>
          <w:b w:val="0"/>
          <w:sz w:val="24"/>
          <w:szCs w:val="24"/>
        </w:rPr>
        <w:t>repealed</w:t>
      </w:r>
      <w:r>
        <w:rPr>
          <w:rFonts w:ascii="Times New Roman" w:hAnsi="Times New Roman"/>
          <w:b w:val="0"/>
          <w:sz w:val="24"/>
          <w:szCs w:val="24"/>
        </w:rPr>
        <w:t xml:space="preserve"> reporting standard made by </w:t>
      </w:r>
      <w:r w:rsidRPr="0073326B">
        <w:rPr>
          <w:rFonts w:ascii="Times New Roman" w:hAnsi="Times New Roman"/>
          <w:b w:val="0"/>
          <w:i/>
          <w:sz w:val="24"/>
          <w:szCs w:val="24"/>
        </w:rPr>
        <w:t>Financial Sector (Collection of Data) determination No. 30 of 2005 – Reporting standard GRS 800.1 (2005</w:t>
      </w:r>
      <w:r w:rsidRPr="0021247A">
        <w:rPr>
          <w:rFonts w:ascii="Times New Roman" w:hAnsi="Times New Roman"/>
          <w:b w:val="0"/>
          <w:i/>
          <w:sz w:val="24"/>
          <w:szCs w:val="24"/>
        </w:rPr>
        <w:t>)</w:t>
      </w:r>
      <w:r w:rsidRPr="0021247A">
        <w:rPr>
          <w:rFonts w:ascii="Times New Roman" w:hAnsi="Times New Roman"/>
          <w:b w:val="0"/>
          <w:sz w:val="24"/>
          <w:szCs w:val="24"/>
        </w:rPr>
        <w:t>,</w:t>
      </w:r>
      <w:r>
        <w:rPr>
          <w:rFonts w:ascii="Times New Roman" w:hAnsi="Times New Roman"/>
          <w:b w:val="0"/>
          <w:sz w:val="24"/>
          <w:szCs w:val="24"/>
        </w:rPr>
        <w:t xml:space="preserve"> </w:t>
      </w:r>
      <w:r w:rsidRPr="0021247A">
        <w:rPr>
          <w:rFonts w:ascii="Times New Roman" w:hAnsi="Times New Roman"/>
          <w:b w:val="0"/>
          <w:sz w:val="24"/>
          <w:szCs w:val="24"/>
        </w:rPr>
        <w:t xml:space="preserve">the information collected includes the class of business covered by the policy, the policy basis, its current </w:t>
      </w:r>
      <w:r w:rsidRPr="00794340">
        <w:rPr>
          <w:rFonts w:ascii="Times New Roman" w:hAnsi="Times New Roman"/>
          <w:b w:val="0"/>
          <w:sz w:val="24"/>
          <w:szCs w:val="24"/>
        </w:rPr>
        <w:t>status, the premium earned from the policy and details about the insured party, amongst other details. Amendments have been made to the technical data specifications</w:t>
      </w:r>
      <w:r w:rsidR="009419F6">
        <w:rPr>
          <w:rFonts w:ascii="Times New Roman" w:hAnsi="Times New Roman"/>
          <w:b w:val="0"/>
          <w:sz w:val="24"/>
          <w:szCs w:val="24"/>
        </w:rPr>
        <w:t xml:space="preserve"> (the field types)</w:t>
      </w:r>
      <w:r w:rsidR="00A15D06" w:rsidRPr="00794340">
        <w:rPr>
          <w:rFonts w:ascii="Times New Roman" w:hAnsi="Times New Roman"/>
          <w:b w:val="0"/>
          <w:sz w:val="24"/>
          <w:szCs w:val="24"/>
        </w:rPr>
        <w:t>,</w:t>
      </w:r>
      <w:r w:rsidRPr="00794340">
        <w:rPr>
          <w:rFonts w:ascii="Times New Roman" w:hAnsi="Times New Roman"/>
          <w:b w:val="0"/>
          <w:sz w:val="24"/>
          <w:szCs w:val="24"/>
        </w:rPr>
        <w:t xml:space="preserve"> attached to the standard</w:t>
      </w:r>
      <w:r w:rsidR="00A15D06" w:rsidRPr="00794340">
        <w:rPr>
          <w:rFonts w:ascii="Times New Roman" w:hAnsi="Times New Roman"/>
          <w:b w:val="0"/>
          <w:sz w:val="24"/>
          <w:szCs w:val="24"/>
        </w:rPr>
        <w:t xml:space="preserve">, </w:t>
      </w:r>
      <w:r w:rsidR="009419F6">
        <w:rPr>
          <w:rFonts w:ascii="Times New Roman" w:hAnsi="Times New Roman"/>
          <w:b w:val="0"/>
          <w:sz w:val="24"/>
          <w:szCs w:val="24"/>
        </w:rPr>
        <w:t xml:space="preserve">in order </w:t>
      </w:r>
      <w:r w:rsidR="00495A8A">
        <w:rPr>
          <w:rFonts w:ascii="Times New Roman" w:hAnsi="Times New Roman"/>
          <w:b w:val="0"/>
          <w:sz w:val="24"/>
          <w:szCs w:val="24"/>
        </w:rPr>
        <w:t>to reflect the current specifications</w:t>
      </w:r>
      <w:r w:rsidR="005569C8">
        <w:rPr>
          <w:rFonts w:ascii="Times New Roman" w:hAnsi="Times New Roman"/>
          <w:b w:val="0"/>
          <w:sz w:val="24"/>
          <w:szCs w:val="24"/>
        </w:rPr>
        <w:t xml:space="preserve"> required </w:t>
      </w:r>
      <w:r w:rsidR="00EC4B31">
        <w:rPr>
          <w:rFonts w:ascii="Times New Roman" w:hAnsi="Times New Roman"/>
          <w:b w:val="0"/>
          <w:sz w:val="24"/>
          <w:szCs w:val="24"/>
        </w:rPr>
        <w:t>for</w:t>
      </w:r>
      <w:r w:rsidR="005569C8">
        <w:rPr>
          <w:rFonts w:ascii="Times New Roman" w:hAnsi="Times New Roman"/>
          <w:b w:val="0"/>
          <w:sz w:val="24"/>
          <w:szCs w:val="24"/>
        </w:rPr>
        <w:t xml:space="preserve"> electronic submission</w:t>
      </w:r>
      <w:r w:rsidRPr="00794340">
        <w:rPr>
          <w:rFonts w:ascii="Times New Roman" w:hAnsi="Times New Roman"/>
          <w:b w:val="0"/>
          <w:sz w:val="24"/>
          <w:szCs w:val="24"/>
        </w:rPr>
        <w:t>.</w:t>
      </w:r>
      <w:r w:rsidRPr="009D2CA1">
        <w:rPr>
          <w:b w:val="0"/>
          <w:sz w:val="24"/>
          <w:szCs w:val="24"/>
        </w:rPr>
        <w:t xml:space="preserve"> </w:t>
      </w:r>
    </w:p>
    <w:p w14:paraId="66945EA2" w14:textId="77777777" w:rsidR="00794340" w:rsidRPr="00794340" w:rsidRDefault="00794340" w:rsidP="00794340">
      <w:pPr>
        <w:pStyle w:val="Heading"/>
        <w:rPr>
          <w:rFonts w:ascii="Times New Roman" w:hAnsi="Times New Roman"/>
          <w:b w:val="0"/>
          <w:sz w:val="24"/>
          <w:szCs w:val="24"/>
        </w:rPr>
      </w:pPr>
    </w:p>
    <w:p w14:paraId="64FF6350" w14:textId="77777777" w:rsidR="00A15D06" w:rsidRPr="0001051A" w:rsidRDefault="00A15D06" w:rsidP="0021247A">
      <w:pPr>
        <w:pStyle w:val="Title"/>
        <w:spacing w:before="0" w:after="240"/>
        <w:jc w:val="both"/>
        <w:rPr>
          <w:b w:val="0"/>
          <w:sz w:val="24"/>
          <w:szCs w:val="24"/>
          <w:u w:val="single"/>
        </w:rPr>
      </w:pPr>
      <w:r w:rsidRPr="00B34251">
        <w:rPr>
          <w:b w:val="0"/>
          <w:sz w:val="24"/>
          <w:szCs w:val="24"/>
          <w:u w:val="single"/>
        </w:rPr>
        <w:t>Financial Sector (Collection of Data) (reporting standard) deter</w:t>
      </w:r>
      <w:r w:rsidRPr="0001051A">
        <w:rPr>
          <w:b w:val="0"/>
          <w:sz w:val="24"/>
          <w:szCs w:val="24"/>
          <w:u w:val="single"/>
        </w:rPr>
        <w:t xml:space="preserve">mination No.17 of 2016 – Reporting Standard </w:t>
      </w:r>
      <w:r w:rsidR="0065401C" w:rsidRPr="0001051A">
        <w:rPr>
          <w:b w:val="0"/>
          <w:sz w:val="24"/>
          <w:szCs w:val="24"/>
          <w:u w:val="single"/>
        </w:rPr>
        <w:t xml:space="preserve">GRS 800.2 Claim Data: Public and Product Liability and Professional Indemnity Insurance </w:t>
      </w:r>
    </w:p>
    <w:p w14:paraId="3491D492" w14:textId="77777777" w:rsidR="0065401C" w:rsidRDefault="0065401C" w:rsidP="0065401C">
      <w:pPr>
        <w:pStyle w:val="Title"/>
        <w:spacing w:before="0" w:after="240"/>
        <w:jc w:val="both"/>
        <w:rPr>
          <w:b w:val="0"/>
          <w:sz w:val="24"/>
          <w:szCs w:val="24"/>
        </w:rPr>
      </w:pPr>
      <w:r w:rsidRPr="009D2CA1">
        <w:rPr>
          <w:b w:val="0"/>
          <w:sz w:val="24"/>
          <w:szCs w:val="24"/>
        </w:rPr>
        <w:t xml:space="preserve">This reporting standard requires general insurers that </w:t>
      </w:r>
      <w:r w:rsidR="006354B8">
        <w:rPr>
          <w:b w:val="0"/>
          <w:sz w:val="24"/>
          <w:szCs w:val="24"/>
        </w:rPr>
        <w:t xml:space="preserve">have </w:t>
      </w:r>
      <w:r w:rsidRPr="009D2CA1">
        <w:rPr>
          <w:b w:val="0"/>
          <w:sz w:val="24"/>
          <w:szCs w:val="24"/>
        </w:rPr>
        <w:t>wri</w:t>
      </w:r>
      <w:r w:rsidR="006354B8">
        <w:rPr>
          <w:b w:val="0"/>
          <w:sz w:val="24"/>
          <w:szCs w:val="24"/>
        </w:rPr>
        <w:t>t</w:t>
      </w:r>
      <w:r w:rsidRPr="009D2CA1">
        <w:rPr>
          <w:b w:val="0"/>
          <w:sz w:val="24"/>
          <w:szCs w:val="24"/>
        </w:rPr>
        <w:t>te</w:t>
      </w:r>
      <w:r w:rsidR="006354B8">
        <w:rPr>
          <w:b w:val="0"/>
          <w:sz w:val="24"/>
          <w:szCs w:val="24"/>
        </w:rPr>
        <w:t>n</w:t>
      </w:r>
      <w:r w:rsidRPr="009D2CA1">
        <w:rPr>
          <w:b w:val="0"/>
          <w:sz w:val="24"/>
          <w:szCs w:val="24"/>
        </w:rPr>
        <w:t xml:space="preserve"> public liability, product liability or professional indemnity insurance policies to provide data on claims made or not settled during a </w:t>
      </w:r>
      <w:r w:rsidR="00ED3936">
        <w:rPr>
          <w:b w:val="0"/>
          <w:sz w:val="24"/>
          <w:szCs w:val="24"/>
        </w:rPr>
        <w:t>6 month</w:t>
      </w:r>
      <w:r w:rsidRPr="009D2CA1">
        <w:rPr>
          <w:b w:val="0"/>
          <w:sz w:val="24"/>
          <w:szCs w:val="24"/>
        </w:rPr>
        <w:t xml:space="preserve"> reporting period.  </w:t>
      </w:r>
    </w:p>
    <w:p w14:paraId="5994BD14" w14:textId="77777777" w:rsidR="00794340" w:rsidRDefault="0065401C" w:rsidP="00794340">
      <w:pPr>
        <w:pStyle w:val="Title"/>
        <w:spacing w:before="0" w:after="240"/>
        <w:jc w:val="both"/>
        <w:rPr>
          <w:b w:val="0"/>
          <w:sz w:val="24"/>
          <w:szCs w:val="24"/>
        </w:rPr>
      </w:pPr>
      <w:r>
        <w:rPr>
          <w:b w:val="0"/>
          <w:sz w:val="24"/>
          <w:szCs w:val="24"/>
        </w:rPr>
        <w:t xml:space="preserve">Similar to the </w:t>
      </w:r>
      <w:r w:rsidR="00670430">
        <w:rPr>
          <w:b w:val="0"/>
          <w:sz w:val="24"/>
          <w:szCs w:val="24"/>
        </w:rPr>
        <w:t xml:space="preserve">current </w:t>
      </w:r>
      <w:r>
        <w:rPr>
          <w:b w:val="0"/>
          <w:sz w:val="24"/>
          <w:szCs w:val="24"/>
        </w:rPr>
        <w:t>reporting standard made by</w:t>
      </w:r>
      <w:r w:rsidR="00182AAE">
        <w:rPr>
          <w:b w:val="0"/>
          <w:sz w:val="24"/>
          <w:szCs w:val="24"/>
        </w:rPr>
        <w:t xml:space="preserve"> </w:t>
      </w:r>
      <w:r w:rsidR="00182AAE" w:rsidRPr="00182AAE">
        <w:rPr>
          <w:b w:val="0"/>
          <w:i/>
          <w:sz w:val="24"/>
          <w:szCs w:val="24"/>
        </w:rPr>
        <w:t>Financial Sector (Collection of Data) (reporting standar</w:t>
      </w:r>
      <w:r w:rsidR="00794340">
        <w:rPr>
          <w:b w:val="0"/>
          <w:i/>
          <w:sz w:val="24"/>
          <w:szCs w:val="24"/>
        </w:rPr>
        <w:t>d) determination No. 62 of 2006</w:t>
      </w:r>
      <w:r w:rsidRPr="009D2CA1">
        <w:rPr>
          <w:b w:val="0"/>
          <w:sz w:val="24"/>
          <w:szCs w:val="24"/>
        </w:rPr>
        <w:t xml:space="preserve">, the </w:t>
      </w:r>
      <w:r w:rsidRPr="009D2CA1">
        <w:rPr>
          <w:b w:val="0"/>
          <w:color w:val="000000"/>
          <w:sz w:val="24"/>
          <w:szCs w:val="24"/>
        </w:rPr>
        <w:t>information collected includes the class of business covered by the policy, the policy basis, its current status, the dates of loss and report, the jurisdiction of the claim, the nature of the loss and details of the likely case estimate, amongst other information.</w:t>
      </w:r>
      <w:r w:rsidRPr="009D2CA1">
        <w:rPr>
          <w:b w:val="0"/>
          <w:sz w:val="24"/>
          <w:szCs w:val="24"/>
        </w:rPr>
        <w:t xml:space="preserve"> </w:t>
      </w:r>
      <w:r w:rsidR="005569C8">
        <w:rPr>
          <w:b w:val="0"/>
          <w:sz w:val="24"/>
          <w:szCs w:val="24"/>
        </w:rPr>
        <w:t>A minor a</w:t>
      </w:r>
      <w:r w:rsidR="00794340">
        <w:rPr>
          <w:b w:val="0"/>
          <w:sz w:val="24"/>
          <w:szCs w:val="24"/>
        </w:rPr>
        <w:t>mendments ha</w:t>
      </w:r>
      <w:r w:rsidR="009419F6">
        <w:rPr>
          <w:b w:val="0"/>
          <w:sz w:val="24"/>
          <w:szCs w:val="24"/>
        </w:rPr>
        <w:t>s</w:t>
      </w:r>
      <w:r w:rsidR="00794340" w:rsidRPr="009D2CA1">
        <w:rPr>
          <w:b w:val="0"/>
          <w:sz w:val="24"/>
          <w:szCs w:val="24"/>
        </w:rPr>
        <w:t xml:space="preserve"> been made to the technical data specifications</w:t>
      </w:r>
      <w:r w:rsidR="009419F6">
        <w:rPr>
          <w:b w:val="0"/>
          <w:sz w:val="24"/>
          <w:szCs w:val="24"/>
        </w:rPr>
        <w:t xml:space="preserve"> (a field type)</w:t>
      </w:r>
      <w:r w:rsidR="00794340">
        <w:rPr>
          <w:b w:val="0"/>
          <w:sz w:val="24"/>
          <w:szCs w:val="24"/>
        </w:rPr>
        <w:t>,</w:t>
      </w:r>
      <w:r w:rsidR="00794340" w:rsidRPr="009D2CA1">
        <w:rPr>
          <w:b w:val="0"/>
          <w:sz w:val="24"/>
          <w:szCs w:val="24"/>
        </w:rPr>
        <w:t xml:space="preserve"> attached to the standard</w:t>
      </w:r>
      <w:r w:rsidR="00794340">
        <w:rPr>
          <w:b w:val="0"/>
          <w:sz w:val="24"/>
          <w:szCs w:val="24"/>
        </w:rPr>
        <w:t xml:space="preserve">, </w:t>
      </w:r>
      <w:r w:rsidR="005569C8">
        <w:rPr>
          <w:b w:val="0"/>
          <w:sz w:val="24"/>
          <w:szCs w:val="24"/>
        </w:rPr>
        <w:t xml:space="preserve">in order to </w:t>
      </w:r>
      <w:r w:rsidR="009419F6">
        <w:rPr>
          <w:b w:val="0"/>
          <w:sz w:val="24"/>
          <w:szCs w:val="24"/>
        </w:rPr>
        <w:t xml:space="preserve">reflect the current specifications required </w:t>
      </w:r>
      <w:r w:rsidR="002D4D4C">
        <w:rPr>
          <w:b w:val="0"/>
          <w:sz w:val="24"/>
          <w:szCs w:val="24"/>
        </w:rPr>
        <w:t>for</w:t>
      </w:r>
      <w:r w:rsidR="009419F6">
        <w:rPr>
          <w:b w:val="0"/>
          <w:sz w:val="24"/>
          <w:szCs w:val="24"/>
        </w:rPr>
        <w:t xml:space="preserve"> electronic submission.</w:t>
      </w:r>
    </w:p>
    <w:p w14:paraId="3A269284" w14:textId="77777777" w:rsidR="00B020FC" w:rsidRPr="00E0799D" w:rsidRDefault="00B020FC" w:rsidP="00B020FC">
      <w:pPr>
        <w:pStyle w:val="Title"/>
        <w:spacing w:before="0" w:after="240"/>
        <w:jc w:val="both"/>
        <w:rPr>
          <w:b w:val="0"/>
          <w:sz w:val="24"/>
          <w:szCs w:val="24"/>
          <w:u w:val="single"/>
        </w:rPr>
      </w:pPr>
      <w:r w:rsidRPr="00E0799D">
        <w:rPr>
          <w:b w:val="0"/>
          <w:sz w:val="24"/>
          <w:szCs w:val="24"/>
          <w:u w:val="single"/>
        </w:rPr>
        <w:lastRenderedPageBreak/>
        <w:t xml:space="preserve">Financial Sector (Collection of Data) (reporting standard) determination No.18 of 2016 – Reporting Standard </w:t>
      </w:r>
      <w:r w:rsidR="0073183D" w:rsidRPr="00E0799D">
        <w:rPr>
          <w:b w:val="0"/>
          <w:sz w:val="24"/>
          <w:szCs w:val="24"/>
          <w:u w:val="single"/>
        </w:rPr>
        <w:t>GRS 800.3</w:t>
      </w:r>
      <w:r w:rsidRPr="00E0799D">
        <w:rPr>
          <w:b w:val="0"/>
          <w:sz w:val="24"/>
          <w:szCs w:val="24"/>
          <w:u w:val="single"/>
        </w:rPr>
        <w:t xml:space="preserve"> </w:t>
      </w:r>
      <w:r w:rsidR="0073183D" w:rsidRPr="00E0799D">
        <w:rPr>
          <w:b w:val="0"/>
          <w:sz w:val="24"/>
          <w:szCs w:val="24"/>
          <w:u w:val="single"/>
        </w:rPr>
        <w:t xml:space="preserve">Facility Business Data: Public and Product Liability and Professional Indemnity Insurance </w:t>
      </w:r>
    </w:p>
    <w:p w14:paraId="74CF9B28" w14:textId="77777777" w:rsidR="0073183D" w:rsidRPr="009D2CA1" w:rsidRDefault="0073183D" w:rsidP="0073183D">
      <w:pPr>
        <w:pStyle w:val="Title"/>
        <w:spacing w:before="0" w:after="240"/>
        <w:jc w:val="both"/>
        <w:rPr>
          <w:b w:val="0"/>
          <w:sz w:val="24"/>
          <w:szCs w:val="24"/>
        </w:rPr>
      </w:pPr>
      <w:r w:rsidRPr="009D2CA1">
        <w:rPr>
          <w:b w:val="0"/>
          <w:sz w:val="24"/>
          <w:szCs w:val="24"/>
        </w:rPr>
        <w:t xml:space="preserve">This reporting standard requires general insurers that write public liability, product liability or professional indemnity facility business to provide data on facility business where the insurer is on-risk during a </w:t>
      </w:r>
      <w:r w:rsidR="00ED3936">
        <w:rPr>
          <w:b w:val="0"/>
          <w:sz w:val="24"/>
          <w:szCs w:val="24"/>
        </w:rPr>
        <w:t>6 month</w:t>
      </w:r>
      <w:r w:rsidRPr="009D2CA1">
        <w:rPr>
          <w:b w:val="0"/>
          <w:sz w:val="24"/>
          <w:szCs w:val="24"/>
        </w:rPr>
        <w:t xml:space="preserve"> reporting period.  </w:t>
      </w:r>
    </w:p>
    <w:p w14:paraId="5B803920" w14:textId="77777777" w:rsidR="00233AEE" w:rsidRDefault="00670430" w:rsidP="00233AEE">
      <w:pPr>
        <w:pStyle w:val="Title"/>
        <w:spacing w:before="0" w:after="240"/>
        <w:jc w:val="both"/>
        <w:rPr>
          <w:b w:val="0"/>
          <w:sz w:val="24"/>
          <w:szCs w:val="24"/>
        </w:rPr>
      </w:pPr>
      <w:r>
        <w:rPr>
          <w:b w:val="0"/>
          <w:sz w:val="24"/>
          <w:szCs w:val="24"/>
        </w:rPr>
        <w:t xml:space="preserve">Similar to the </w:t>
      </w:r>
      <w:r w:rsidR="00CF0219">
        <w:rPr>
          <w:b w:val="0"/>
          <w:sz w:val="24"/>
          <w:szCs w:val="24"/>
        </w:rPr>
        <w:t>repealed</w:t>
      </w:r>
      <w:r>
        <w:rPr>
          <w:b w:val="0"/>
          <w:sz w:val="24"/>
          <w:szCs w:val="24"/>
        </w:rPr>
        <w:t xml:space="preserve"> reporting standard made by </w:t>
      </w:r>
      <w:r w:rsidRPr="0073326B">
        <w:rPr>
          <w:b w:val="0"/>
          <w:i/>
          <w:sz w:val="24"/>
          <w:szCs w:val="24"/>
        </w:rPr>
        <w:t>Financial Sector (Collection of Data) determination No. 32 of 2005 – Reporting standard GRS 800.3 (2005)</w:t>
      </w:r>
      <w:r>
        <w:rPr>
          <w:b w:val="0"/>
          <w:sz w:val="24"/>
          <w:szCs w:val="24"/>
        </w:rPr>
        <w:t xml:space="preserve">, </w:t>
      </w:r>
      <w:r w:rsidR="0073183D" w:rsidRPr="009D2CA1">
        <w:rPr>
          <w:b w:val="0"/>
          <w:color w:val="000000"/>
          <w:sz w:val="24"/>
          <w:szCs w:val="24"/>
        </w:rPr>
        <w:t>the information to be collected includes the facility identifier, the industry code, the number of policies and claims and gross payments made, amongst other details.</w:t>
      </w:r>
      <w:r w:rsidR="00906124">
        <w:rPr>
          <w:b w:val="0"/>
          <w:color w:val="000000"/>
          <w:sz w:val="24"/>
          <w:szCs w:val="24"/>
        </w:rPr>
        <w:t xml:space="preserve"> </w:t>
      </w:r>
    </w:p>
    <w:p w14:paraId="611C7A88" w14:textId="77777777" w:rsidR="0073183D" w:rsidRPr="00B34251" w:rsidRDefault="005C0319" w:rsidP="0073183D">
      <w:pPr>
        <w:pStyle w:val="Title"/>
        <w:spacing w:before="0" w:after="240"/>
        <w:jc w:val="both"/>
        <w:rPr>
          <w:b w:val="0"/>
          <w:sz w:val="24"/>
          <w:szCs w:val="24"/>
          <w:u w:val="single"/>
        </w:rPr>
      </w:pPr>
      <w:r w:rsidRPr="00B34251">
        <w:rPr>
          <w:b w:val="0"/>
          <w:sz w:val="24"/>
          <w:szCs w:val="24"/>
          <w:u w:val="single"/>
        </w:rPr>
        <w:t xml:space="preserve">Financial Sector (Collection of Data) (reporting standard) determination No.19 of 2016 – Reporting Standard LOLRS 800.1 Policy Data: Public and Product Liability and Professional Indemnity Insurance </w:t>
      </w:r>
    </w:p>
    <w:p w14:paraId="1C95A18E" w14:textId="77777777" w:rsidR="005C0319" w:rsidRPr="009D2CA1" w:rsidRDefault="005C0319" w:rsidP="005C0319">
      <w:pPr>
        <w:pStyle w:val="Title"/>
        <w:spacing w:before="0" w:after="240"/>
        <w:jc w:val="both"/>
        <w:rPr>
          <w:b w:val="0"/>
          <w:sz w:val="24"/>
          <w:szCs w:val="24"/>
        </w:rPr>
      </w:pPr>
      <w:r w:rsidRPr="009D2CA1">
        <w:rPr>
          <w:b w:val="0"/>
          <w:sz w:val="24"/>
          <w:szCs w:val="24"/>
        </w:rPr>
        <w:t xml:space="preserve">This reporting standard requires Lloyd’s to report on public liability, product liability or professional indemnity insurance policies written by Lloyd’s underwriters that are in force during a </w:t>
      </w:r>
      <w:r w:rsidR="00ED3936">
        <w:rPr>
          <w:b w:val="0"/>
          <w:sz w:val="24"/>
          <w:szCs w:val="24"/>
        </w:rPr>
        <w:t xml:space="preserve">6 month </w:t>
      </w:r>
      <w:r w:rsidRPr="009D2CA1">
        <w:rPr>
          <w:b w:val="0"/>
          <w:sz w:val="24"/>
          <w:szCs w:val="24"/>
        </w:rPr>
        <w:t>reporting period.</w:t>
      </w:r>
      <w:r w:rsidR="00146DCA" w:rsidRPr="00146DCA">
        <w:rPr>
          <w:b w:val="0"/>
          <w:sz w:val="24"/>
          <w:szCs w:val="24"/>
        </w:rPr>
        <w:t xml:space="preserve"> </w:t>
      </w:r>
      <w:r w:rsidRPr="009D2CA1">
        <w:rPr>
          <w:b w:val="0"/>
          <w:sz w:val="24"/>
          <w:szCs w:val="24"/>
        </w:rPr>
        <w:t xml:space="preserve"> </w:t>
      </w:r>
    </w:p>
    <w:p w14:paraId="33637883" w14:textId="77777777" w:rsidR="002F4752" w:rsidRDefault="005C0319" w:rsidP="002F4752">
      <w:pPr>
        <w:pStyle w:val="Title"/>
        <w:spacing w:before="0" w:after="240"/>
        <w:jc w:val="both"/>
        <w:rPr>
          <w:b w:val="0"/>
          <w:sz w:val="24"/>
          <w:szCs w:val="24"/>
        </w:rPr>
      </w:pPr>
      <w:r w:rsidRPr="009D2CA1">
        <w:rPr>
          <w:b w:val="0"/>
          <w:sz w:val="24"/>
          <w:szCs w:val="24"/>
        </w:rPr>
        <w:t>As with the</w:t>
      </w:r>
      <w:r>
        <w:rPr>
          <w:b w:val="0"/>
          <w:sz w:val="24"/>
          <w:szCs w:val="24"/>
        </w:rPr>
        <w:t xml:space="preserve"> </w:t>
      </w:r>
      <w:r w:rsidR="00CF0219">
        <w:rPr>
          <w:b w:val="0"/>
          <w:sz w:val="24"/>
          <w:szCs w:val="24"/>
        </w:rPr>
        <w:t>repealed</w:t>
      </w:r>
      <w:r>
        <w:rPr>
          <w:b w:val="0"/>
          <w:sz w:val="24"/>
          <w:szCs w:val="24"/>
        </w:rPr>
        <w:t xml:space="preserve"> reporting standard made under </w:t>
      </w:r>
      <w:r w:rsidRPr="0073326B">
        <w:rPr>
          <w:b w:val="0"/>
          <w:i/>
          <w:sz w:val="24"/>
          <w:szCs w:val="24"/>
        </w:rPr>
        <w:t>Financial Sector (Collection of Data) determination No. 33 of 2005 – Reporting standard LOLRS 800.1 (2005)</w:t>
      </w:r>
      <w:r w:rsidRPr="009D2CA1">
        <w:rPr>
          <w:b w:val="0"/>
          <w:sz w:val="24"/>
          <w:szCs w:val="24"/>
        </w:rPr>
        <w:t xml:space="preserve">, </w:t>
      </w:r>
      <w:r w:rsidRPr="009D2CA1">
        <w:rPr>
          <w:b w:val="0"/>
          <w:color w:val="000000"/>
          <w:sz w:val="24"/>
          <w:szCs w:val="24"/>
        </w:rPr>
        <w:t>the information to be collected includes the class of business covered by the policy, the policy basis, its current status, the premium earned from the policy and details about the insured party, amongst other details</w:t>
      </w:r>
      <w:r w:rsidRPr="009D2CA1">
        <w:rPr>
          <w:color w:val="000000"/>
          <w:sz w:val="24"/>
          <w:szCs w:val="24"/>
        </w:rPr>
        <w:t>.</w:t>
      </w:r>
      <w:r w:rsidR="002F4752">
        <w:rPr>
          <w:color w:val="000000"/>
          <w:sz w:val="24"/>
          <w:szCs w:val="24"/>
        </w:rPr>
        <w:t xml:space="preserve"> </w:t>
      </w:r>
      <w:r w:rsidR="002F4752">
        <w:rPr>
          <w:b w:val="0"/>
          <w:sz w:val="24"/>
          <w:szCs w:val="24"/>
        </w:rPr>
        <w:t>Amendments have</w:t>
      </w:r>
      <w:r w:rsidR="002F4752" w:rsidRPr="009D2CA1">
        <w:rPr>
          <w:b w:val="0"/>
          <w:sz w:val="24"/>
          <w:szCs w:val="24"/>
        </w:rPr>
        <w:t xml:space="preserve"> been made to the technical data specifications</w:t>
      </w:r>
      <w:r w:rsidR="0001051A">
        <w:rPr>
          <w:b w:val="0"/>
          <w:sz w:val="24"/>
          <w:szCs w:val="24"/>
        </w:rPr>
        <w:t xml:space="preserve"> (the field types)</w:t>
      </w:r>
      <w:r w:rsidR="002F4752">
        <w:rPr>
          <w:b w:val="0"/>
          <w:sz w:val="24"/>
          <w:szCs w:val="24"/>
        </w:rPr>
        <w:t>,</w:t>
      </w:r>
      <w:r w:rsidR="002F4752" w:rsidRPr="009D2CA1">
        <w:rPr>
          <w:b w:val="0"/>
          <w:sz w:val="24"/>
          <w:szCs w:val="24"/>
        </w:rPr>
        <w:t xml:space="preserve"> attached to the standard</w:t>
      </w:r>
      <w:r w:rsidR="002F4752">
        <w:rPr>
          <w:b w:val="0"/>
          <w:sz w:val="24"/>
          <w:szCs w:val="24"/>
        </w:rPr>
        <w:t xml:space="preserve">, </w:t>
      </w:r>
      <w:r w:rsidR="0001051A">
        <w:rPr>
          <w:b w:val="0"/>
          <w:sz w:val="24"/>
          <w:szCs w:val="24"/>
        </w:rPr>
        <w:t xml:space="preserve">in order to reflect the current specifications required </w:t>
      </w:r>
      <w:r w:rsidR="002D4D4C">
        <w:rPr>
          <w:b w:val="0"/>
          <w:sz w:val="24"/>
          <w:szCs w:val="24"/>
        </w:rPr>
        <w:t>for</w:t>
      </w:r>
      <w:r w:rsidR="0001051A">
        <w:rPr>
          <w:b w:val="0"/>
          <w:sz w:val="24"/>
          <w:szCs w:val="24"/>
        </w:rPr>
        <w:t xml:space="preserve"> electronic submission</w:t>
      </w:r>
      <w:r w:rsidR="002F4752" w:rsidRPr="009D2CA1">
        <w:rPr>
          <w:b w:val="0"/>
          <w:sz w:val="24"/>
          <w:szCs w:val="24"/>
        </w:rPr>
        <w:t xml:space="preserve">. </w:t>
      </w:r>
    </w:p>
    <w:p w14:paraId="0A130EB6" w14:textId="77777777" w:rsidR="001B18F6" w:rsidRPr="00B34251" w:rsidRDefault="001B18F6" w:rsidP="001B18F6">
      <w:pPr>
        <w:pStyle w:val="Title"/>
        <w:spacing w:before="0" w:after="240"/>
        <w:jc w:val="both"/>
        <w:rPr>
          <w:b w:val="0"/>
          <w:sz w:val="24"/>
          <w:szCs w:val="24"/>
          <w:u w:val="single"/>
        </w:rPr>
      </w:pPr>
      <w:r w:rsidRPr="00B34251">
        <w:rPr>
          <w:b w:val="0"/>
          <w:sz w:val="24"/>
          <w:szCs w:val="24"/>
          <w:u w:val="single"/>
        </w:rPr>
        <w:t xml:space="preserve">Financial Sector (Collection of Data) (reporting standard) determination No.20 of 2016 – Reporting Standard LOLRS 800.2 Claim Data: Public and Product Liability and Professional Indemnity Insurance </w:t>
      </w:r>
    </w:p>
    <w:p w14:paraId="18281CC8" w14:textId="77777777" w:rsidR="001B18F6" w:rsidRPr="009D2CA1" w:rsidRDefault="001B18F6" w:rsidP="001B18F6">
      <w:pPr>
        <w:pStyle w:val="Title"/>
        <w:spacing w:before="0" w:after="240"/>
        <w:jc w:val="both"/>
        <w:rPr>
          <w:b w:val="0"/>
          <w:sz w:val="24"/>
          <w:szCs w:val="24"/>
        </w:rPr>
      </w:pPr>
      <w:r w:rsidRPr="009D2CA1">
        <w:rPr>
          <w:b w:val="0"/>
          <w:sz w:val="24"/>
          <w:szCs w:val="24"/>
        </w:rPr>
        <w:t xml:space="preserve">This reporting standard requires Lloyd’s to report on claims made on (or not settled by) Lloyd’s underwriters during a </w:t>
      </w:r>
      <w:r w:rsidR="00ED3936">
        <w:rPr>
          <w:b w:val="0"/>
          <w:sz w:val="24"/>
          <w:szCs w:val="24"/>
        </w:rPr>
        <w:t xml:space="preserve">6 month </w:t>
      </w:r>
      <w:r w:rsidRPr="009D2CA1">
        <w:rPr>
          <w:b w:val="0"/>
          <w:sz w:val="24"/>
          <w:szCs w:val="24"/>
        </w:rPr>
        <w:t xml:space="preserve">reporting period, being claims that relate to public liability, product liability or professional indemnity insurance.  </w:t>
      </w:r>
    </w:p>
    <w:p w14:paraId="55E4F521" w14:textId="77777777" w:rsidR="00EF18AA" w:rsidRDefault="001B18F6" w:rsidP="00EF18AA">
      <w:pPr>
        <w:pStyle w:val="Title"/>
        <w:spacing w:before="0" w:after="240"/>
        <w:jc w:val="both"/>
        <w:rPr>
          <w:b w:val="0"/>
          <w:sz w:val="24"/>
          <w:szCs w:val="24"/>
        </w:rPr>
      </w:pPr>
      <w:r>
        <w:rPr>
          <w:b w:val="0"/>
          <w:sz w:val="24"/>
          <w:szCs w:val="24"/>
        </w:rPr>
        <w:t xml:space="preserve">Similar to the current reporting standard made by </w:t>
      </w:r>
      <w:r w:rsidR="00EF18AA" w:rsidRPr="00250FE8">
        <w:rPr>
          <w:b w:val="0"/>
          <w:i/>
          <w:sz w:val="24"/>
          <w:szCs w:val="24"/>
        </w:rPr>
        <w:t>Financial Sector (Collection of Data) (reporting standard) determination No. 61 of 2006</w:t>
      </w:r>
      <w:r w:rsidRPr="009D2CA1">
        <w:rPr>
          <w:b w:val="0"/>
          <w:sz w:val="24"/>
          <w:szCs w:val="24"/>
        </w:rPr>
        <w:t xml:space="preserve">, the </w:t>
      </w:r>
      <w:r w:rsidRPr="009D2CA1">
        <w:rPr>
          <w:b w:val="0"/>
          <w:color w:val="000000"/>
          <w:sz w:val="24"/>
          <w:szCs w:val="24"/>
        </w:rPr>
        <w:t>information to be collected includes the class of business covered by the policy, the policy basis, its current status, the dates of loss and report, the jurisdiction of the claim, the nature of the loss and details of the likely case estimate, amongst other information.</w:t>
      </w:r>
      <w:r w:rsidR="00EF18AA" w:rsidRPr="00EF18AA">
        <w:rPr>
          <w:b w:val="0"/>
          <w:sz w:val="24"/>
          <w:szCs w:val="24"/>
        </w:rPr>
        <w:t xml:space="preserve"> </w:t>
      </w:r>
    </w:p>
    <w:p w14:paraId="4B9CCFF9" w14:textId="77777777" w:rsidR="00EF18AA" w:rsidRPr="00B34251" w:rsidRDefault="00EF18AA" w:rsidP="00EF18AA">
      <w:pPr>
        <w:pStyle w:val="Title"/>
        <w:spacing w:before="0" w:after="240"/>
        <w:jc w:val="both"/>
        <w:rPr>
          <w:b w:val="0"/>
          <w:sz w:val="24"/>
          <w:szCs w:val="24"/>
          <w:u w:val="single"/>
        </w:rPr>
      </w:pPr>
      <w:r w:rsidRPr="00B34251">
        <w:rPr>
          <w:b w:val="0"/>
          <w:sz w:val="24"/>
          <w:szCs w:val="24"/>
          <w:u w:val="single"/>
        </w:rPr>
        <w:t xml:space="preserve">Financial Sector (Collection of Data) (reporting standard) determination No.21 of 2016 – Reporting Standard LOLRS 800.3 Facility Business Data: Public and Product Liability and Professional Indemnity Insurance </w:t>
      </w:r>
    </w:p>
    <w:p w14:paraId="59E36D41" w14:textId="77777777" w:rsidR="00F85F5C" w:rsidRPr="00F85F5C" w:rsidRDefault="00F85F5C" w:rsidP="00F85F5C">
      <w:pPr>
        <w:pStyle w:val="Title"/>
        <w:spacing w:before="0" w:after="240"/>
        <w:jc w:val="both"/>
        <w:rPr>
          <w:sz w:val="24"/>
          <w:szCs w:val="24"/>
        </w:rPr>
      </w:pPr>
      <w:r w:rsidRPr="009D2CA1">
        <w:rPr>
          <w:b w:val="0"/>
          <w:sz w:val="24"/>
          <w:szCs w:val="24"/>
        </w:rPr>
        <w:t xml:space="preserve">This reporting standard requires Lloyd’s to report on public liability, product liability or professional indemnity insurance facility business written by Lloyd’s underwriters, being facility business in relation to which an insurer is on risk during a </w:t>
      </w:r>
      <w:r w:rsidR="00ED3936">
        <w:rPr>
          <w:b w:val="0"/>
          <w:sz w:val="24"/>
          <w:szCs w:val="24"/>
        </w:rPr>
        <w:t xml:space="preserve">6 month </w:t>
      </w:r>
      <w:r w:rsidRPr="009D2CA1">
        <w:rPr>
          <w:b w:val="0"/>
          <w:sz w:val="24"/>
          <w:szCs w:val="24"/>
        </w:rPr>
        <w:t>reporting period.</w:t>
      </w:r>
    </w:p>
    <w:p w14:paraId="04E342BD" w14:textId="77777777" w:rsidR="00F85F5C" w:rsidRPr="009D2CA1" w:rsidRDefault="00F85F5C" w:rsidP="00F85F5C">
      <w:pPr>
        <w:pStyle w:val="Title"/>
        <w:spacing w:before="0" w:after="240"/>
        <w:jc w:val="both"/>
        <w:rPr>
          <w:b w:val="0"/>
          <w:color w:val="000000"/>
          <w:sz w:val="24"/>
          <w:szCs w:val="24"/>
        </w:rPr>
      </w:pPr>
      <w:r w:rsidRPr="009D2CA1">
        <w:rPr>
          <w:b w:val="0"/>
          <w:color w:val="000000"/>
          <w:sz w:val="24"/>
          <w:szCs w:val="24"/>
        </w:rPr>
        <w:lastRenderedPageBreak/>
        <w:t xml:space="preserve">As with the </w:t>
      </w:r>
      <w:r w:rsidR="00CF0219">
        <w:rPr>
          <w:b w:val="0"/>
          <w:color w:val="000000"/>
          <w:sz w:val="24"/>
          <w:szCs w:val="24"/>
        </w:rPr>
        <w:t>repealed</w:t>
      </w:r>
      <w:r>
        <w:rPr>
          <w:b w:val="0"/>
          <w:color w:val="000000"/>
          <w:sz w:val="24"/>
          <w:szCs w:val="24"/>
        </w:rPr>
        <w:t xml:space="preserve"> </w:t>
      </w:r>
      <w:r w:rsidRPr="009D2CA1">
        <w:rPr>
          <w:b w:val="0"/>
          <w:color w:val="000000"/>
          <w:sz w:val="24"/>
          <w:szCs w:val="24"/>
        </w:rPr>
        <w:t>reporting standard</w:t>
      </w:r>
      <w:r w:rsidR="00851847">
        <w:rPr>
          <w:b w:val="0"/>
          <w:color w:val="000000"/>
          <w:sz w:val="24"/>
          <w:szCs w:val="24"/>
        </w:rPr>
        <w:t xml:space="preserve"> made under </w:t>
      </w:r>
      <w:r w:rsidR="00851847" w:rsidRPr="0073326B">
        <w:rPr>
          <w:b w:val="0"/>
          <w:i/>
          <w:sz w:val="24"/>
          <w:szCs w:val="24"/>
        </w:rPr>
        <w:t>Financial Sector (Collection of Data) determination No. 3</w:t>
      </w:r>
      <w:r w:rsidR="00851847">
        <w:rPr>
          <w:b w:val="0"/>
          <w:i/>
          <w:sz w:val="24"/>
          <w:szCs w:val="24"/>
        </w:rPr>
        <w:t xml:space="preserve">5 of 2005 – Reporting </w:t>
      </w:r>
      <w:r w:rsidR="00ED3936">
        <w:rPr>
          <w:b w:val="0"/>
          <w:i/>
          <w:sz w:val="24"/>
          <w:szCs w:val="24"/>
        </w:rPr>
        <w:t>S</w:t>
      </w:r>
      <w:r w:rsidR="00851847">
        <w:rPr>
          <w:b w:val="0"/>
          <w:i/>
          <w:sz w:val="24"/>
          <w:szCs w:val="24"/>
        </w:rPr>
        <w:t>tandard LOL</w:t>
      </w:r>
      <w:r w:rsidR="00851847" w:rsidRPr="0073326B">
        <w:rPr>
          <w:b w:val="0"/>
          <w:i/>
          <w:sz w:val="24"/>
          <w:szCs w:val="24"/>
        </w:rPr>
        <w:t>RS 800.3 (2005)</w:t>
      </w:r>
      <w:r w:rsidRPr="009D2CA1">
        <w:rPr>
          <w:b w:val="0"/>
          <w:color w:val="000000"/>
          <w:sz w:val="24"/>
          <w:szCs w:val="24"/>
        </w:rPr>
        <w:t>, the information to be collected includes the facility identifier, the industry code, the number of policies and claims and gross payments made, amongst other details.</w:t>
      </w:r>
      <w:r w:rsidR="002F01C9">
        <w:rPr>
          <w:b w:val="0"/>
          <w:color w:val="000000"/>
          <w:sz w:val="24"/>
          <w:szCs w:val="24"/>
        </w:rPr>
        <w:t xml:space="preserve"> </w:t>
      </w:r>
    </w:p>
    <w:p w14:paraId="1D840442" w14:textId="77777777" w:rsidR="003C60A4" w:rsidRDefault="003C60A4" w:rsidP="003C60A4">
      <w:pPr>
        <w:pStyle w:val="Heading"/>
        <w:spacing w:after="240"/>
        <w:rPr>
          <w:rFonts w:ascii="Times New Roman" w:hAnsi="Times New Roman"/>
          <w:b w:val="0"/>
          <w:sz w:val="24"/>
          <w:szCs w:val="24"/>
          <w:highlight w:val="yellow"/>
        </w:rPr>
      </w:pPr>
      <w:r w:rsidRPr="00FD728F">
        <w:rPr>
          <w:rFonts w:ascii="Times New Roman" w:hAnsi="Times New Roman"/>
          <w:b w:val="0"/>
          <w:sz w:val="24"/>
          <w:szCs w:val="24"/>
        </w:rPr>
        <w:t xml:space="preserve">Where </w:t>
      </w:r>
      <w:r w:rsidR="008C3B89">
        <w:rPr>
          <w:rFonts w:ascii="Times New Roman" w:hAnsi="Times New Roman"/>
          <w:b w:val="0"/>
          <w:sz w:val="24"/>
          <w:szCs w:val="24"/>
        </w:rPr>
        <w:t xml:space="preserve">the </w:t>
      </w:r>
      <w:r w:rsidR="00F0531B">
        <w:rPr>
          <w:rFonts w:ascii="Times New Roman" w:hAnsi="Times New Roman"/>
          <w:b w:val="0"/>
          <w:sz w:val="24"/>
          <w:szCs w:val="24"/>
        </w:rPr>
        <w:t>reporting standards made by the legislative instruments listed above incorporate</w:t>
      </w:r>
      <w:r w:rsidRPr="00FD728F">
        <w:rPr>
          <w:rFonts w:ascii="Times New Roman" w:hAnsi="Times New Roman"/>
          <w:b w:val="0"/>
          <w:sz w:val="24"/>
          <w:szCs w:val="24"/>
        </w:rPr>
        <w:t xml:space="preserve"> by reference the requirements of another prudential standard, this is a reference to the prudential standard as it exists from time to time.</w:t>
      </w:r>
    </w:p>
    <w:p w14:paraId="6CA42945" w14:textId="77777777" w:rsidR="002436BD" w:rsidRDefault="002436BD" w:rsidP="001317F6">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70D03F57" w14:textId="77777777" w:rsidR="00F0531B" w:rsidRDefault="00F0531B" w:rsidP="001317F6">
      <w:pPr>
        <w:pStyle w:val="Heading"/>
        <w:tabs>
          <w:tab w:val="left" w:pos="360"/>
        </w:tabs>
        <w:spacing w:after="240"/>
        <w:rPr>
          <w:rFonts w:ascii="Times New Roman" w:hAnsi="Times New Roman"/>
          <w:b w:val="0"/>
          <w:sz w:val="24"/>
          <w:szCs w:val="24"/>
        </w:rPr>
      </w:pPr>
      <w:r w:rsidRPr="00F0531B">
        <w:rPr>
          <w:rFonts w:ascii="Times New Roman" w:hAnsi="Times New Roman"/>
          <w:b w:val="0"/>
          <w:sz w:val="24"/>
          <w:szCs w:val="24"/>
        </w:rPr>
        <w:t xml:space="preserve">As noted above, the new reporting standards </w:t>
      </w:r>
      <w:r w:rsidR="00CF0219">
        <w:rPr>
          <w:rFonts w:ascii="Times New Roman" w:hAnsi="Times New Roman"/>
          <w:b w:val="0"/>
          <w:sz w:val="24"/>
          <w:szCs w:val="24"/>
        </w:rPr>
        <w:t>substantial</w:t>
      </w:r>
      <w:r w:rsidR="00CF0219" w:rsidRPr="00F0531B">
        <w:rPr>
          <w:rFonts w:ascii="Times New Roman" w:hAnsi="Times New Roman"/>
          <w:b w:val="0"/>
          <w:sz w:val="24"/>
          <w:szCs w:val="24"/>
        </w:rPr>
        <w:t xml:space="preserve">ly </w:t>
      </w:r>
      <w:r w:rsidRPr="00F0531B">
        <w:rPr>
          <w:rFonts w:ascii="Times New Roman" w:hAnsi="Times New Roman"/>
          <w:b w:val="0"/>
          <w:sz w:val="24"/>
          <w:szCs w:val="24"/>
        </w:rPr>
        <w:t>reflect th</w:t>
      </w:r>
      <w:r w:rsidR="0048537F">
        <w:rPr>
          <w:rFonts w:ascii="Times New Roman" w:hAnsi="Times New Roman"/>
          <w:b w:val="0"/>
          <w:sz w:val="24"/>
          <w:szCs w:val="24"/>
        </w:rPr>
        <w:t xml:space="preserve">e ones which they </w:t>
      </w:r>
      <w:r w:rsidR="0048537F" w:rsidRPr="00426B58">
        <w:rPr>
          <w:rFonts w:ascii="Times New Roman" w:hAnsi="Times New Roman"/>
          <w:b w:val="0"/>
          <w:sz w:val="24"/>
          <w:szCs w:val="24"/>
        </w:rPr>
        <w:t xml:space="preserve">replace. </w:t>
      </w:r>
      <w:r w:rsidR="00426B58">
        <w:rPr>
          <w:rFonts w:ascii="Times New Roman" w:hAnsi="Times New Roman"/>
          <w:b w:val="0"/>
          <w:sz w:val="24"/>
          <w:szCs w:val="24"/>
        </w:rPr>
        <w:t xml:space="preserve">Changes are limited to </w:t>
      </w:r>
      <w:r w:rsidR="005A4E27">
        <w:rPr>
          <w:rFonts w:ascii="Times New Roman" w:hAnsi="Times New Roman"/>
          <w:b w:val="0"/>
          <w:sz w:val="24"/>
          <w:szCs w:val="24"/>
        </w:rPr>
        <w:t>the Data Specifications so that they reflect the current data submission practice</w:t>
      </w:r>
      <w:r w:rsidR="004F0B3B">
        <w:rPr>
          <w:rFonts w:ascii="Times New Roman" w:hAnsi="Times New Roman"/>
          <w:b w:val="0"/>
          <w:sz w:val="24"/>
          <w:szCs w:val="24"/>
        </w:rPr>
        <w:t>,</w:t>
      </w:r>
      <w:r w:rsidR="005A4E27">
        <w:rPr>
          <w:rFonts w:ascii="Times New Roman" w:hAnsi="Times New Roman"/>
          <w:b w:val="0"/>
          <w:sz w:val="24"/>
          <w:szCs w:val="24"/>
        </w:rPr>
        <w:t xml:space="preserve"> </w:t>
      </w:r>
      <w:r w:rsidR="009E6FEA">
        <w:rPr>
          <w:rFonts w:ascii="Times New Roman" w:hAnsi="Times New Roman"/>
          <w:b w:val="0"/>
          <w:sz w:val="24"/>
          <w:szCs w:val="24"/>
        </w:rPr>
        <w:t xml:space="preserve">requiring that general insurers and Lloyds only report electronically (as opposed to </w:t>
      </w:r>
      <w:r w:rsidR="004F0B3B">
        <w:rPr>
          <w:rFonts w:ascii="Times New Roman" w:hAnsi="Times New Roman"/>
          <w:b w:val="0"/>
          <w:sz w:val="24"/>
          <w:szCs w:val="24"/>
        </w:rPr>
        <w:t>having the option of submitting their reports electronically or via a CD-ROM)</w:t>
      </w:r>
      <w:r w:rsidR="00FD1B70">
        <w:rPr>
          <w:rFonts w:ascii="Times New Roman" w:hAnsi="Times New Roman"/>
          <w:b w:val="0"/>
          <w:sz w:val="24"/>
          <w:szCs w:val="24"/>
        </w:rPr>
        <w:t xml:space="preserve">, </w:t>
      </w:r>
      <w:r w:rsidR="00E94D4B">
        <w:rPr>
          <w:rFonts w:ascii="Times New Roman" w:hAnsi="Times New Roman"/>
          <w:b w:val="0"/>
          <w:sz w:val="24"/>
          <w:szCs w:val="24"/>
        </w:rPr>
        <w:t xml:space="preserve">amending the </w:t>
      </w:r>
      <w:r w:rsidR="00FD1B70">
        <w:rPr>
          <w:rFonts w:ascii="Times New Roman" w:hAnsi="Times New Roman"/>
          <w:b w:val="0"/>
          <w:sz w:val="24"/>
          <w:szCs w:val="24"/>
        </w:rPr>
        <w:t>due date of the reports</w:t>
      </w:r>
      <w:r w:rsidR="00E94D4B">
        <w:rPr>
          <w:rFonts w:ascii="Times New Roman" w:hAnsi="Times New Roman"/>
          <w:b w:val="0"/>
          <w:sz w:val="24"/>
          <w:szCs w:val="24"/>
        </w:rPr>
        <w:t xml:space="preserve"> so that the </w:t>
      </w:r>
      <w:r w:rsidR="00014EC8">
        <w:rPr>
          <w:rFonts w:ascii="Times New Roman" w:hAnsi="Times New Roman"/>
          <w:b w:val="0"/>
          <w:sz w:val="24"/>
          <w:szCs w:val="24"/>
        </w:rPr>
        <w:t xml:space="preserve">due </w:t>
      </w:r>
      <w:r w:rsidR="00F1656B">
        <w:rPr>
          <w:rFonts w:ascii="Times New Roman" w:hAnsi="Times New Roman"/>
          <w:b w:val="0"/>
          <w:sz w:val="24"/>
          <w:szCs w:val="24"/>
        </w:rPr>
        <w:t>date</w:t>
      </w:r>
      <w:r w:rsidR="00564BE1">
        <w:rPr>
          <w:rFonts w:ascii="Times New Roman" w:hAnsi="Times New Roman"/>
          <w:b w:val="0"/>
          <w:sz w:val="24"/>
          <w:szCs w:val="24"/>
        </w:rPr>
        <w:t xml:space="preserve"> reflects the current practice</w:t>
      </w:r>
      <w:r w:rsidR="004F0B3B">
        <w:rPr>
          <w:rFonts w:ascii="Times New Roman" w:hAnsi="Times New Roman"/>
          <w:b w:val="0"/>
          <w:sz w:val="24"/>
          <w:szCs w:val="24"/>
        </w:rPr>
        <w:t xml:space="preserve"> and minor amendments to the paragraphing</w:t>
      </w:r>
      <w:r w:rsidR="00E939B0">
        <w:rPr>
          <w:rFonts w:ascii="Times New Roman" w:hAnsi="Times New Roman"/>
          <w:b w:val="0"/>
          <w:sz w:val="24"/>
          <w:szCs w:val="24"/>
        </w:rPr>
        <w:t>.</w:t>
      </w:r>
      <w:r w:rsidR="004F0B3B">
        <w:rPr>
          <w:rFonts w:ascii="Times New Roman" w:hAnsi="Times New Roman"/>
          <w:b w:val="0"/>
          <w:sz w:val="24"/>
          <w:szCs w:val="24"/>
        </w:rPr>
        <w:t xml:space="preserve"> </w:t>
      </w:r>
      <w:r w:rsidRPr="00426B58">
        <w:rPr>
          <w:rFonts w:ascii="Times New Roman" w:hAnsi="Times New Roman"/>
          <w:b w:val="0"/>
          <w:sz w:val="24"/>
          <w:szCs w:val="24"/>
        </w:rPr>
        <w:t>Accordingly</w:t>
      </w:r>
      <w:r w:rsidR="0048537F">
        <w:rPr>
          <w:rFonts w:ascii="Times New Roman" w:hAnsi="Times New Roman"/>
          <w:b w:val="0"/>
          <w:sz w:val="24"/>
          <w:szCs w:val="24"/>
        </w:rPr>
        <w:t>,</w:t>
      </w:r>
      <w:r w:rsidRPr="00F0531B">
        <w:rPr>
          <w:rFonts w:ascii="Times New Roman" w:hAnsi="Times New Roman"/>
          <w:b w:val="0"/>
          <w:sz w:val="24"/>
          <w:szCs w:val="24"/>
        </w:rPr>
        <w:t xml:space="preserve"> it is relevant to describe the consultation that took place in relation to the old reporting standards.</w:t>
      </w:r>
    </w:p>
    <w:p w14:paraId="001ACF71" w14:textId="77777777" w:rsidR="00F0531B" w:rsidRDefault="002436BD" w:rsidP="00A914DD">
      <w:pPr>
        <w:pStyle w:val="Heading"/>
        <w:tabs>
          <w:tab w:val="left" w:pos="360"/>
        </w:tabs>
        <w:rPr>
          <w:rFonts w:ascii="Times New Roman" w:hAnsi="Times New Roman"/>
          <w:b w:val="0"/>
          <w:sz w:val="24"/>
          <w:szCs w:val="24"/>
        </w:rPr>
      </w:pPr>
      <w:r>
        <w:rPr>
          <w:rFonts w:ascii="Times New Roman" w:hAnsi="Times New Roman"/>
          <w:b w:val="0"/>
          <w:sz w:val="24"/>
          <w:szCs w:val="24"/>
        </w:rPr>
        <w:t xml:space="preserve">APRA undertook extensive consultations on its proposed </w:t>
      </w:r>
      <w:r w:rsidR="00F0531B">
        <w:rPr>
          <w:rFonts w:ascii="Times New Roman" w:hAnsi="Times New Roman"/>
          <w:b w:val="0"/>
          <w:sz w:val="24"/>
          <w:szCs w:val="24"/>
        </w:rPr>
        <w:t xml:space="preserve">original reporting </w:t>
      </w:r>
      <w:r w:rsidR="0048537F">
        <w:rPr>
          <w:rFonts w:ascii="Times New Roman" w:hAnsi="Times New Roman"/>
          <w:b w:val="0"/>
          <w:sz w:val="24"/>
          <w:szCs w:val="24"/>
        </w:rPr>
        <w:t>requirements which commen</w:t>
      </w:r>
      <w:r w:rsidR="0048537F" w:rsidRPr="0048537F">
        <w:rPr>
          <w:rFonts w:ascii="Times New Roman" w:hAnsi="Times New Roman"/>
          <w:b w:val="0"/>
          <w:sz w:val="24"/>
          <w:szCs w:val="24"/>
        </w:rPr>
        <w:t>ced in July 2003, with a preliminary letter sent to all regulated general insurers and Lloyd’s regardless of whether they currently write public liability or professional indemnity insurance.  This letter invited the industry to indicate, through a questionnaire, the specific claims and policy information which would be of the most value to them when published.  It also provided an opportunity for insurers to advise APRA about their current and intended p</w:t>
      </w:r>
      <w:r w:rsidR="0048537F">
        <w:rPr>
          <w:rFonts w:ascii="Times New Roman" w:hAnsi="Times New Roman"/>
          <w:b w:val="0"/>
          <w:sz w:val="24"/>
          <w:szCs w:val="24"/>
        </w:rPr>
        <w:t xml:space="preserve">articipation in these sectors. </w:t>
      </w:r>
      <w:r w:rsidR="0048537F" w:rsidRPr="0048537F">
        <w:rPr>
          <w:rFonts w:ascii="Times New Roman" w:hAnsi="Times New Roman"/>
          <w:b w:val="0"/>
          <w:sz w:val="24"/>
          <w:szCs w:val="24"/>
        </w:rPr>
        <w:t>A significant majority (85%)</w:t>
      </w:r>
      <w:r w:rsidR="0048537F" w:rsidRPr="0048537F" w:rsidDel="00C77598">
        <w:rPr>
          <w:rFonts w:ascii="Times New Roman" w:hAnsi="Times New Roman"/>
          <w:b w:val="0"/>
          <w:sz w:val="24"/>
          <w:szCs w:val="24"/>
        </w:rPr>
        <w:t xml:space="preserve"> </w:t>
      </w:r>
      <w:r w:rsidR="0048537F" w:rsidRPr="0048537F">
        <w:rPr>
          <w:rFonts w:ascii="Times New Roman" w:hAnsi="Times New Roman"/>
          <w:b w:val="0"/>
          <w:sz w:val="24"/>
          <w:szCs w:val="24"/>
        </w:rPr>
        <w:t>of all insurers returned completed questionnaires to APRA in response to this letter</w:t>
      </w:r>
      <w:r w:rsidR="00A914DD">
        <w:rPr>
          <w:rFonts w:ascii="Times New Roman" w:hAnsi="Times New Roman"/>
          <w:b w:val="0"/>
          <w:sz w:val="24"/>
          <w:szCs w:val="24"/>
        </w:rPr>
        <w:t>.</w:t>
      </w:r>
    </w:p>
    <w:p w14:paraId="1F94C5A5" w14:textId="77777777" w:rsidR="00A914DD" w:rsidRPr="00A914DD" w:rsidRDefault="00A914DD" w:rsidP="00A914DD">
      <w:pPr>
        <w:pStyle w:val="Heading"/>
        <w:tabs>
          <w:tab w:val="left" w:pos="360"/>
        </w:tabs>
        <w:rPr>
          <w:rFonts w:ascii="Times New Roman" w:hAnsi="Times New Roman"/>
          <w:b w:val="0"/>
          <w:sz w:val="24"/>
          <w:szCs w:val="24"/>
        </w:rPr>
      </w:pPr>
    </w:p>
    <w:p w14:paraId="296F0923" w14:textId="77777777" w:rsidR="00A914DD" w:rsidRDefault="00A914DD" w:rsidP="00A914DD">
      <w:pPr>
        <w:pStyle w:val="Heading"/>
        <w:tabs>
          <w:tab w:val="left" w:pos="360"/>
        </w:tabs>
        <w:rPr>
          <w:rFonts w:ascii="Times New Roman" w:hAnsi="Times New Roman"/>
          <w:b w:val="0"/>
          <w:sz w:val="24"/>
          <w:szCs w:val="24"/>
        </w:rPr>
      </w:pPr>
      <w:r w:rsidRPr="00A914DD">
        <w:rPr>
          <w:rFonts w:ascii="Times New Roman" w:hAnsi="Times New Roman"/>
          <w:b w:val="0"/>
          <w:sz w:val="24"/>
          <w:szCs w:val="24"/>
        </w:rPr>
        <w:t>During the development of the original data specifications</w:t>
      </w:r>
      <w:r w:rsidR="001E0940">
        <w:rPr>
          <w:rFonts w:ascii="Times New Roman" w:hAnsi="Times New Roman"/>
          <w:b w:val="0"/>
          <w:sz w:val="24"/>
          <w:szCs w:val="24"/>
        </w:rPr>
        <w:t>, there were</w:t>
      </w:r>
      <w:r w:rsidR="0082430B">
        <w:rPr>
          <w:rFonts w:ascii="Times New Roman" w:hAnsi="Times New Roman"/>
          <w:b w:val="0"/>
          <w:sz w:val="24"/>
          <w:szCs w:val="24"/>
        </w:rPr>
        <w:t xml:space="preserve"> two rounds of consultation. </w:t>
      </w:r>
      <w:r w:rsidRPr="00A914DD">
        <w:rPr>
          <w:rFonts w:ascii="Times New Roman" w:hAnsi="Times New Roman"/>
          <w:b w:val="0"/>
          <w:sz w:val="24"/>
          <w:szCs w:val="24"/>
        </w:rPr>
        <w:t>The first round of consultation requested input on the data items to be collected, the time-frame for implementation, the frequency of on-going collections and the content of the reports to be provided</w:t>
      </w:r>
      <w:r w:rsidR="0082430B">
        <w:rPr>
          <w:rFonts w:ascii="Times New Roman" w:hAnsi="Times New Roman"/>
          <w:b w:val="0"/>
          <w:sz w:val="24"/>
          <w:szCs w:val="24"/>
        </w:rPr>
        <w:t xml:space="preserve"> and a round of pilot testing</w:t>
      </w:r>
      <w:r w:rsidRPr="00A914DD">
        <w:rPr>
          <w:rFonts w:ascii="Times New Roman" w:hAnsi="Times New Roman"/>
          <w:b w:val="0"/>
          <w:sz w:val="24"/>
          <w:szCs w:val="24"/>
        </w:rPr>
        <w:t xml:space="preserve">.  The second round of consultation requested final comment on the proposed data specification for the collection.  The pilot test provided general insurers with the opportunity to gain a clear understanding of the new data to be provided to APRA, and should avoid unnecessary clarification checks once the collection has commenced. </w:t>
      </w:r>
    </w:p>
    <w:p w14:paraId="23BE3C70" w14:textId="77777777" w:rsidR="00A914DD" w:rsidRPr="00A914DD" w:rsidRDefault="00A914DD" w:rsidP="00A914DD">
      <w:pPr>
        <w:pStyle w:val="Heading"/>
        <w:tabs>
          <w:tab w:val="left" w:pos="360"/>
        </w:tabs>
        <w:rPr>
          <w:rFonts w:ascii="Times New Roman" w:hAnsi="Times New Roman"/>
          <w:b w:val="0"/>
          <w:sz w:val="24"/>
          <w:szCs w:val="24"/>
        </w:rPr>
      </w:pPr>
    </w:p>
    <w:p w14:paraId="54215B6B" w14:textId="77777777" w:rsidR="00A914DD" w:rsidRDefault="00A914DD" w:rsidP="0082430B">
      <w:pPr>
        <w:pStyle w:val="Heading"/>
        <w:tabs>
          <w:tab w:val="left" w:pos="360"/>
        </w:tabs>
        <w:rPr>
          <w:rFonts w:ascii="Times New Roman" w:hAnsi="Times New Roman"/>
          <w:b w:val="0"/>
          <w:sz w:val="24"/>
          <w:szCs w:val="24"/>
        </w:rPr>
      </w:pPr>
      <w:r w:rsidRPr="00A914DD">
        <w:rPr>
          <w:rFonts w:ascii="Times New Roman" w:hAnsi="Times New Roman"/>
          <w:b w:val="0"/>
          <w:sz w:val="24"/>
          <w:szCs w:val="24"/>
        </w:rPr>
        <w:t>The consultation process, however, revealed that the generic reporting requirements applicable to general insurers were not appropriate for Lloyd’s.  Lloyd’s operates a global centralised data collection system, which collates data received</w:t>
      </w:r>
      <w:r w:rsidR="007A09CB">
        <w:rPr>
          <w:rFonts w:ascii="Times New Roman" w:hAnsi="Times New Roman"/>
          <w:b w:val="0"/>
          <w:sz w:val="24"/>
          <w:szCs w:val="24"/>
        </w:rPr>
        <w:t xml:space="preserve"> from individual underwriters. </w:t>
      </w:r>
      <w:r w:rsidRPr="00A914DD">
        <w:rPr>
          <w:rFonts w:ascii="Times New Roman" w:hAnsi="Times New Roman"/>
          <w:b w:val="0"/>
          <w:sz w:val="24"/>
          <w:szCs w:val="24"/>
        </w:rPr>
        <w:t>Lloyd’s underwriters in Australia, therefore, provide information to London, which then sends back standardised reports to the Australian operations.</w:t>
      </w:r>
      <w:r w:rsidR="007A09CB">
        <w:rPr>
          <w:rFonts w:ascii="Times New Roman" w:hAnsi="Times New Roman"/>
          <w:b w:val="0"/>
          <w:sz w:val="24"/>
          <w:szCs w:val="24"/>
        </w:rPr>
        <w:t xml:space="preserve"> </w:t>
      </w:r>
      <w:r w:rsidRPr="00A914DD">
        <w:rPr>
          <w:rFonts w:ascii="Times New Roman" w:hAnsi="Times New Roman"/>
          <w:b w:val="0"/>
          <w:sz w:val="24"/>
          <w:szCs w:val="24"/>
        </w:rPr>
        <w:t>APRA, therefore, decided that to allow Lloyd’s to comply with slightly modified reporting requirements.  As a result, three separate reporting standards are required to give effect to the data specifications applicable only to Lloyd’s Australia L</w:t>
      </w:r>
      <w:r w:rsidR="0082430B">
        <w:rPr>
          <w:rFonts w:ascii="Times New Roman" w:hAnsi="Times New Roman"/>
          <w:b w:val="0"/>
          <w:sz w:val="24"/>
          <w:szCs w:val="24"/>
        </w:rPr>
        <w:t xml:space="preserve">imited. </w:t>
      </w:r>
    </w:p>
    <w:p w14:paraId="1EBD03B2" w14:textId="77777777" w:rsidR="00BB5086" w:rsidRDefault="00BB5086" w:rsidP="0082430B">
      <w:pPr>
        <w:pStyle w:val="Heading"/>
        <w:tabs>
          <w:tab w:val="left" w:pos="360"/>
        </w:tabs>
        <w:rPr>
          <w:rFonts w:ascii="Times New Roman" w:hAnsi="Times New Roman"/>
          <w:b w:val="0"/>
          <w:sz w:val="24"/>
          <w:szCs w:val="24"/>
        </w:rPr>
      </w:pPr>
    </w:p>
    <w:p w14:paraId="544385C0" w14:textId="77777777" w:rsidR="0082430B" w:rsidRDefault="00BB5086" w:rsidP="0082430B">
      <w:pPr>
        <w:pStyle w:val="Heading"/>
        <w:tabs>
          <w:tab w:val="left" w:pos="360"/>
        </w:tabs>
        <w:rPr>
          <w:rFonts w:ascii="Times New Roman" w:hAnsi="Times New Roman"/>
          <w:b w:val="0"/>
          <w:sz w:val="24"/>
          <w:szCs w:val="24"/>
        </w:rPr>
      </w:pPr>
      <w:r>
        <w:rPr>
          <w:rFonts w:ascii="Times New Roman" w:hAnsi="Times New Roman"/>
          <w:b w:val="0"/>
          <w:sz w:val="24"/>
          <w:szCs w:val="24"/>
        </w:rPr>
        <w:t>The changes to the data specifications</w:t>
      </w:r>
      <w:r w:rsidR="00335698">
        <w:rPr>
          <w:rFonts w:ascii="Times New Roman" w:hAnsi="Times New Roman"/>
          <w:b w:val="0"/>
          <w:sz w:val="24"/>
          <w:szCs w:val="24"/>
        </w:rPr>
        <w:t>, which have been incorporated in the new reporting standards,</w:t>
      </w:r>
      <w:r>
        <w:rPr>
          <w:rFonts w:ascii="Times New Roman" w:hAnsi="Times New Roman"/>
          <w:b w:val="0"/>
          <w:sz w:val="24"/>
          <w:szCs w:val="24"/>
        </w:rPr>
        <w:t xml:space="preserve"> were consulted on in 2005</w:t>
      </w:r>
      <w:r w:rsidR="00335698">
        <w:rPr>
          <w:rFonts w:ascii="Times New Roman" w:hAnsi="Times New Roman"/>
          <w:b w:val="0"/>
          <w:sz w:val="24"/>
          <w:szCs w:val="24"/>
        </w:rPr>
        <w:t xml:space="preserve">. These data specifications are of a technical nature and were agreed between APRA and the user group which represented </w:t>
      </w:r>
      <w:r w:rsidR="00335698">
        <w:rPr>
          <w:rFonts w:ascii="Times New Roman" w:hAnsi="Times New Roman"/>
          <w:b w:val="0"/>
          <w:sz w:val="24"/>
          <w:szCs w:val="24"/>
        </w:rPr>
        <w:lastRenderedPageBreak/>
        <w:t xml:space="preserve">NCPD contributors. Changes to data specifications were distributed to all NCPD contributors in May 2005 and there were no objections to the changes. </w:t>
      </w:r>
    </w:p>
    <w:p w14:paraId="3D6EF888" w14:textId="77777777" w:rsidR="007A09CB" w:rsidRDefault="007A09CB" w:rsidP="0082430B">
      <w:pPr>
        <w:pStyle w:val="Heading"/>
        <w:tabs>
          <w:tab w:val="left" w:pos="360"/>
        </w:tabs>
        <w:rPr>
          <w:rFonts w:ascii="Times New Roman" w:hAnsi="Times New Roman"/>
          <w:b w:val="0"/>
          <w:sz w:val="24"/>
          <w:szCs w:val="24"/>
        </w:rPr>
      </w:pPr>
    </w:p>
    <w:p w14:paraId="654154D1" w14:textId="77777777" w:rsidR="007A09CB" w:rsidRDefault="007A09CB" w:rsidP="007A09CB">
      <w:pPr>
        <w:pStyle w:val="Heading"/>
        <w:tabs>
          <w:tab w:val="left" w:pos="360"/>
        </w:tabs>
        <w:rPr>
          <w:rFonts w:ascii="Times New Roman" w:hAnsi="Times New Roman"/>
          <w:b w:val="0"/>
          <w:sz w:val="24"/>
          <w:szCs w:val="24"/>
        </w:rPr>
      </w:pPr>
      <w:r w:rsidRPr="00A914DD">
        <w:rPr>
          <w:rFonts w:ascii="Times New Roman" w:hAnsi="Times New Roman"/>
          <w:b w:val="0"/>
          <w:sz w:val="24"/>
          <w:szCs w:val="24"/>
        </w:rPr>
        <w:t xml:space="preserve">The general insurance industry indicated strong support for the proposed data collection.  </w:t>
      </w:r>
    </w:p>
    <w:p w14:paraId="165FC6D8" w14:textId="77777777" w:rsidR="007303F5" w:rsidRDefault="007303F5" w:rsidP="0082430B">
      <w:pPr>
        <w:pStyle w:val="Heading"/>
        <w:tabs>
          <w:tab w:val="left" w:pos="360"/>
        </w:tabs>
        <w:rPr>
          <w:rFonts w:ascii="Times New Roman" w:hAnsi="Times New Roman"/>
          <w:b w:val="0"/>
          <w:sz w:val="24"/>
          <w:szCs w:val="24"/>
        </w:rPr>
      </w:pPr>
    </w:p>
    <w:p w14:paraId="735C1C0A" w14:textId="77777777" w:rsidR="00F0531B" w:rsidRDefault="0082430B" w:rsidP="001317F6">
      <w:pPr>
        <w:pStyle w:val="Heading"/>
        <w:tabs>
          <w:tab w:val="left" w:pos="360"/>
        </w:tabs>
        <w:spacing w:after="240"/>
        <w:rPr>
          <w:rFonts w:ascii="Times New Roman" w:hAnsi="Times New Roman"/>
          <w:b w:val="0"/>
          <w:sz w:val="24"/>
          <w:szCs w:val="24"/>
        </w:rPr>
      </w:pPr>
      <w:r w:rsidRPr="0082430B">
        <w:rPr>
          <w:rFonts w:ascii="Times New Roman" w:hAnsi="Times New Roman"/>
          <w:b w:val="0"/>
          <w:i/>
          <w:sz w:val="24"/>
          <w:szCs w:val="24"/>
        </w:rPr>
        <w:t xml:space="preserve">Consultation on the new reporting standards </w:t>
      </w:r>
    </w:p>
    <w:p w14:paraId="0DB948F5" w14:textId="77777777" w:rsidR="00B64B2E" w:rsidRDefault="007368AD" w:rsidP="00113C3C">
      <w:pPr>
        <w:pStyle w:val="Heading"/>
        <w:tabs>
          <w:tab w:val="left" w:pos="360"/>
        </w:tabs>
        <w:spacing w:after="240"/>
        <w:rPr>
          <w:rFonts w:ascii="Times New Roman" w:hAnsi="Times New Roman"/>
          <w:b w:val="0"/>
          <w:sz w:val="24"/>
          <w:szCs w:val="24"/>
        </w:rPr>
      </w:pPr>
      <w:r w:rsidRPr="00E07C68">
        <w:rPr>
          <w:rFonts w:ascii="Times New Roman" w:hAnsi="Times New Roman"/>
          <w:b w:val="0"/>
          <w:sz w:val="24"/>
          <w:szCs w:val="24"/>
        </w:rPr>
        <w:t>The instrument is minor or machinery in nature and does not substantially alter existing arrangements.</w:t>
      </w:r>
    </w:p>
    <w:p w14:paraId="1830A73D" w14:textId="77777777" w:rsidR="002436BD" w:rsidRDefault="00DF524E" w:rsidP="00113C3C">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1D8C8689" w14:textId="77777777" w:rsidR="00D3484E" w:rsidRDefault="00D3484E" w:rsidP="00113C3C">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w:t>
      </w:r>
      <w:r w:rsidR="004A11A7" w:rsidRPr="004A11A7">
        <w:rPr>
          <w:rFonts w:ascii="Times New Roman" w:hAnsi="Times New Roman"/>
          <w:b w:val="0"/>
          <w:sz w:val="24"/>
          <w:szCs w:val="24"/>
        </w:rPr>
        <w:t>reintroducing the four revoked standards and remaking the two sunsetting instruments, without significant changes, is likely to result in only a minor regulatory impact</w:t>
      </w:r>
      <w:r w:rsidR="00E46C20">
        <w:rPr>
          <w:rFonts w:ascii="Times New Roman" w:hAnsi="Times New Roman"/>
          <w:b w:val="0"/>
          <w:sz w:val="24"/>
          <w:szCs w:val="24"/>
        </w:rPr>
        <w:t>, and that consequently</w:t>
      </w:r>
      <w:r w:rsidR="004A11A7" w:rsidRPr="004A11A7">
        <w:rPr>
          <w:rFonts w:ascii="Times New Roman" w:hAnsi="Times New Roman"/>
          <w:b w:val="0"/>
          <w:sz w:val="24"/>
          <w:szCs w:val="24"/>
        </w:rPr>
        <w:t xml:space="preserve"> </w:t>
      </w:r>
      <w:r w:rsidRPr="00D3484E">
        <w:rPr>
          <w:rFonts w:ascii="Times New Roman" w:hAnsi="Times New Roman"/>
          <w:b w:val="0"/>
          <w:sz w:val="24"/>
          <w:szCs w:val="24"/>
        </w:rPr>
        <w:t xml:space="preserve">a Regulation Impact Statement </w:t>
      </w:r>
      <w:r w:rsidR="00E46C20">
        <w:rPr>
          <w:rFonts w:ascii="Times New Roman" w:hAnsi="Times New Roman"/>
          <w:b w:val="0"/>
          <w:sz w:val="24"/>
          <w:szCs w:val="24"/>
        </w:rPr>
        <w:t>is not required for these</w:t>
      </w:r>
      <w:r>
        <w:rPr>
          <w:rFonts w:ascii="Times New Roman" w:hAnsi="Times New Roman"/>
          <w:b w:val="0"/>
          <w:sz w:val="24"/>
          <w:szCs w:val="24"/>
        </w:rPr>
        <w:t xml:space="preserve"> legislative instrument</w:t>
      </w:r>
      <w:r w:rsidR="00E46C20">
        <w:rPr>
          <w:rFonts w:ascii="Times New Roman" w:hAnsi="Times New Roman"/>
          <w:b w:val="0"/>
          <w:sz w:val="24"/>
          <w:szCs w:val="24"/>
        </w:rPr>
        <w:t>s</w:t>
      </w:r>
      <w:r w:rsidRPr="00D3484E">
        <w:rPr>
          <w:rFonts w:ascii="Times New Roman" w:hAnsi="Times New Roman"/>
          <w:b w:val="0"/>
          <w:sz w:val="24"/>
          <w:szCs w:val="24"/>
        </w:rPr>
        <w:t>.</w:t>
      </w:r>
    </w:p>
    <w:p w14:paraId="3311F22A" w14:textId="77777777" w:rsidR="002436BD" w:rsidRPr="00B3165F" w:rsidRDefault="00DF524E" w:rsidP="00113C3C">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5283F82B" w14:textId="77777777" w:rsidR="00B04B20" w:rsidRDefault="0030506B" w:rsidP="001317F6">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r w:rsidR="00CE20E9">
        <w:rPr>
          <w:rFonts w:ascii="Times New Roman" w:hAnsi="Times New Roman"/>
          <w:b w:val="0"/>
          <w:sz w:val="24"/>
          <w:szCs w:val="24"/>
        </w:rPr>
        <w:t xml:space="preserve"> </w:t>
      </w:r>
    </w:p>
    <w:p w14:paraId="2BD46B54" w14:textId="77777777" w:rsidR="00BC7902" w:rsidRDefault="00BC7902">
      <w:pPr>
        <w:rPr>
          <w:rFonts w:ascii="Times New Roman" w:hAnsi="Times New Roman"/>
          <w:sz w:val="24"/>
          <w:szCs w:val="24"/>
        </w:rPr>
      </w:pPr>
      <w:r>
        <w:rPr>
          <w:rFonts w:ascii="Times New Roman" w:hAnsi="Times New Roman"/>
          <w:b/>
          <w:sz w:val="24"/>
          <w:szCs w:val="24"/>
        </w:rPr>
        <w:br w:type="page"/>
      </w:r>
    </w:p>
    <w:p w14:paraId="0F2649F7" w14:textId="77777777" w:rsidR="00BC7902" w:rsidRPr="008178C2" w:rsidRDefault="00BC7902" w:rsidP="00BC7902">
      <w:pPr>
        <w:spacing w:after="360"/>
        <w:jc w:val="both"/>
        <w:rPr>
          <w:rFonts w:ascii="Times New Roman" w:hAnsi="Times New Roman"/>
          <w:b/>
          <w:sz w:val="24"/>
          <w:szCs w:val="24"/>
        </w:rPr>
      </w:pPr>
      <w:r w:rsidRPr="008178C2">
        <w:rPr>
          <w:rFonts w:ascii="Times New Roman" w:hAnsi="Times New Roman"/>
          <w:b/>
          <w:sz w:val="24"/>
          <w:szCs w:val="24"/>
          <w:u w:val="single"/>
          <w:lang w:val="en-GB"/>
        </w:rPr>
        <w:lastRenderedPageBreak/>
        <w:t>ATTACHMENT A</w:t>
      </w:r>
    </w:p>
    <w:p w14:paraId="4AF0310B" w14:textId="77777777" w:rsidR="00BC7902" w:rsidRPr="008178C2" w:rsidRDefault="00BC7902" w:rsidP="00BC7902">
      <w:pPr>
        <w:spacing w:after="240"/>
        <w:jc w:val="center"/>
        <w:rPr>
          <w:rFonts w:ascii="Times New Roman" w:hAnsi="Times New Roman"/>
          <w:b/>
          <w:sz w:val="24"/>
          <w:szCs w:val="24"/>
        </w:rPr>
      </w:pPr>
      <w:r w:rsidRPr="008178C2">
        <w:rPr>
          <w:rFonts w:ascii="Times New Roman" w:hAnsi="Times New Roman"/>
          <w:b/>
          <w:sz w:val="24"/>
          <w:szCs w:val="24"/>
        </w:rPr>
        <w:t>Statement of Compatibility with Human Rights</w:t>
      </w:r>
    </w:p>
    <w:p w14:paraId="7B964231" w14:textId="77777777" w:rsidR="00BC7902" w:rsidRDefault="00BC7902" w:rsidP="00BC7902">
      <w:pPr>
        <w:keepNext/>
        <w:keepLines/>
        <w:spacing w:after="240"/>
        <w:jc w:val="center"/>
        <w:outlineLvl w:val="0"/>
        <w:rPr>
          <w:rFonts w:ascii="Times New Roman" w:hAnsi="Times New Roman"/>
          <w:bCs/>
          <w:i/>
          <w:color w:val="000000"/>
          <w:sz w:val="24"/>
          <w:szCs w:val="24"/>
        </w:rPr>
      </w:pPr>
      <w:r w:rsidRPr="00746F65">
        <w:rPr>
          <w:rFonts w:ascii="Times New Roman" w:hAnsi="Times New Roman"/>
          <w:bCs/>
          <w:i/>
          <w:color w:val="000000"/>
          <w:sz w:val="24"/>
          <w:szCs w:val="24"/>
        </w:rPr>
        <w:t>Human Rights (Parliamentary Scrutiny) Act 2011</w:t>
      </w:r>
    </w:p>
    <w:p w14:paraId="4E7651C7" w14:textId="77777777" w:rsidR="00BC7902" w:rsidRPr="008178C2" w:rsidRDefault="00134D41" w:rsidP="00134D41">
      <w:pPr>
        <w:pStyle w:val="Heading"/>
        <w:spacing w:after="240"/>
        <w:jc w:val="center"/>
        <w:rPr>
          <w:rFonts w:ascii="Times New Roman" w:hAnsi="Times New Roman"/>
          <w:sz w:val="24"/>
          <w:szCs w:val="24"/>
        </w:rPr>
      </w:pPr>
      <w:r w:rsidRPr="00E62E09">
        <w:rPr>
          <w:rFonts w:ascii="Times New Roman" w:hAnsi="Times New Roman"/>
          <w:sz w:val="24"/>
          <w:szCs w:val="24"/>
        </w:rPr>
        <w:t>Financial Sector (Collection of Data) (reporting standard)</w:t>
      </w:r>
      <w:r>
        <w:rPr>
          <w:rFonts w:ascii="Times New Roman" w:hAnsi="Times New Roman"/>
          <w:sz w:val="24"/>
          <w:szCs w:val="24"/>
        </w:rPr>
        <w:t xml:space="preserve"> </w:t>
      </w:r>
      <w:r w:rsidRPr="002C6D26">
        <w:rPr>
          <w:rFonts w:ascii="Times New Roman" w:hAnsi="Times New Roman"/>
          <w:sz w:val="24"/>
          <w:szCs w:val="24"/>
        </w:rPr>
        <w:t>determination</w:t>
      </w:r>
      <w:r>
        <w:rPr>
          <w:rFonts w:ascii="Times New Roman" w:hAnsi="Times New Roman"/>
          <w:sz w:val="24"/>
          <w:szCs w:val="24"/>
        </w:rPr>
        <w:t>s</w:t>
      </w:r>
      <w:r w:rsidRPr="002C6D26">
        <w:rPr>
          <w:rFonts w:ascii="Times New Roman" w:hAnsi="Times New Roman"/>
          <w:sz w:val="24"/>
          <w:szCs w:val="24"/>
        </w:rPr>
        <w:t xml:space="preserve"> No</w:t>
      </w:r>
      <w:r>
        <w:rPr>
          <w:rFonts w:ascii="Times New Roman" w:hAnsi="Times New Roman"/>
          <w:sz w:val="24"/>
          <w:szCs w:val="24"/>
        </w:rPr>
        <w:t>s</w:t>
      </w:r>
      <w:r w:rsidRPr="002C6D26">
        <w:rPr>
          <w:rFonts w:ascii="Times New Roman" w:hAnsi="Times New Roman"/>
          <w:sz w:val="24"/>
          <w:szCs w:val="24"/>
        </w:rPr>
        <w:t xml:space="preserve">. </w:t>
      </w:r>
      <w:r>
        <w:rPr>
          <w:rFonts w:ascii="Times New Roman" w:hAnsi="Times New Roman"/>
          <w:sz w:val="24"/>
          <w:szCs w:val="24"/>
        </w:rPr>
        <w:t>16 to 21</w:t>
      </w:r>
      <w:r w:rsidRPr="002C6D26">
        <w:rPr>
          <w:rFonts w:ascii="Times New Roman" w:hAnsi="Times New Roman"/>
          <w:sz w:val="24"/>
          <w:szCs w:val="24"/>
        </w:rPr>
        <w:t xml:space="preserve"> of 20</w:t>
      </w:r>
      <w:r>
        <w:rPr>
          <w:rFonts w:ascii="Times New Roman" w:hAnsi="Times New Roman"/>
          <w:sz w:val="24"/>
          <w:szCs w:val="24"/>
        </w:rPr>
        <w:t>16</w:t>
      </w:r>
    </w:p>
    <w:p w14:paraId="2C2C226D" w14:textId="77777777" w:rsidR="00BC7902" w:rsidRPr="008178C2" w:rsidRDefault="00BC7902" w:rsidP="00BC7902">
      <w:pPr>
        <w:spacing w:after="240"/>
        <w:jc w:val="both"/>
        <w:rPr>
          <w:rFonts w:ascii="Times New Roman" w:hAnsi="Times New Roman"/>
          <w:sz w:val="24"/>
          <w:szCs w:val="24"/>
        </w:rPr>
      </w:pPr>
      <w:r w:rsidRPr="008178C2">
        <w:rPr>
          <w:rFonts w:ascii="Times New Roman" w:hAnsi="Times New Roman"/>
          <w:sz w:val="24"/>
          <w:szCs w:val="24"/>
        </w:rPr>
        <w:t>Th</w:t>
      </w:r>
      <w:r w:rsidR="00686D2B">
        <w:rPr>
          <w:rFonts w:ascii="Times New Roman" w:hAnsi="Times New Roman"/>
          <w:sz w:val="24"/>
          <w:szCs w:val="24"/>
        </w:rPr>
        <w:t>ese</w:t>
      </w:r>
      <w:r w:rsidRPr="008178C2">
        <w:rPr>
          <w:rFonts w:ascii="Times New Roman" w:hAnsi="Times New Roman"/>
          <w:sz w:val="24"/>
          <w:szCs w:val="24"/>
        </w:rPr>
        <w:t xml:space="preserve"> </w:t>
      </w:r>
      <w:r>
        <w:rPr>
          <w:rFonts w:ascii="Times New Roman" w:hAnsi="Times New Roman"/>
          <w:sz w:val="24"/>
          <w:szCs w:val="24"/>
        </w:rPr>
        <w:t>L</w:t>
      </w:r>
      <w:r w:rsidRPr="008178C2">
        <w:rPr>
          <w:rFonts w:ascii="Times New Roman" w:hAnsi="Times New Roman"/>
          <w:sz w:val="24"/>
          <w:szCs w:val="24"/>
        </w:rPr>
        <w:t xml:space="preserve">egislative </w:t>
      </w:r>
      <w:r>
        <w:rPr>
          <w:rFonts w:ascii="Times New Roman" w:hAnsi="Times New Roman"/>
          <w:sz w:val="24"/>
          <w:szCs w:val="24"/>
        </w:rPr>
        <w:t>I</w:t>
      </w:r>
      <w:r w:rsidRPr="008178C2">
        <w:rPr>
          <w:rFonts w:ascii="Times New Roman" w:hAnsi="Times New Roman"/>
          <w:sz w:val="24"/>
          <w:szCs w:val="24"/>
        </w:rPr>
        <w:t>nstrument</w:t>
      </w:r>
      <w:r w:rsidR="00686D2B">
        <w:rPr>
          <w:rFonts w:ascii="Times New Roman" w:hAnsi="Times New Roman"/>
          <w:sz w:val="24"/>
          <w:szCs w:val="24"/>
        </w:rPr>
        <w:t>s</w:t>
      </w:r>
      <w:r w:rsidRPr="008178C2">
        <w:rPr>
          <w:rFonts w:ascii="Times New Roman" w:hAnsi="Times New Roman"/>
          <w:sz w:val="24"/>
          <w:szCs w:val="24"/>
        </w:rPr>
        <w:t xml:space="preserve"> </w:t>
      </w:r>
      <w:r w:rsidR="00686D2B">
        <w:rPr>
          <w:rFonts w:ascii="Times New Roman" w:hAnsi="Times New Roman"/>
          <w:sz w:val="24"/>
          <w:szCs w:val="24"/>
        </w:rPr>
        <w:t>are</w:t>
      </w:r>
      <w:r>
        <w:rPr>
          <w:rFonts w:ascii="Times New Roman" w:hAnsi="Times New Roman"/>
          <w:sz w:val="24"/>
          <w:szCs w:val="24"/>
        </w:rPr>
        <w:t xml:space="preserve"> </w:t>
      </w:r>
      <w:r w:rsidRPr="008178C2">
        <w:rPr>
          <w:rFonts w:ascii="Times New Roman" w:hAnsi="Times New Roman"/>
          <w:sz w:val="24"/>
          <w:szCs w:val="24"/>
        </w:rPr>
        <w:t xml:space="preserve">compatible with the human rights and freedoms recognised or declared in the international instrument listed in section 3 of the </w:t>
      </w:r>
      <w:r w:rsidRPr="008178C2">
        <w:rPr>
          <w:rFonts w:ascii="Times New Roman" w:hAnsi="Times New Roman"/>
          <w:i/>
          <w:sz w:val="24"/>
          <w:szCs w:val="24"/>
        </w:rPr>
        <w:t>Human Rights (Parliamentary Scrutiny) Act 2011</w:t>
      </w:r>
      <w:r w:rsidRPr="008178C2">
        <w:rPr>
          <w:rFonts w:ascii="Times New Roman" w:hAnsi="Times New Roman"/>
          <w:sz w:val="24"/>
          <w:szCs w:val="24"/>
        </w:rPr>
        <w:t xml:space="preserve"> (HRPS Act)</w:t>
      </w:r>
      <w:r>
        <w:rPr>
          <w:rFonts w:ascii="Times New Roman" w:hAnsi="Times New Roman"/>
          <w:sz w:val="24"/>
          <w:szCs w:val="24"/>
        </w:rPr>
        <w:t>.</w:t>
      </w:r>
    </w:p>
    <w:p w14:paraId="34316EFD" w14:textId="77777777" w:rsidR="00BC7902" w:rsidRPr="008178C2" w:rsidRDefault="00BC7902" w:rsidP="00BC7902">
      <w:pPr>
        <w:spacing w:after="240"/>
        <w:jc w:val="both"/>
        <w:rPr>
          <w:rFonts w:ascii="Times New Roman" w:hAnsi="Times New Roman"/>
          <w:sz w:val="24"/>
          <w:szCs w:val="24"/>
        </w:rPr>
      </w:pPr>
      <w:r w:rsidRPr="008178C2">
        <w:rPr>
          <w:rFonts w:ascii="Times New Roman" w:hAnsi="Times New Roman"/>
          <w:b/>
          <w:sz w:val="24"/>
          <w:szCs w:val="24"/>
        </w:rPr>
        <w:t>Overview of the legislative instrument</w:t>
      </w:r>
    </w:p>
    <w:p w14:paraId="677BAD02" w14:textId="77777777" w:rsidR="00686D2B" w:rsidRPr="008514C3" w:rsidRDefault="00134D41" w:rsidP="008514C3">
      <w:pPr>
        <w:rPr>
          <w:rFonts w:ascii="Times New Roman" w:hAnsi="Times New Roman"/>
          <w:sz w:val="24"/>
          <w:szCs w:val="24"/>
        </w:rPr>
      </w:pPr>
      <w:r>
        <w:rPr>
          <w:rFonts w:ascii="Times New Roman" w:hAnsi="Times New Roman"/>
          <w:sz w:val="24"/>
          <w:szCs w:val="24"/>
        </w:rPr>
        <w:t>These</w:t>
      </w:r>
      <w:r w:rsidR="00BC7902">
        <w:rPr>
          <w:rFonts w:ascii="Times New Roman" w:hAnsi="Times New Roman"/>
          <w:sz w:val="24"/>
          <w:szCs w:val="24"/>
        </w:rPr>
        <w:t xml:space="preserve"> instrument</w:t>
      </w:r>
      <w:r>
        <w:rPr>
          <w:rFonts w:ascii="Times New Roman" w:hAnsi="Times New Roman"/>
          <w:sz w:val="24"/>
          <w:szCs w:val="24"/>
        </w:rPr>
        <w:t>s</w:t>
      </w:r>
      <w:r w:rsidR="00BC7902">
        <w:rPr>
          <w:rFonts w:ascii="Times New Roman" w:hAnsi="Times New Roman"/>
          <w:sz w:val="24"/>
          <w:szCs w:val="24"/>
        </w:rPr>
        <w:t xml:space="preserve"> </w:t>
      </w:r>
      <w:r w:rsidR="00C62194">
        <w:rPr>
          <w:rFonts w:ascii="Times New Roman" w:hAnsi="Times New Roman"/>
          <w:sz w:val="24"/>
          <w:szCs w:val="24"/>
        </w:rPr>
        <w:t>determine reporting standards</w:t>
      </w:r>
      <w:r w:rsidR="004F1887">
        <w:rPr>
          <w:rFonts w:ascii="Times New Roman" w:hAnsi="Times New Roman"/>
          <w:sz w:val="24"/>
          <w:szCs w:val="24"/>
        </w:rPr>
        <w:t xml:space="preserve"> which will apply to </w:t>
      </w:r>
      <w:r w:rsidR="00686D2B" w:rsidRPr="00A532D9">
        <w:rPr>
          <w:rFonts w:ascii="Times New Roman" w:hAnsi="Times New Roman"/>
          <w:sz w:val="24"/>
          <w:szCs w:val="24"/>
        </w:rPr>
        <w:t xml:space="preserve">general insurers (within the meaning of the </w:t>
      </w:r>
      <w:r w:rsidR="00686D2B" w:rsidRPr="00A532D9">
        <w:rPr>
          <w:rFonts w:ascii="Times New Roman" w:hAnsi="Times New Roman"/>
          <w:i/>
          <w:sz w:val="24"/>
          <w:szCs w:val="24"/>
        </w:rPr>
        <w:t>Insurance Act 1973</w:t>
      </w:r>
      <w:r w:rsidR="00686D2B" w:rsidRPr="00A532D9">
        <w:rPr>
          <w:rFonts w:ascii="Times New Roman" w:hAnsi="Times New Roman"/>
          <w:sz w:val="24"/>
          <w:szCs w:val="24"/>
        </w:rPr>
        <w:t xml:space="preserve">) and require them to provide information in relation to public liability and professional indemnity insurance for the purposes of APRA’s National </w:t>
      </w:r>
      <w:r w:rsidR="00686D2B">
        <w:rPr>
          <w:rFonts w:ascii="Times New Roman" w:hAnsi="Times New Roman"/>
          <w:sz w:val="24"/>
          <w:szCs w:val="24"/>
        </w:rPr>
        <w:t>Claims &amp; Policies Database (NCPD</w:t>
      </w:r>
      <w:r w:rsidR="00686D2B" w:rsidRPr="00A532D9">
        <w:rPr>
          <w:rFonts w:ascii="Times New Roman" w:hAnsi="Times New Roman"/>
          <w:sz w:val="24"/>
          <w:szCs w:val="24"/>
        </w:rPr>
        <w:t>).  Determinations Nos</w:t>
      </w:r>
      <w:r w:rsidR="00686D2B">
        <w:rPr>
          <w:rFonts w:ascii="Times New Roman" w:hAnsi="Times New Roman"/>
          <w:sz w:val="24"/>
          <w:szCs w:val="24"/>
        </w:rPr>
        <w:t>. 19 to 21 of 2016</w:t>
      </w:r>
      <w:r w:rsidR="00686D2B" w:rsidRPr="00A532D9">
        <w:rPr>
          <w:rFonts w:ascii="Times New Roman" w:hAnsi="Times New Roman"/>
          <w:sz w:val="24"/>
          <w:szCs w:val="24"/>
        </w:rPr>
        <w:t xml:space="preserve"> apply to Lloyd’s and require it to provide similar information for the NCPD.  </w:t>
      </w:r>
    </w:p>
    <w:p w14:paraId="0EA92269" w14:textId="77777777" w:rsidR="00BC7902" w:rsidRDefault="00BC7902" w:rsidP="00BC7902">
      <w:pPr>
        <w:rPr>
          <w:rFonts w:ascii="Times New Roman" w:hAnsi="Times New Roman"/>
          <w:sz w:val="24"/>
          <w:szCs w:val="24"/>
        </w:rPr>
      </w:pPr>
    </w:p>
    <w:p w14:paraId="0999D337" w14:textId="77777777" w:rsidR="00BC7902" w:rsidRPr="008178C2" w:rsidRDefault="00BC7902" w:rsidP="00BC7902">
      <w:pPr>
        <w:spacing w:after="240"/>
        <w:jc w:val="both"/>
        <w:rPr>
          <w:rFonts w:ascii="Times New Roman" w:hAnsi="Times New Roman"/>
          <w:sz w:val="24"/>
          <w:szCs w:val="24"/>
        </w:rPr>
      </w:pPr>
      <w:r w:rsidRPr="008178C2">
        <w:rPr>
          <w:rFonts w:ascii="Times New Roman" w:hAnsi="Times New Roman"/>
          <w:b/>
          <w:sz w:val="24"/>
          <w:szCs w:val="24"/>
        </w:rPr>
        <w:t>Human rights implications</w:t>
      </w:r>
    </w:p>
    <w:p w14:paraId="6D4899E1" w14:textId="77777777" w:rsidR="00BC7902" w:rsidRDefault="00BC7902" w:rsidP="00BC7902">
      <w:pPr>
        <w:spacing w:after="240"/>
        <w:jc w:val="both"/>
        <w:rPr>
          <w:rFonts w:ascii="Times New Roman" w:hAnsi="Times New Roman"/>
          <w:sz w:val="24"/>
          <w:szCs w:val="24"/>
        </w:rPr>
      </w:pPr>
      <w:r w:rsidRPr="008178C2">
        <w:rPr>
          <w:rFonts w:ascii="Times New Roman" w:hAnsi="Times New Roman"/>
          <w:sz w:val="24"/>
          <w:szCs w:val="24"/>
        </w:rPr>
        <w:t xml:space="preserve">APRA has assessed the instrument </w:t>
      </w:r>
      <w:r>
        <w:rPr>
          <w:rFonts w:ascii="Times New Roman" w:hAnsi="Times New Roman"/>
          <w:sz w:val="24"/>
          <w:szCs w:val="24"/>
        </w:rPr>
        <w:t xml:space="preserve">and is of the view that it does not engage any of the applicable rights or freedoms recognised or declared in the international instruments listed in section 3 of the HRPS Act. Accordingly, in APRA’s assessment, the instrument is compatible with human rights. </w:t>
      </w:r>
    </w:p>
    <w:p w14:paraId="15442FB9" w14:textId="77777777" w:rsidR="00686D2B" w:rsidRPr="00686D2B" w:rsidRDefault="00686D2B" w:rsidP="00686D2B">
      <w:pPr>
        <w:spacing w:after="240"/>
        <w:jc w:val="both"/>
        <w:rPr>
          <w:rFonts w:ascii="Times New Roman" w:hAnsi="Times New Roman"/>
          <w:sz w:val="24"/>
          <w:szCs w:val="24"/>
        </w:rPr>
      </w:pPr>
      <w:r w:rsidRPr="00686D2B">
        <w:rPr>
          <w:rFonts w:ascii="Times New Roman" w:hAnsi="Times New Roman"/>
          <w:sz w:val="24"/>
          <w:szCs w:val="24"/>
        </w:rPr>
        <w:t>Article 17 of the ICCPR prohibits the arbitrary or unlawful interference with a person’s</w:t>
      </w:r>
      <w:r>
        <w:rPr>
          <w:rFonts w:ascii="Times New Roman" w:hAnsi="Times New Roman"/>
          <w:sz w:val="24"/>
          <w:szCs w:val="24"/>
        </w:rPr>
        <w:t xml:space="preserve"> </w:t>
      </w:r>
      <w:r w:rsidRPr="00686D2B">
        <w:rPr>
          <w:rFonts w:ascii="Times New Roman" w:hAnsi="Times New Roman"/>
          <w:sz w:val="24"/>
          <w:szCs w:val="24"/>
        </w:rPr>
        <w:t>privacy, family, home and correspondence, and attacks on reputation. Article 17 is</w:t>
      </w:r>
      <w:r>
        <w:rPr>
          <w:rFonts w:ascii="Times New Roman" w:hAnsi="Times New Roman"/>
          <w:sz w:val="24"/>
          <w:szCs w:val="24"/>
        </w:rPr>
        <w:t xml:space="preserve"> </w:t>
      </w:r>
      <w:r w:rsidRPr="00686D2B">
        <w:rPr>
          <w:rFonts w:ascii="Times New Roman" w:hAnsi="Times New Roman"/>
          <w:sz w:val="24"/>
          <w:szCs w:val="24"/>
        </w:rPr>
        <w:t>exclusively concerned with prohibiting interference with the privacy and/or reputation of</w:t>
      </w:r>
      <w:r>
        <w:rPr>
          <w:rFonts w:ascii="Times New Roman" w:hAnsi="Times New Roman"/>
          <w:sz w:val="24"/>
          <w:szCs w:val="24"/>
        </w:rPr>
        <w:t xml:space="preserve"> </w:t>
      </w:r>
      <w:r w:rsidRPr="00686D2B">
        <w:rPr>
          <w:rFonts w:ascii="Times New Roman" w:hAnsi="Times New Roman"/>
          <w:sz w:val="24"/>
          <w:szCs w:val="24"/>
        </w:rPr>
        <w:t>individual persons. It does not extend to the privacy and/or reputation of corporate entities.</w:t>
      </w:r>
    </w:p>
    <w:p w14:paraId="73E77DBB" w14:textId="77777777" w:rsidR="00686D2B" w:rsidRPr="00686D2B" w:rsidRDefault="00686D2B" w:rsidP="00686D2B">
      <w:pPr>
        <w:spacing w:after="240"/>
        <w:jc w:val="both"/>
        <w:rPr>
          <w:rFonts w:ascii="Times New Roman" w:hAnsi="Times New Roman"/>
          <w:sz w:val="24"/>
          <w:szCs w:val="24"/>
        </w:rPr>
      </w:pPr>
      <w:r w:rsidRPr="00686D2B">
        <w:rPr>
          <w:rFonts w:ascii="Times New Roman" w:hAnsi="Times New Roman"/>
          <w:sz w:val="24"/>
          <w:szCs w:val="24"/>
        </w:rPr>
        <w:t>Determination</w:t>
      </w:r>
      <w:r>
        <w:rPr>
          <w:rFonts w:ascii="Times New Roman" w:hAnsi="Times New Roman"/>
          <w:sz w:val="24"/>
          <w:szCs w:val="24"/>
        </w:rPr>
        <w:t xml:space="preserve">s No. 16 </w:t>
      </w:r>
      <w:r w:rsidR="00EC70DE">
        <w:rPr>
          <w:rFonts w:ascii="Times New Roman" w:hAnsi="Times New Roman"/>
          <w:sz w:val="24"/>
          <w:szCs w:val="24"/>
        </w:rPr>
        <w:t xml:space="preserve">and </w:t>
      </w:r>
      <w:r w:rsidR="00EC6AF7">
        <w:rPr>
          <w:rFonts w:ascii="Times New Roman" w:hAnsi="Times New Roman"/>
          <w:sz w:val="24"/>
          <w:szCs w:val="24"/>
        </w:rPr>
        <w:t>21</w:t>
      </w:r>
      <w:r w:rsidR="00881EEB">
        <w:rPr>
          <w:rFonts w:ascii="Times New Roman" w:hAnsi="Times New Roman"/>
          <w:sz w:val="24"/>
          <w:szCs w:val="24"/>
        </w:rPr>
        <w:t xml:space="preserve"> of 2016 require general insurers and Lloyd’s to report claim</w:t>
      </w:r>
      <w:r w:rsidR="00523717">
        <w:rPr>
          <w:rFonts w:ascii="Times New Roman" w:hAnsi="Times New Roman"/>
          <w:sz w:val="24"/>
          <w:szCs w:val="24"/>
        </w:rPr>
        <w:t>,</w:t>
      </w:r>
      <w:r w:rsidR="00881EEB">
        <w:rPr>
          <w:rFonts w:ascii="Times New Roman" w:hAnsi="Times New Roman"/>
          <w:sz w:val="24"/>
          <w:szCs w:val="24"/>
        </w:rPr>
        <w:t xml:space="preserve"> </w:t>
      </w:r>
      <w:r w:rsidR="00EB76A7">
        <w:rPr>
          <w:rFonts w:ascii="Times New Roman" w:hAnsi="Times New Roman"/>
          <w:sz w:val="24"/>
          <w:szCs w:val="24"/>
        </w:rPr>
        <w:t>policy</w:t>
      </w:r>
      <w:r w:rsidR="00523717">
        <w:rPr>
          <w:rFonts w:ascii="Times New Roman" w:hAnsi="Times New Roman"/>
          <w:sz w:val="24"/>
          <w:szCs w:val="24"/>
        </w:rPr>
        <w:t xml:space="preserve"> and business facility</w:t>
      </w:r>
      <w:r w:rsidR="00EB76A7">
        <w:rPr>
          <w:rFonts w:ascii="Times New Roman" w:hAnsi="Times New Roman"/>
          <w:sz w:val="24"/>
          <w:szCs w:val="24"/>
        </w:rPr>
        <w:t xml:space="preserve"> </w:t>
      </w:r>
      <w:r w:rsidR="00523717">
        <w:rPr>
          <w:rFonts w:ascii="Times New Roman" w:hAnsi="Times New Roman"/>
          <w:sz w:val="24"/>
          <w:szCs w:val="24"/>
        </w:rPr>
        <w:t xml:space="preserve">data </w:t>
      </w:r>
      <w:r w:rsidR="00EB76A7">
        <w:rPr>
          <w:rFonts w:ascii="Times New Roman" w:hAnsi="Times New Roman"/>
          <w:sz w:val="24"/>
          <w:szCs w:val="24"/>
        </w:rPr>
        <w:t>on public and products liability insurance including all policies that provide covert for legal liability to the public in respect of bodily injury or property damage, policies that provide for compensation for loss and or injury caused by</w:t>
      </w:r>
      <w:r w:rsidR="00C96606">
        <w:rPr>
          <w:rFonts w:ascii="Times New Roman" w:hAnsi="Times New Roman"/>
          <w:sz w:val="24"/>
          <w:szCs w:val="24"/>
        </w:rPr>
        <w:t xml:space="preserve">, or as a result of, the use of goods, and environmental clean-up by pollution spills. </w:t>
      </w:r>
      <w:r w:rsidR="00EC6AF7">
        <w:rPr>
          <w:rFonts w:ascii="Times New Roman" w:hAnsi="Times New Roman"/>
          <w:sz w:val="24"/>
          <w:szCs w:val="24"/>
        </w:rPr>
        <w:t xml:space="preserve">These determinations </w:t>
      </w:r>
      <w:r w:rsidR="00523717">
        <w:rPr>
          <w:rFonts w:ascii="Times New Roman" w:hAnsi="Times New Roman"/>
          <w:sz w:val="24"/>
          <w:szCs w:val="24"/>
        </w:rPr>
        <w:t>also require claim, policy and business facility data on professional indemnity insurance</w:t>
      </w:r>
      <w:r w:rsidR="001F4690">
        <w:rPr>
          <w:rFonts w:ascii="Times New Roman" w:hAnsi="Times New Roman"/>
          <w:sz w:val="24"/>
          <w:szCs w:val="24"/>
        </w:rPr>
        <w:t xml:space="preserve">, including all policies that provide cover for professionals relating to actions against that person in tort and/or statute law (in respect of advice and services provided as part of their professional practice), Directors’ and Officers’ liability insurance and legal expense insurance and medical indemnity insurance. This provision of data </w:t>
      </w:r>
      <w:r w:rsidRPr="00686D2B">
        <w:rPr>
          <w:rFonts w:ascii="Times New Roman" w:hAnsi="Times New Roman"/>
          <w:sz w:val="24"/>
          <w:szCs w:val="24"/>
        </w:rPr>
        <w:t>does not involve the disclosure of</w:t>
      </w:r>
      <w:r>
        <w:rPr>
          <w:rFonts w:ascii="Times New Roman" w:hAnsi="Times New Roman"/>
          <w:sz w:val="24"/>
          <w:szCs w:val="24"/>
        </w:rPr>
        <w:t xml:space="preserve"> </w:t>
      </w:r>
      <w:r w:rsidRPr="00686D2B">
        <w:rPr>
          <w:rFonts w:ascii="Times New Roman" w:hAnsi="Times New Roman"/>
          <w:sz w:val="24"/>
          <w:szCs w:val="24"/>
        </w:rPr>
        <w:t>information directly relating to individual persons. Further, APRA reviews all releases of data</w:t>
      </w:r>
      <w:r>
        <w:rPr>
          <w:rFonts w:ascii="Times New Roman" w:hAnsi="Times New Roman"/>
          <w:sz w:val="24"/>
          <w:szCs w:val="24"/>
        </w:rPr>
        <w:t xml:space="preserve"> </w:t>
      </w:r>
      <w:r w:rsidRPr="00686D2B">
        <w:rPr>
          <w:rFonts w:ascii="Times New Roman" w:hAnsi="Times New Roman"/>
          <w:sz w:val="24"/>
          <w:szCs w:val="24"/>
        </w:rPr>
        <w:t>received under reporting standards to ensure that no information pertaining to an individual</w:t>
      </w:r>
      <w:r>
        <w:rPr>
          <w:rFonts w:ascii="Times New Roman" w:hAnsi="Times New Roman"/>
          <w:sz w:val="24"/>
          <w:szCs w:val="24"/>
        </w:rPr>
        <w:t xml:space="preserve"> </w:t>
      </w:r>
      <w:r w:rsidRPr="00686D2B">
        <w:rPr>
          <w:rFonts w:ascii="Times New Roman" w:hAnsi="Times New Roman"/>
          <w:sz w:val="24"/>
          <w:szCs w:val="24"/>
        </w:rPr>
        <w:t>person can be deduced from the data.</w:t>
      </w:r>
    </w:p>
    <w:p w14:paraId="12CF719D" w14:textId="77777777" w:rsidR="00686D2B" w:rsidRPr="008178C2" w:rsidRDefault="00686D2B" w:rsidP="00686D2B">
      <w:pPr>
        <w:spacing w:after="240"/>
        <w:jc w:val="both"/>
        <w:rPr>
          <w:rFonts w:ascii="Times New Roman" w:hAnsi="Times New Roman"/>
          <w:sz w:val="24"/>
          <w:szCs w:val="24"/>
        </w:rPr>
      </w:pPr>
      <w:r w:rsidRPr="00686D2B">
        <w:rPr>
          <w:rFonts w:ascii="Times New Roman" w:hAnsi="Times New Roman"/>
          <w:sz w:val="24"/>
          <w:szCs w:val="24"/>
        </w:rPr>
        <w:lastRenderedPageBreak/>
        <w:t>Consequently, Determination</w:t>
      </w:r>
      <w:r w:rsidR="00BE0872">
        <w:rPr>
          <w:rFonts w:ascii="Times New Roman" w:hAnsi="Times New Roman"/>
          <w:sz w:val="24"/>
          <w:szCs w:val="24"/>
        </w:rPr>
        <w:t>s No. 16 to 21 of 2016 do</w:t>
      </w:r>
      <w:r w:rsidRPr="00686D2B">
        <w:rPr>
          <w:rFonts w:ascii="Times New Roman" w:hAnsi="Times New Roman"/>
          <w:sz w:val="24"/>
          <w:szCs w:val="24"/>
        </w:rPr>
        <w:t xml:space="preserve"> not engage any of the applicable rights or freedoms</w:t>
      </w:r>
      <w:r>
        <w:rPr>
          <w:rFonts w:ascii="Times New Roman" w:hAnsi="Times New Roman"/>
          <w:sz w:val="24"/>
          <w:szCs w:val="24"/>
        </w:rPr>
        <w:t xml:space="preserve"> </w:t>
      </w:r>
      <w:r w:rsidRPr="00686D2B">
        <w:rPr>
          <w:rFonts w:ascii="Times New Roman" w:hAnsi="Times New Roman"/>
          <w:sz w:val="24"/>
          <w:szCs w:val="24"/>
        </w:rPr>
        <w:t>recognised or declared in the international instruments listed in section 3 of the HRPS Act.</w:t>
      </w:r>
      <w:r>
        <w:rPr>
          <w:rFonts w:ascii="Times New Roman" w:hAnsi="Times New Roman"/>
          <w:sz w:val="24"/>
          <w:szCs w:val="24"/>
        </w:rPr>
        <w:t xml:space="preserve"> </w:t>
      </w:r>
      <w:r w:rsidRPr="00686D2B">
        <w:rPr>
          <w:rFonts w:ascii="Times New Roman" w:hAnsi="Times New Roman"/>
          <w:sz w:val="24"/>
          <w:szCs w:val="24"/>
        </w:rPr>
        <w:t>Accordingly, in APRA’s assessment, this legislative instrument is compatible with human</w:t>
      </w:r>
      <w:r>
        <w:rPr>
          <w:rFonts w:ascii="Times New Roman" w:hAnsi="Times New Roman"/>
          <w:sz w:val="24"/>
          <w:szCs w:val="24"/>
        </w:rPr>
        <w:t xml:space="preserve"> </w:t>
      </w:r>
      <w:r w:rsidRPr="00686D2B">
        <w:rPr>
          <w:rFonts w:ascii="Times New Roman" w:hAnsi="Times New Roman"/>
          <w:sz w:val="24"/>
          <w:szCs w:val="24"/>
        </w:rPr>
        <w:t>rights.</w:t>
      </w:r>
    </w:p>
    <w:p w14:paraId="3B463F1F" w14:textId="77777777" w:rsidR="00BC7902" w:rsidRPr="008178C2" w:rsidRDefault="00BC7902" w:rsidP="00BC7902">
      <w:pPr>
        <w:spacing w:after="240"/>
        <w:jc w:val="both"/>
        <w:rPr>
          <w:rFonts w:ascii="Times New Roman" w:hAnsi="Times New Roman"/>
          <w:b/>
          <w:sz w:val="24"/>
          <w:szCs w:val="24"/>
        </w:rPr>
      </w:pPr>
      <w:r w:rsidRPr="008178C2">
        <w:rPr>
          <w:rFonts w:ascii="Times New Roman" w:hAnsi="Times New Roman"/>
          <w:b/>
          <w:sz w:val="24"/>
          <w:szCs w:val="24"/>
        </w:rPr>
        <w:t>Conclusion</w:t>
      </w:r>
    </w:p>
    <w:p w14:paraId="10F04CC0" w14:textId="77777777" w:rsidR="00BC7902" w:rsidRPr="008178C2" w:rsidRDefault="00BC7902" w:rsidP="00BC7902">
      <w:pPr>
        <w:spacing w:after="240"/>
        <w:jc w:val="both"/>
        <w:rPr>
          <w:rFonts w:ascii="Times New Roman" w:hAnsi="Times New Roman"/>
          <w:sz w:val="24"/>
          <w:szCs w:val="24"/>
        </w:rPr>
      </w:pPr>
      <w:r>
        <w:rPr>
          <w:rFonts w:ascii="Times New Roman" w:hAnsi="Times New Roman"/>
          <w:sz w:val="24"/>
          <w:szCs w:val="24"/>
        </w:rPr>
        <w:t xml:space="preserve">This Legislative Instrument is compatible with human rights as it does not raise any human rights issues. </w:t>
      </w:r>
    </w:p>
    <w:p w14:paraId="6DBD15F9" w14:textId="77777777" w:rsidR="00BC7902" w:rsidRDefault="00BC7902" w:rsidP="00BC7902"/>
    <w:p w14:paraId="0A00E274" w14:textId="77777777" w:rsidR="00BC7902" w:rsidRPr="001317F6" w:rsidRDefault="00BC7902" w:rsidP="001317F6">
      <w:pPr>
        <w:pStyle w:val="Heading"/>
        <w:spacing w:after="240"/>
        <w:rPr>
          <w:rFonts w:ascii="Times New Roman" w:hAnsi="Times New Roman"/>
          <w:b w:val="0"/>
          <w:sz w:val="24"/>
          <w:szCs w:val="24"/>
        </w:rPr>
      </w:pPr>
    </w:p>
    <w:sectPr w:rsidR="00BC7902" w:rsidRPr="001317F6" w:rsidSect="003D5032">
      <w:headerReference w:type="default" r:id="rId8"/>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A3FE9" w14:textId="77777777" w:rsidR="00A24CA0" w:rsidRDefault="00A24CA0" w:rsidP="001317F6">
      <w:r>
        <w:separator/>
      </w:r>
    </w:p>
  </w:endnote>
  <w:endnote w:type="continuationSeparator" w:id="0">
    <w:p w14:paraId="484954F8" w14:textId="77777777" w:rsidR="00A24CA0" w:rsidRDefault="00A24CA0" w:rsidP="001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szCs w:val="22"/>
      </w:rPr>
    </w:sdtEndPr>
    <w:sdtContent>
      <w:p w14:paraId="66A02B86" w14:textId="77777777" w:rsidR="00B00265" w:rsidRPr="001317F6" w:rsidRDefault="00B00265" w:rsidP="001317F6">
        <w:pPr>
          <w:pStyle w:val="Footer"/>
          <w:jc w:val="center"/>
          <w:rPr>
            <w:szCs w:val="22"/>
          </w:rPr>
        </w:pPr>
        <w:r w:rsidRPr="00707EB4">
          <w:rPr>
            <w:rFonts w:ascii="Times New Roman" w:hAnsi="Times New Roman"/>
            <w:bCs/>
            <w:sz w:val="24"/>
            <w:szCs w:val="24"/>
          </w:rPr>
          <w:fldChar w:fldCharType="begin"/>
        </w:r>
        <w:r w:rsidRPr="00707EB4">
          <w:rPr>
            <w:rFonts w:ascii="Times New Roman" w:hAnsi="Times New Roman"/>
            <w:bCs/>
            <w:sz w:val="24"/>
            <w:szCs w:val="24"/>
          </w:rPr>
          <w:instrText xml:space="preserve"> PAGE </w:instrText>
        </w:r>
        <w:r w:rsidRPr="00707EB4">
          <w:rPr>
            <w:rFonts w:ascii="Times New Roman" w:hAnsi="Times New Roman"/>
            <w:bCs/>
            <w:sz w:val="24"/>
            <w:szCs w:val="24"/>
          </w:rPr>
          <w:fldChar w:fldCharType="separate"/>
        </w:r>
        <w:r w:rsidR="00CA614D">
          <w:rPr>
            <w:rFonts w:ascii="Times New Roman" w:hAnsi="Times New Roman"/>
            <w:bCs/>
            <w:noProof/>
            <w:sz w:val="24"/>
            <w:szCs w:val="24"/>
          </w:rPr>
          <w:t>2</w:t>
        </w:r>
        <w:r w:rsidRPr="00707EB4">
          <w:rPr>
            <w:rFonts w:ascii="Times New Roman" w:hAnsi="Times New Roman"/>
            <w:bCs/>
            <w:sz w:val="24"/>
            <w:szCs w:val="24"/>
          </w:rPr>
          <w:fldChar w:fldCharType="end"/>
        </w:r>
      </w:p>
    </w:sdtContent>
  </w:sdt>
  <w:p w14:paraId="29B2B2E9" w14:textId="77777777" w:rsidR="00B00265" w:rsidRDefault="00B0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9266" w14:textId="77777777" w:rsidR="00A24CA0" w:rsidRDefault="00A24CA0" w:rsidP="001317F6">
      <w:r>
        <w:separator/>
      </w:r>
    </w:p>
  </w:footnote>
  <w:footnote w:type="continuationSeparator" w:id="0">
    <w:p w14:paraId="2DA01EC0" w14:textId="77777777" w:rsidR="00A24CA0" w:rsidRDefault="00A24CA0" w:rsidP="001317F6">
      <w:r>
        <w:continuationSeparator/>
      </w:r>
    </w:p>
  </w:footnote>
  <w:footnote w:id="1">
    <w:p w14:paraId="2C510F99" w14:textId="77777777" w:rsidR="00B00265" w:rsidRDefault="00B00265" w:rsidP="0073326B">
      <w:pPr>
        <w:pStyle w:val="FootnoteText"/>
      </w:pPr>
      <w:r>
        <w:rPr>
          <w:rStyle w:val="FootnoteReference"/>
        </w:rPr>
        <w:footnoteRef/>
      </w:r>
      <w:r>
        <w:t xml:space="preserve"> </w:t>
      </w:r>
      <w:hyperlink r:id="rId1" w:history="1">
        <w:r w:rsidR="00CD6A14" w:rsidRPr="004F3F73">
          <w:rPr>
            <w:rStyle w:val="Hyperlink"/>
            <w:sz w:val="18"/>
          </w:rPr>
          <w:t>https://www.legislation.gov.au/Details/F2013L01535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7795" w14:textId="77777777" w:rsidR="00B00265" w:rsidRDefault="00B00265">
    <w:pPr>
      <w:pStyle w:val="Header"/>
    </w:pPr>
    <w:r>
      <w:rPr>
        <w:noProof/>
      </w:rPr>
      <mc:AlternateContent>
        <mc:Choice Requires="wps">
          <w:drawing>
            <wp:anchor distT="0" distB="0" distL="114300" distR="114300" simplePos="0" relativeHeight="251659264" behindDoc="0" locked="1" layoutInCell="1" allowOverlap="1" wp14:anchorId="73993C60" wp14:editId="58AE2868">
              <wp:simplePos x="0" y="0"/>
              <wp:positionH relativeFrom="margin">
                <wp:align>center</wp:align>
              </wp:positionH>
              <wp:positionV relativeFrom="page">
                <wp:posOffset>457200</wp:posOffset>
              </wp:positionV>
              <wp:extent cx="1696720" cy="27305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169672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DCB8BA" w14:textId="77777777" w:rsidR="00B00265" w:rsidRPr="00CA614D" w:rsidRDefault="00B00265" w:rsidP="00CA614D">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993C60" id="_x0000_t202" coordsize="21600,21600" o:spt="202" path="m,l,21600r21600,l21600,xe">
              <v:stroke joinstyle="miter"/>
              <v:path gradientshapeok="t" o:connecttype="rect"/>
            </v:shapetype>
            <v:shape id="janusSEAL SC Header" o:spid="_x0000_s1026" type="#_x0000_t202" style="position:absolute;margin-left:0;margin-top:36pt;width:133.6pt;height:21.5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" filled="f" stroked="f" strokeweight=".5pt">
              <v:textbox style="mso-fit-shape-to-text:t">
                <w:txbxContent>
                  <w:p w14:paraId="1ADCB8BA" w14:textId="77777777" w:rsidR="00B00265" w:rsidRPr="00CA614D" w:rsidRDefault="00B00265" w:rsidP="00CA614D">
                    <w:pPr>
                      <w:jc w:val="center"/>
                      <w:rPr>
                        <w:rFonts w:ascii="Arial" w:hAnsi="Arial" w:cs="Arial"/>
                        <w:b/>
                        <w:color w:val="FF0000"/>
                        <w:sz w:val="24"/>
                      </w:rPr>
                    </w:pPr>
                  </w:p>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CC56F7B"/>
    <w:multiLevelType w:val="hybridMultilevel"/>
    <w:tmpl w:val="047C4298"/>
    <w:lvl w:ilvl="0" w:tplc="70DE7662">
      <w:start w:val="17"/>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87BC0"/>
    <w:multiLevelType w:val="hybridMultilevel"/>
    <w:tmpl w:val="4FB436F8"/>
    <w:lvl w:ilvl="0" w:tplc="6F8CE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4474C62"/>
    <w:multiLevelType w:val="hybridMultilevel"/>
    <w:tmpl w:val="27462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21F640B"/>
    <w:multiLevelType w:val="hybridMultilevel"/>
    <w:tmpl w:val="4FD4E948"/>
    <w:lvl w:ilvl="0" w:tplc="1DEEA526">
      <w:numFmt w:val="bullet"/>
      <w:lvlText w:val=""/>
      <w:lvlJc w:val="left"/>
      <w:pPr>
        <w:tabs>
          <w:tab w:val="num" w:pos="567"/>
        </w:tabs>
        <w:ind w:left="567" w:hanging="567"/>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D2"/>
    <w:rsid w:val="0001051A"/>
    <w:rsid w:val="00014EC8"/>
    <w:rsid w:val="00034E22"/>
    <w:rsid w:val="000401FC"/>
    <w:rsid w:val="0004688C"/>
    <w:rsid w:val="00064C1A"/>
    <w:rsid w:val="000936D9"/>
    <w:rsid w:val="000A1C36"/>
    <w:rsid w:val="000B0E74"/>
    <w:rsid w:val="000B0FC0"/>
    <w:rsid w:val="000B14BD"/>
    <w:rsid w:val="000B4153"/>
    <w:rsid w:val="000C1A7C"/>
    <w:rsid w:val="000D1C66"/>
    <w:rsid w:val="000E369C"/>
    <w:rsid w:val="00103675"/>
    <w:rsid w:val="00112B4C"/>
    <w:rsid w:val="00113C3C"/>
    <w:rsid w:val="00116BA8"/>
    <w:rsid w:val="00123E8A"/>
    <w:rsid w:val="001317F6"/>
    <w:rsid w:val="00134D41"/>
    <w:rsid w:val="00144660"/>
    <w:rsid w:val="00146DCA"/>
    <w:rsid w:val="001474CF"/>
    <w:rsid w:val="001669D3"/>
    <w:rsid w:val="00170623"/>
    <w:rsid w:val="00172395"/>
    <w:rsid w:val="00182AAE"/>
    <w:rsid w:val="00182FA1"/>
    <w:rsid w:val="00184ED2"/>
    <w:rsid w:val="001A2ADB"/>
    <w:rsid w:val="001A68BB"/>
    <w:rsid w:val="001B18F6"/>
    <w:rsid w:val="001B4F04"/>
    <w:rsid w:val="001B5416"/>
    <w:rsid w:val="001C030F"/>
    <w:rsid w:val="001D5D81"/>
    <w:rsid w:val="001D7F7D"/>
    <w:rsid w:val="001E0940"/>
    <w:rsid w:val="001F4690"/>
    <w:rsid w:val="00201839"/>
    <w:rsid w:val="0021247A"/>
    <w:rsid w:val="00225786"/>
    <w:rsid w:val="002269A4"/>
    <w:rsid w:val="00231AA4"/>
    <w:rsid w:val="00233AEE"/>
    <w:rsid w:val="002378BE"/>
    <w:rsid w:val="002436BD"/>
    <w:rsid w:val="00246723"/>
    <w:rsid w:val="00250FE8"/>
    <w:rsid w:val="0025651C"/>
    <w:rsid w:val="00267F73"/>
    <w:rsid w:val="0029612A"/>
    <w:rsid w:val="002975DB"/>
    <w:rsid w:val="002A73BD"/>
    <w:rsid w:val="002D4D4C"/>
    <w:rsid w:val="002E5481"/>
    <w:rsid w:val="002F01C9"/>
    <w:rsid w:val="002F1FAE"/>
    <w:rsid w:val="002F4752"/>
    <w:rsid w:val="002F72EB"/>
    <w:rsid w:val="0030110A"/>
    <w:rsid w:val="0030506B"/>
    <w:rsid w:val="00310CF8"/>
    <w:rsid w:val="003155FB"/>
    <w:rsid w:val="00317D07"/>
    <w:rsid w:val="003211D2"/>
    <w:rsid w:val="00335698"/>
    <w:rsid w:val="00336644"/>
    <w:rsid w:val="00354CB8"/>
    <w:rsid w:val="00356256"/>
    <w:rsid w:val="00362E77"/>
    <w:rsid w:val="0036492D"/>
    <w:rsid w:val="003678FC"/>
    <w:rsid w:val="00370A5F"/>
    <w:rsid w:val="003866AD"/>
    <w:rsid w:val="003A355D"/>
    <w:rsid w:val="003A52A5"/>
    <w:rsid w:val="003B4E26"/>
    <w:rsid w:val="003C3E7B"/>
    <w:rsid w:val="003C60A4"/>
    <w:rsid w:val="003D5032"/>
    <w:rsid w:val="003E1C64"/>
    <w:rsid w:val="0040175E"/>
    <w:rsid w:val="00422164"/>
    <w:rsid w:val="0042510E"/>
    <w:rsid w:val="00426B58"/>
    <w:rsid w:val="0043700B"/>
    <w:rsid w:val="00443A02"/>
    <w:rsid w:val="004516BC"/>
    <w:rsid w:val="0045354F"/>
    <w:rsid w:val="004569A8"/>
    <w:rsid w:val="0048537F"/>
    <w:rsid w:val="00493AB8"/>
    <w:rsid w:val="00495A8A"/>
    <w:rsid w:val="004A11A7"/>
    <w:rsid w:val="004A3C24"/>
    <w:rsid w:val="004B6091"/>
    <w:rsid w:val="004C13ED"/>
    <w:rsid w:val="004C3D07"/>
    <w:rsid w:val="004D09AD"/>
    <w:rsid w:val="004D11CE"/>
    <w:rsid w:val="004E2008"/>
    <w:rsid w:val="004F0B3B"/>
    <w:rsid w:val="004F1887"/>
    <w:rsid w:val="00503458"/>
    <w:rsid w:val="0051575B"/>
    <w:rsid w:val="00523717"/>
    <w:rsid w:val="00532C26"/>
    <w:rsid w:val="005569C8"/>
    <w:rsid w:val="0056141D"/>
    <w:rsid w:val="00564BE1"/>
    <w:rsid w:val="005730BC"/>
    <w:rsid w:val="00586D42"/>
    <w:rsid w:val="005A4E27"/>
    <w:rsid w:val="005C0319"/>
    <w:rsid w:val="005C464A"/>
    <w:rsid w:val="005D1A81"/>
    <w:rsid w:val="005D4287"/>
    <w:rsid w:val="005D65E3"/>
    <w:rsid w:val="005E5910"/>
    <w:rsid w:val="005F2BDF"/>
    <w:rsid w:val="0060123F"/>
    <w:rsid w:val="00612FB9"/>
    <w:rsid w:val="00622480"/>
    <w:rsid w:val="00625114"/>
    <w:rsid w:val="006259DC"/>
    <w:rsid w:val="006354B8"/>
    <w:rsid w:val="00646417"/>
    <w:rsid w:val="00647D58"/>
    <w:rsid w:val="0065401C"/>
    <w:rsid w:val="0065701C"/>
    <w:rsid w:val="00657675"/>
    <w:rsid w:val="00657678"/>
    <w:rsid w:val="00670430"/>
    <w:rsid w:val="00672821"/>
    <w:rsid w:val="00682865"/>
    <w:rsid w:val="00684F73"/>
    <w:rsid w:val="00686D2B"/>
    <w:rsid w:val="00690AB7"/>
    <w:rsid w:val="00691475"/>
    <w:rsid w:val="006B093F"/>
    <w:rsid w:val="006B1F23"/>
    <w:rsid w:val="006C0D0E"/>
    <w:rsid w:val="006C35D4"/>
    <w:rsid w:val="006C7F8B"/>
    <w:rsid w:val="006D4AA0"/>
    <w:rsid w:val="006F78AC"/>
    <w:rsid w:val="00702128"/>
    <w:rsid w:val="007031F4"/>
    <w:rsid w:val="007049CF"/>
    <w:rsid w:val="00707E6E"/>
    <w:rsid w:val="00707EB4"/>
    <w:rsid w:val="00710143"/>
    <w:rsid w:val="00726F2F"/>
    <w:rsid w:val="007303F5"/>
    <w:rsid w:val="0073183D"/>
    <w:rsid w:val="0073326B"/>
    <w:rsid w:val="007368AD"/>
    <w:rsid w:val="00736D41"/>
    <w:rsid w:val="007428D4"/>
    <w:rsid w:val="00745E96"/>
    <w:rsid w:val="00747AFF"/>
    <w:rsid w:val="007504E3"/>
    <w:rsid w:val="00782F2A"/>
    <w:rsid w:val="00785CDC"/>
    <w:rsid w:val="00794340"/>
    <w:rsid w:val="007A09CB"/>
    <w:rsid w:val="007A57F1"/>
    <w:rsid w:val="007B66E6"/>
    <w:rsid w:val="007C15CC"/>
    <w:rsid w:val="007C2298"/>
    <w:rsid w:val="007C77F8"/>
    <w:rsid w:val="007E2DCC"/>
    <w:rsid w:val="007E4B2A"/>
    <w:rsid w:val="007E659C"/>
    <w:rsid w:val="007F0CEB"/>
    <w:rsid w:val="007F7604"/>
    <w:rsid w:val="0082430B"/>
    <w:rsid w:val="00830F66"/>
    <w:rsid w:val="0084276E"/>
    <w:rsid w:val="00846AC2"/>
    <w:rsid w:val="00850B1B"/>
    <w:rsid w:val="008514C3"/>
    <w:rsid w:val="00851847"/>
    <w:rsid w:val="00854A39"/>
    <w:rsid w:val="00881EEB"/>
    <w:rsid w:val="008849AD"/>
    <w:rsid w:val="008917A9"/>
    <w:rsid w:val="008A21D0"/>
    <w:rsid w:val="008C3B89"/>
    <w:rsid w:val="008D0521"/>
    <w:rsid w:val="008D7620"/>
    <w:rsid w:val="00906124"/>
    <w:rsid w:val="0092231F"/>
    <w:rsid w:val="00926B54"/>
    <w:rsid w:val="00932EFA"/>
    <w:rsid w:val="009419F6"/>
    <w:rsid w:val="009502E7"/>
    <w:rsid w:val="009506D6"/>
    <w:rsid w:val="00952412"/>
    <w:rsid w:val="00955460"/>
    <w:rsid w:val="00967D16"/>
    <w:rsid w:val="0099159B"/>
    <w:rsid w:val="009B67A8"/>
    <w:rsid w:val="009C1326"/>
    <w:rsid w:val="009C1680"/>
    <w:rsid w:val="009C5368"/>
    <w:rsid w:val="009D7193"/>
    <w:rsid w:val="009D74F0"/>
    <w:rsid w:val="009E6836"/>
    <w:rsid w:val="009E6FEA"/>
    <w:rsid w:val="00A00776"/>
    <w:rsid w:val="00A0126B"/>
    <w:rsid w:val="00A0636B"/>
    <w:rsid w:val="00A15D06"/>
    <w:rsid w:val="00A24CA0"/>
    <w:rsid w:val="00A279AF"/>
    <w:rsid w:val="00A36B6B"/>
    <w:rsid w:val="00A4133B"/>
    <w:rsid w:val="00A4468E"/>
    <w:rsid w:val="00A51A29"/>
    <w:rsid w:val="00A532D9"/>
    <w:rsid w:val="00A6081E"/>
    <w:rsid w:val="00A63A2B"/>
    <w:rsid w:val="00A7264B"/>
    <w:rsid w:val="00A83A9E"/>
    <w:rsid w:val="00A84547"/>
    <w:rsid w:val="00A914DD"/>
    <w:rsid w:val="00AB2AC3"/>
    <w:rsid w:val="00AB2E07"/>
    <w:rsid w:val="00AC2517"/>
    <w:rsid w:val="00AC7A56"/>
    <w:rsid w:val="00AE1B24"/>
    <w:rsid w:val="00AF2456"/>
    <w:rsid w:val="00AF733E"/>
    <w:rsid w:val="00B00265"/>
    <w:rsid w:val="00B020FC"/>
    <w:rsid w:val="00B04B20"/>
    <w:rsid w:val="00B20C48"/>
    <w:rsid w:val="00B305F0"/>
    <w:rsid w:val="00B34251"/>
    <w:rsid w:val="00B36083"/>
    <w:rsid w:val="00B46149"/>
    <w:rsid w:val="00B54176"/>
    <w:rsid w:val="00B63F71"/>
    <w:rsid w:val="00B64B2E"/>
    <w:rsid w:val="00B731B6"/>
    <w:rsid w:val="00B733C6"/>
    <w:rsid w:val="00B85B6E"/>
    <w:rsid w:val="00B905D6"/>
    <w:rsid w:val="00B90FDC"/>
    <w:rsid w:val="00B94A70"/>
    <w:rsid w:val="00B95911"/>
    <w:rsid w:val="00BA43C7"/>
    <w:rsid w:val="00BB105E"/>
    <w:rsid w:val="00BB1678"/>
    <w:rsid w:val="00BB5086"/>
    <w:rsid w:val="00BC7902"/>
    <w:rsid w:val="00BD36DC"/>
    <w:rsid w:val="00BD4662"/>
    <w:rsid w:val="00BD6360"/>
    <w:rsid w:val="00BE0872"/>
    <w:rsid w:val="00BE4CF7"/>
    <w:rsid w:val="00BE5D15"/>
    <w:rsid w:val="00BE656F"/>
    <w:rsid w:val="00BF2953"/>
    <w:rsid w:val="00C302FA"/>
    <w:rsid w:val="00C423CD"/>
    <w:rsid w:val="00C453F7"/>
    <w:rsid w:val="00C557B5"/>
    <w:rsid w:val="00C61BB2"/>
    <w:rsid w:val="00C62194"/>
    <w:rsid w:val="00C80097"/>
    <w:rsid w:val="00C91887"/>
    <w:rsid w:val="00C948AA"/>
    <w:rsid w:val="00C96606"/>
    <w:rsid w:val="00CA614D"/>
    <w:rsid w:val="00CA6CB3"/>
    <w:rsid w:val="00CB384A"/>
    <w:rsid w:val="00CB636C"/>
    <w:rsid w:val="00CC0CFA"/>
    <w:rsid w:val="00CD0047"/>
    <w:rsid w:val="00CD1947"/>
    <w:rsid w:val="00CD6A14"/>
    <w:rsid w:val="00CE20E9"/>
    <w:rsid w:val="00CE3EF2"/>
    <w:rsid w:val="00CF0219"/>
    <w:rsid w:val="00CF04D6"/>
    <w:rsid w:val="00D0281F"/>
    <w:rsid w:val="00D119F5"/>
    <w:rsid w:val="00D25770"/>
    <w:rsid w:val="00D3008E"/>
    <w:rsid w:val="00D3484E"/>
    <w:rsid w:val="00D5175F"/>
    <w:rsid w:val="00D5199E"/>
    <w:rsid w:val="00D61C83"/>
    <w:rsid w:val="00D64906"/>
    <w:rsid w:val="00D65344"/>
    <w:rsid w:val="00D72FA1"/>
    <w:rsid w:val="00D83531"/>
    <w:rsid w:val="00D86E6E"/>
    <w:rsid w:val="00D87E36"/>
    <w:rsid w:val="00D912B0"/>
    <w:rsid w:val="00D94953"/>
    <w:rsid w:val="00DA5D28"/>
    <w:rsid w:val="00DC1B03"/>
    <w:rsid w:val="00DC6DE0"/>
    <w:rsid w:val="00DD3203"/>
    <w:rsid w:val="00DD4103"/>
    <w:rsid w:val="00DE0C97"/>
    <w:rsid w:val="00DF0C9E"/>
    <w:rsid w:val="00DF524E"/>
    <w:rsid w:val="00E0652B"/>
    <w:rsid w:val="00E0799D"/>
    <w:rsid w:val="00E07C68"/>
    <w:rsid w:val="00E15497"/>
    <w:rsid w:val="00E154A3"/>
    <w:rsid w:val="00E16789"/>
    <w:rsid w:val="00E201A8"/>
    <w:rsid w:val="00E30715"/>
    <w:rsid w:val="00E33CF4"/>
    <w:rsid w:val="00E46C20"/>
    <w:rsid w:val="00E52DFE"/>
    <w:rsid w:val="00E61B19"/>
    <w:rsid w:val="00E62E09"/>
    <w:rsid w:val="00E63174"/>
    <w:rsid w:val="00E806EA"/>
    <w:rsid w:val="00E847E0"/>
    <w:rsid w:val="00E90C89"/>
    <w:rsid w:val="00E92131"/>
    <w:rsid w:val="00E939B0"/>
    <w:rsid w:val="00E94D4B"/>
    <w:rsid w:val="00EA13B3"/>
    <w:rsid w:val="00EB76A7"/>
    <w:rsid w:val="00EC4B31"/>
    <w:rsid w:val="00EC5653"/>
    <w:rsid w:val="00EC6AF7"/>
    <w:rsid w:val="00EC70DE"/>
    <w:rsid w:val="00ED3936"/>
    <w:rsid w:val="00EF18AA"/>
    <w:rsid w:val="00EF246B"/>
    <w:rsid w:val="00F04A9E"/>
    <w:rsid w:val="00F04D17"/>
    <w:rsid w:val="00F0531B"/>
    <w:rsid w:val="00F1656B"/>
    <w:rsid w:val="00F274F4"/>
    <w:rsid w:val="00F34926"/>
    <w:rsid w:val="00F436BC"/>
    <w:rsid w:val="00F644B4"/>
    <w:rsid w:val="00F72A9F"/>
    <w:rsid w:val="00F7706D"/>
    <w:rsid w:val="00F8460A"/>
    <w:rsid w:val="00F85703"/>
    <w:rsid w:val="00F85F5C"/>
    <w:rsid w:val="00FA5345"/>
    <w:rsid w:val="00FC021D"/>
    <w:rsid w:val="00FD1B70"/>
    <w:rsid w:val="00FE32B0"/>
    <w:rsid w:val="00FE348A"/>
    <w:rsid w:val="00FF4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79832"/>
  <w15:docId w15:val="{82BC30D0-3AE0-4013-A7C5-41B6C90D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317F6"/>
    <w:pPr>
      <w:tabs>
        <w:tab w:val="center" w:pos="4513"/>
        <w:tab w:val="right" w:pos="9026"/>
      </w:tabs>
    </w:pPr>
  </w:style>
  <w:style w:type="character" w:customStyle="1" w:styleId="HeaderChar">
    <w:name w:val="Header Char"/>
    <w:basedOn w:val="DefaultParagraphFont"/>
    <w:link w:val="Header"/>
    <w:uiPriority w:val="99"/>
    <w:rsid w:val="001317F6"/>
    <w:rPr>
      <w:rFonts w:ascii="Trebuchet MS" w:eastAsia="Times New Roman" w:hAnsi="Trebuchet MS"/>
      <w:sz w:val="22"/>
    </w:rPr>
  </w:style>
  <w:style w:type="paragraph" w:styleId="Footer">
    <w:name w:val="footer"/>
    <w:basedOn w:val="Normal"/>
    <w:link w:val="FooterChar"/>
    <w:uiPriority w:val="99"/>
    <w:unhideWhenUsed/>
    <w:rsid w:val="001317F6"/>
    <w:pPr>
      <w:tabs>
        <w:tab w:val="center" w:pos="4513"/>
        <w:tab w:val="right" w:pos="9026"/>
      </w:tabs>
    </w:pPr>
  </w:style>
  <w:style w:type="character" w:customStyle="1" w:styleId="FooterChar">
    <w:name w:val="Footer Char"/>
    <w:basedOn w:val="DefaultParagraphFont"/>
    <w:link w:val="Footer"/>
    <w:uiPriority w:val="99"/>
    <w:rsid w:val="001317F6"/>
    <w:rPr>
      <w:rFonts w:ascii="Trebuchet MS" w:eastAsia="Times New Roman" w:hAnsi="Trebuchet MS"/>
      <w:sz w:val="22"/>
    </w:rPr>
  </w:style>
  <w:style w:type="paragraph" w:styleId="BodyText">
    <w:name w:val="Body Text"/>
    <w:basedOn w:val="Normal"/>
    <w:link w:val="BodyTextChar"/>
    <w:rsid w:val="00503458"/>
    <w:pPr>
      <w:spacing w:after="240"/>
    </w:pPr>
    <w:rPr>
      <w:rFonts w:ascii="Times New Roman" w:hAnsi="Times New Roman"/>
      <w:sz w:val="24"/>
    </w:rPr>
  </w:style>
  <w:style w:type="character" w:customStyle="1" w:styleId="BodyTextChar">
    <w:name w:val="Body Text Char"/>
    <w:basedOn w:val="DefaultParagraphFont"/>
    <w:link w:val="BodyText"/>
    <w:rsid w:val="00503458"/>
    <w:rPr>
      <w:rFonts w:ascii="Times New Roman" w:eastAsia="Times New Roman" w:hAnsi="Times New Roman"/>
      <w:sz w:val="24"/>
    </w:rPr>
  </w:style>
  <w:style w:type="paragraph" w:styleId="FootnoteText">
    <w:name w:val="footnote text"/>
    <w:basedOn w:val="Normal"/>
    <w:link w:val="FootnoteTextChar"/>
    <w:uiPriority w:val="99"/>
    <w:semiHidden/>
    <w:unhideWhenUsed/>
    <w:rsid w:val="0043700B"/>
    <w:rPr>
      <w:sz w:val="20"/>
    </w:rPr>
  </w:style>
  <w:style w:type="character" w:customStyle="1" w:styleId="FootnoteTextChar">
    <w:name w:val="Footnote Text Char"/>
    <w:basedOn w:val="DefaultParagraphFont"/>
    <w:link w:val="FootnoteText"/>
    <w:uiPriority w:val="99"/>
    <w:semiHidden/>
    <w:rsid w:val="0043700B"/>
    <w:rPr>
      <w:rFonts w:ascii="Trebuchet MS" w:eastAsia="Times New Roman" w:hAnsi="Trebuchet MS"/>
    </w:rPr>
  </w:style>
  <w:style w:type="character" w:styleId="FootnoteReference">
    <w:name w:val="footnote reference"/>
    <w:basedOn w:val="DefaultParagraphFont"/>
    <w:uiPriority w:val="99"/>
    <w:semiHidden/>
    <w:unhideWhenUsed/>
    <w:rsid w:val="0043700B"/>
    <w:rPr>
      <w:vertAlign w:val="superscript"/>
    </w:rPr>
  </w:style>
  <w:style w:type="paragraph" w:styleId="Title">
    <w:name w:val="Title"/>
    <w:basedOn w:val="Normal"/>
    <w:link w:val="TitleChar"/>
    <w:qFormat/>
    <w:rsid w:val="0021247A"/>
    <w:pPr>
      <w:spacing w:before="360"/>
      <w:jc w:val="center"/>
    </w:pPr>
    <w:rPr>
      <w:rFonts w:ascii="Times New Roman" w:hAnsi="Times New Roman"/>
      <w:b/>
      <w:sz w:val="32"/>
    </w:rPr>
  </w:style>
  <w:style w:type="character" w:customStyle="1" w:styleId="TitleChar">
    <w:name w:val="Title Char"/>
    <w:basedOn w:val="DefaultParagraphFont"/>
    <w:link w:val="Title"/>
    <w:rsid w:val="0021247A"/>
    <w:rPr>
      <w:rFonts w:ascii="Times New Roman" w:eastAsia="Times New Roman" w:hAnsi="Times New Roman"/>
      <w:b/>
      <w:sz w:val="32"/>
    </w:rPr>
  </w:style>
  <w:style w:type="paragraph" w:styleId="Revision">
    <w:name w:val="Revision"/>
    <w:hidden/>
    <w:uiPriority w:val="99"/>
    <w:semiHidden/>
    <w:rsid w:val="00A6081E"/>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3287">
      <w:bodyDiv w:val="1"/>
      <w:marLeft w:val="0"/>
      <w:marRight w:val="0"/>
      <w:marTop w:val="0"/>
      <w:marBottom w:val="0"/>
      <w:divBdr>
        <w:top w:val="none" w:sz="0" w:space="0" w:color="auto"/>
        <w:left w:val="none" w:sz="0" w:space="0" w:color="auto"/>
        <w:bottom w:val="none" w:sz="0" w:space="0" w:color="auto"/>
        <w:right w:val="none" w:sz="0" w:space="0" w:color="auto"/>
      </w:divBdr>
    </w:div>
    <w:div w:id="1536505164">
      <w:bodyDiv w:val="1"/>
      <w:marLeft w:val="0"/>
      <w:marRight w:val="0"/>
      <w:marTop w:val="0"/>
      <w:marBottom w:val="0"/>
      <w:divBdr>
        <w:top w:val="none" w:sz="0" w:space="0" w:color="auto"/>
        <w:left w:val="none" w:sz="0" w:space="0" w:color="auto"/>
        <w:bottom w:val="none" w:sz="0" w:space="0" w:color="auto"/>
        <w:right w:val="none" w:sz="0" w:space="0" w:color="auto"/>
      </w:divBdr>
      <w:divsChild>
        <w:div w:id="998390774">
          <w:marLeft w:val="0"/>
          <w:marRight w:val="0"/>
          <w:marTop w:val="0"/>
          <w:marBottom w:val="0"/>
          <w:divBdr>
            <w:top w:val="none" w:sz="0" w:space="0" w:color="auto"/>
            <w:left w:val="none" w:sz="0" w:space="0" w:color="auto"/>
            <w:bottom w:val="none" w:sz="0" w:space="0" w:color="auto"/>
            <w:right w:val="none" w:sz="0" w:space="0" w:color="auto"/>
          </w:divBdr>
          <w:divsChild>
            <w:div w:id="1311401589">
              <w:marLeft w:val="0"/>
              <w:marRight w:val="0"/>
              <w:marTop w:val="0"/>
              <w:marBottom w:val="0"/>
              <w:divBdr>
                <w:top w:val="none" w:sz="0" w:space="0" w:color="auto"/>
                <w:left w:val="none" w:sz="0" w:space="0" w:color="auto"/>
                <w:bottom w:val="none" w:sz="0" w:space="0" w:color="auto"/>
                <w:right w:val="none" w:sz="0" w:space="0" w:color="auto"/>
              </w:divBdr>
              <w:divsChild>
                <w:div w:id="1375345077">
                  <w:marLeft w:val="0"/>
                  <w:marRight w:val="0"/>
                  <w:marTop w:val="0"/>
                  <w:marBottom w:val="0"/>
                  <w:divBdr>
                    <w:top w:val="single" w:sz="48" w:space="0" w:color="FFFFFF"/>
                    <w:left w:val="none" w:sz="0" w:space="0" w:color="auto"/>
                    <w:bottom w:val="none" w:sz="0" w:space="0" w:color="auto"/>
                    <w:right w:val="none" w:sz="0" w:space="0" w:color="auto"/>
                  </w:divBdr>
                  <w:divsChild>
                    <w:div w:id="397478531">
                      <w:marLeft w:val="3150"/>
                      <w:marRight w:val="0"/>
                      <w:marTop w:val="0"/>
                      <w:marBottom w:val="0"/>
                      <w:divBdr>
                        <w:top w:val="none" w:sz="0" w:space="0" w:color="auto"/>
                        <w:left w:val="none" w:sz="0" w:space="0" w:color="auto"/>
                        <w:bottom w:val="none" w:sz="0" w:space="0" w:color="auto"/>
                        <w:right w:val="none" w:sz="0" w:space="0" w:color="auto"/>
                      </w:divBdr>
                      <w:divsChild>
                        <w:div w:id="1244223568">
                          <w:marLeft w:val="0"/>
                          <w:marRight w:val="0"/>
                          <w:marTop w:val="0"/>
                          <w:marBottom w:val="0"/>
                          <w:divBdr>
                            <w:top w:val="none" w:sz="0" w:space="0" w:color="auto"/>
                            <w:left w:val="none" w:sz="0" w:space="0" w:color="auto"/>
                            <w:bottom w:val="none" w:sz="0" w:space="0" w:color="auto"/>
                            <w:right w:val="none" w:sz="0" w:space="0" w:color="auto"/>
                          </w:divBdr>
                          <w:divsChild>
                            <w:div w:id="731856562">
                              <w:marLeft w:val="0"/>
                              <w:marRight w:val="2925"/>
                              <w:marTop w:val="0"/>
                              <w:marBottom w:val="0"/>
                              <w:divBdr>
                                <w:top w:val="none" w:sz="0" w:space="0" w:color="auto"/>
                                <w:left w:val="none" w:sz="0" w:space="0" w:color="auto"/>
                                <w:bottom w:val="none" w:sz="0" w:space="0" w:color="auto"/>
                                <w:right w:val="none" w:sz="0" w:space="0" w:color="auto"/>
                              </w:divBdr>
                              <w:divsChild>
                                <w:div w:id="1389838465">
                                  <w:marLeft w:val="0"/>
                                  <w:marRight w:val="0"/>
                                  <w:marTop w:val="0"/>
                                  <w:marBottom w:val="0"/>
                                  <w:divBdr>
                                    <w:top w:val="none" w:sz="0" w:space="0" w:color="auto"/>
                                    <w:left w:val="none" w:sz="0" w:space="0" w:color="auto"/>
                                    <w:bottom w:val="none" w:sz="0" w:space="0" w:color="auto"/>
                                    <w:right w:val="none" w:sz="0" w:space="0" w:color="auto"/>
                                  </w:divBdr>
                                  <w:divsChild>
                                    <w:div w:id="521869499">
                                      <w:marLeft w:val="0"/>
                                      <w:marRight w:val="0"/>
                                      <w:marTop w:val="0"/>
                                      <w:marBottom w:val="0"/>
                                      <w:divBdr>
                                        <w:top w:val="none" w:sz="0" w:space="0" w:color="auto"/>
                                        <w:left w:val="none" w:sz="0" w:space="0" w:color="auto"/>
                                        <w:bottom w:val="none" w:sz="0" w:space="0" w:color="auto"/>
                                        <w:right w:val="none" w:sz="0" w:space="0" w:color="auto"/>
                                      </w:divBdr>
                                      <w:divsChild>
                                        <w:div w:id="637153494">
                                          <w:marLeft w:val="0"/>
                                          <w:marRight w:val="0"/>
                                          <w:marTop w:val="240"/>
                                          <w:marBottom w:val="0"/>
                                          <w:divBdr>
                                            <w:top w:val="none" w:sz="0" w:space="0" w:color="auto"/>
                                            <w:left w:val="none" w:sz="0" w:space="0" w:color="auto"/>
                                            <w:bottom w:val="none" w:sz="0" w:space="0" w:color="auto"/>
                                            <w:right w:val="none" w:sz="0" w:space="0" w:color="auto"/>
                                          </w:divBdr>
                                          <w:divsChild>
                                            <w:div w:id="440151691">
                                              <w:marLeft w:val="0"/>
                                              <w:marRight w:val="0"/>
                                              <w:marTop w:val="0"/>
                                              <w:marBottom w:val="0"/>
                                              <w:divBdr>
                                                <w:top w:val="none" w:sz="0" w:space="0" w:color="auto"/>
                                                <w:left w:val="none" w:sz="0" w:space="0" w:color="auto"/>
                                                <w:bottom w:val="none" w:sz="0" w:space="0" w:color="auto"/>
                                                <w:right w:val="none" w:sz="0" w:space="0" w:color="auto"/>
                                              </w:divBdr>
                                              <w:divsChild>
                                                <w:div w:id="1073118505">
                                                  <w:marLeft w:val="0"/>
                                                  <w:marRight w:val="0"/>
                                                  <w:marTop w:val="0"/>
                                                  <w:marBottom w:val="0"/>
                                                  <w:divBdr>
                                                    <w:top w:val="none" w:sz="0" w:space="0" w:color="auto"/>
                                                    <w:left w:val="none" w:sz="0" w:space="0" w:color="auto"/>
                                                    <w:bottom w:val="none" w:sz="0" w:space="0" w:color="auto"/>
                                                    <w:right w:val="none" w:sz="0" w:space="0" w:color="auto"/>
                                                  </w:divBdr>
                                                </w:div>
                                                <w:div w:id="9093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3L015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ydney\PAD\Public\Policy%20Development\Policy%20Templates\ES%20templates\Template%20-%20ES%20for%20new%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A21C-EA80-4CD9-92E5-7238049A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reporting standard (April 2016).dotx</Template>
  <TotalTime>2</TotalTime>
  <Pages>8</Pages>
  <Words>2872</Words>
  <Characters>16760</Characters>
  <Application>Microsoft Office Word</Application>
  <DocSecurity>0</DocSecurity>
  <Lines>280</Lines>
  <Paragraphs>68</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McCabe, Jennevieve</dc:creator>
  <cp:keywords>[SEC=DLM-ONLY:For-Official-Use-Only]</cp:keywords>
  <cp:lastModifiedBy>Toni Michalis</cp:lastModifiedBy>
  <cp:revision>2</cp:revision>
  <cp:lastPrinted>2016-09-07T20:57:00Z</cp:lastPrinted>
  <dcterms:created xsi:type="dcterms:W3CDTF">2016-09-07T21:03:00Z</dcterms:created>
  <dcterms:modified xsi:type="dcterms:W3CDTF">2016-09-07T21:03:00Z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DLM-ONLY</vt:lpwstr>
  </property>
  <property fmtid="{D5CDD505-2E9C-101B-9397-08002B2CF9AE}" pid="4" name="PM_DisplayValueSecClassificationWithQualifier">
    <vt:lpwstr>For Official Use Only</vt:lpwstr>
  </property>
  <property fmtid="{D5CDD505-2E9C-101B-9397-08002B2CF9AE}" pid="5" name="PM_Qualifier">
    <vt:lpwstr>For-Official-Use-Only</vt:lpwstr>
  </property>
  <property fmtid="{D5CDD505-2E9C-101B-9397-08002B2CF9AE}" pid="6" name="PM_Hash_SHA1">
    <vt:lpwstr>D63142AC5659062E7C4139214D2D6609B94A266C</vt:lpwstr>
  </property>
  <property fmtid="{D5CDD505-2E9C-101B-9397-08002B2CF9AE}" pid="7" name="PM_InsertionValue">
    <vt:lpwstr>For Official Use Only</vt:lpwstr>
  </property>
  <property fmtid="{D5CDD505-2E9C-101B-9397-08002B2CF9AE}" pid="8" name="PM_Hash_Salt">
    <vt:lpwstr>72F17046253248008ADC5A16209CAAD8</vt:lpwstr>
  </property>
  <property fmtid="{D5CDD505-2E9C-101B-9397-08002B2CF9AE}" pid="9" name="PM_Hash_Version">
    <vt:lpwstr>2014.2</vt:lpwstr>
  </property>
  <property fmtid="{D5CDD505-2E9C-101B-9397-08002B2CF9AE}" pid="10" name="PM_Hash_Salt_Prev">
    <vt:lpwstr>EF248C232AC9D1D7D62866DC76D2EA0C</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ies>
</file>