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F8664" w14:textId="77777777" w:rsidR="003D51A5" w:rsidRPr="002C6D26" w:rsidRDefault="003D51A5" w:rsidP="003D51A5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E62E09">
        <w:rPr>
          <w:rFonts w:ascii="Times New Roman" w:hAnsi="Times New Roman"/>
          <w:sz w:val="24"/>
          <w:szCs w:val="24"/>
        </w:rPr>
        <w:t>Financial Sector (Collection of Data) (reporting standard)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106">
        <w:rPr>
          <w:rFonts w:ascii="Times New Roman" w:hAnsi="Times New Roman"/>
          <w:sz w:val="24"/>
          <w:szCs w:val="24"/>
        </w:rPr>
        <w:t>determination</w:t>
      </w:r>
      <w:r w:rsidR="00907AC4">
        <w:rPr>
          <w:rFonts w:ascii="Times New Roman" w:hAnsi="Times New Roman"/>
          <w:sz w:val="24"/>
          <w:szCs w:val="24"/>
        </w:rPr>
        <w:br/>
      </w:r>
      <w:r w:rsidRPr="00CC0106">
        <w:rPr>
          <w:rFonts w:ascii="Times New Roman" w:hAnsi="Times New Roman"/>
          <w:sz w:val="24"/>
          <w:szCs w:val="24"/>
        </w:rPr>
        <w:t>No</w:t>
      </w:r>
      <w:r w:rsidR="00A55EA3">
        <w:rPr>
          <w:rFonts w:ascii="Times New Roman" w:hAnsi="Times New Roman"/>
          <w:sz w:val="24"/>
          <w:szCs w:val="24"/>
        </w:rPr>
        <w:t>.</w:t>
      </w:r>
      <w:r w:rsidR="007413E3">
        <w:rPr>
          <w:rFonts w:ascii="Times New Roman" w:hAnsi="Times New Roman"/>
          <w:sz w:val="24"/>
          <w:szCs w:val="24"/>
        </w:rPr>
        <w:t xml:space="preserve"> </w:t>
      </w:r>
      <w:r w:rsidR="008C7D04">
        <w:rPr>
          <w:rFonts w:ascii="Times New Roman" w:hAnsi="Times New Roman"/>
          <w:sz w:val="24"/>
          <w:szCs w:val="24"/>
        </w:rPr>
        <w:t>22</w:t>
      </w:r>
      <w:r w:rsidR="008C7D04" w:rsidRPr="00CC0106">
        <w:rPr>
          <w:rFonts w:ascii="Times New Roman" w:hAnsi="Times New Roman"/>
          <w:sz w:val="24"/>
          <w:szCs w:val="24"/>
        </w:rPr>
        <w:t xml:space="preserve"> </w:t>
      </w:r>
      <w:r w:rsidR="00907AC4">
        <w:rPr>
          <w:rFonts w:ascii="Times New Roman" w:hAnsi="Times New Roman"/>
          <w:sz w:val="24"/>
          <w:szCs w:val="24"/>
        </w:rPr>
        <w:t>of 2016</w:t>
      </w:r>
    </w:p>
    <w:p w14:paraId="5633939A" w14:textId="77777777" w:rsidR="002436BD" w:rsidRPr="002C6D26" w:rsidRDefault="002436BD" w:rsidP="00D85E77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sz w:val="24"/>
          <w:szCs w:val="24"/>
          <w:u w:val="single"/>
        </w:rPr>
      </w:pPr>
      <w:r w:rsidRPr="002C6D26">
        <w:rPr>
          <w:rFonts w:ascii="Times New Roman" w:hAnsi="Times New Roman"/>
          <w:sz w:val="24"/>
          <w:szCs w:val="24"/>
          <w:u w:val="single"/>
        </w:rPr>
        <w:t>EXPLANATORY STATEMENT</w:t>
      </w:r>
    </w:p>
    <w:p w14:paraId="13B25CBB" w14:textId="77777777" w:rsidR="002436BD" w:rsidRPr="002C6D26" w:rsidRDefault="002436BD" w:rsidP="00D85E77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Prepared by the Australian Prudential Regulation Authority (APRA)</w:t>
      </w:r>
    </w:p>
    <w:p w14:paraId="3C9C26FC" w14:textId="77777777" w:rsidR="00D96364" w:rsidRDefault="00C87274" w:rsidP="00D85E77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C87274">
        <w:rPr>
          <w:rFonts w:ascii="Times New Roman" w:hAnsi="Times New Roman"/>
          <w:b w:val="0"/>
          <w:i/>
          <w:sz w:val="24"/>
          <w:szCs w:val="24"/>
        </w:rPr>
        <w:t>Financial Sector (Collection of Data) Act 2001</w:t>
      </w:r>
      <w:r w:rsidR="002436BD" w:rsidRPr="002C6D26">
        <w:rPr>
          <w:rFonts w:ascii="Times New Roman" w:hAnsi="Times New Roman"/>
          <w:b w:val="0"/>
          <w:sz w:val="24"/>
          <w:szCs w:val="24"/>
        </w:rPr>
        <w:t xml:space="preserve">, </w:t>
      </w:r>
      <w:r w:rsidR="00586EBF">
        <w:rPr>
          <w:rFonts w:ascii="Times New Roman" w:hAnsi="Times New Roman"/>
          <w:b w:val="0"/>
          <w:color w:val="000000"/>
          <w:sz w:val="24"/>
          <w:szCs w:val="24"/>
        </w:rPr>
        <w:t xml:space="preserve">subsection </w:t>
      </w:r>
      <w:r>
        <w:rPr>
          <w:rFonts w:ascii="Times New Roman" w:hAnsi="Times New Roman"/>
          <w:b w:val="0"/>
          <w:color w:val="000000"/>
          <w:sz w:val="24"/>
          <w:szCs w:val="24"/>
        </w:rPr>
        <w:t>13</w:t>
      </w:r>
      <w:r w:rsidR="00586EBF">
        <w:rPr>
          <w:rFonts w:ascii="Times New Roman" w:hAnsi="Times New Roman"/>
          <w:b w:val="0"/>
          <w:color w:val="000000"/>
          <w:sz w:val="24"/>
          <w:szCs w:val="24"/>
        </w:rPr>
        <w:t>(1)</w:t>
      </w:r>
    </w:p>
    <w:p w14:paraId="4D905C1A" w14:textId="77777777" w:rsidR="002436BD" w:rsidRPr="002C6D26" w:rsidRDefault="00D96364" w:rsidP="00D85E77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/>
          <w:color w:val="000000"/>
          <w:sz w:val="24"/>
          <w:szCs w:val="24"/>
        </w:rPr>
        <w:t xml:space="preserve">Acts Interpretation Act 1901, </w:t>
      </w:r>
      <w:r>
        <w:rPr>
          <w:rFonts w:ascii="Times New Roman" w:hAnsi="Times New Roman"/>
          <w:b w:val="0"/>
          <w:color w:val="000000"/>
          <w:sz w:val="24"/>
          <w:szCs w:val="24"/>
        </w:rPr>
        <w:t>section 33</w:t>
      </w:r>
    </w:p>
    <w:p w14:paraId="362A2105" w14:textId="501EBB27" w:rsidR="002436BD" w:rsidRPr="00D96364" w:rsidRDefault="00907AC4" w:rsidP="00D85E77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bookmarkStart w:id="0" w:name="bkAct"/>
      <w:bookmarkStart w:id="1" w:name="bkExplanatory"/>
      <w:bookmarkEnd w:id="0"/>
      <w:bookmarkEnd w:id="1"/>
      <w:r>
        <w:rPr>
          <w:rFonts w:ascii="Times New Roman" w:hAnsi="Times New Roman"/>
          <w:sz w:val="24"/>
          <w:szCs w:val="24"/>
        </w:rPr>
        <w:t>Under</w:t>
      </w:r>
      <w:r w:rsidR="0019087A" w:rsidRPr="002C6D26">
        <w:rPr>
          <w:rFonts w:ascii="Times New Roman" w:hAnsi="Times New Roman"/>
          <w:sz w:val="24"/>
          <w:szCs w:val="24"/>
        </w:rPr>
        <w:t xml:space="preserve"> subsection </w:t>
      </w:r>
      <w:r w:rsidR="0019087A">
        <w:rPr>
          <w:rFonts w:ascii="Times New Roman" w:hAnsi="Times New Roman"/>
          <w:sz w:val="24"/>
          <w:szCs w:val="24"/>
        </w:rPr>
        <w:t>13</w:t>
      </w:r>
      <w:r w:rsidR="0019087A" w:rsidRPr="002C6D26">
        <w:rPr>
          <w:rFonts w:ascii="Times New Roman" w:hAnsi="Times New Roman"/>
          <w:sz w:val="24"/>
          <w:szCs w:val="24"/>
        </w:rPr>
        <w:t xml:space="preserve">(1) of the </w:t>
      </w:r>
      <w:r w:rsidR="0019087A" w:rsidRPr="001A2ADB">
        <w:rPr>
          <w:rFonts w:ascii="Times New Roman" w:hAnsi="Times New Roman"/>
          <w:i/>
          <w:sz w:val="24"/>
          <w:szCs w:val="24"/>
        </w:rPr>
        <w:t>Financial Sector (Collection of Data) Act 2001</w:t>
      </w:r>
      <w:r w:rsidR="0019087A" w:rsidRPr="002C6D26">
        <w:rPr>
          <w:rFonts w:ascii="Times New Roman" w:hAnsi="Times New Roman"/>
          <w:sz w:val="24"/>
          <w:szCs w:val="24"/>
        </w:rPr>
        <w:t xml:space="preserve"> </w:t>
      </w:r>
      <w:r w:rsidR="0019087A" w:rsidRPr="007428D4">
        <w:rPr>
          <w:rFonts w:ascii="Times New Roman" w:hAnsi="Times New Roman"/>
          <w:sz w:val="24"/>
          <w:szCs w:val="24"/>
        </w:rPr>
        <w:t>(the Act),</w:t>
      </w:r>
      <w:r w:rsidR="0019087A" w:rsidRPr="002C6D26">
        <w:rPr>
          <w:rFonts w:ascii="Times New Roman" w:hAnsi="Times New Roman"/>
          <w:sz w:val="24"/>
          <w:szCs w:val="24"/>
        </w:rPr>
        <w:t xml:space="preserve"> APRA </w:t>
      </w:r>
      <w:r>
        <w:rPr>
          <w:rFonts w:ascii="Times New Roman" w:hAnsi="Times New Roman"/>
          <w:sz w:val="24"/>
          <w:szCs w:val="24"/>
        </w:rPr>
        <w:t>has</w:t>
      </w:r>
      <w:r w:rsidR="00516DF4" w:rsidRPr="001A2ADB">
        <w:rPr>
          <w:rFonts w:ascii="Times New Roman" w:hAnsi="Times New Roman"/>
          <w:sz w:val="24"/>
          <w:szCs w:val="24"/>
        </w:rPr>
        <w:t xml:space="preserve"> </w:t>
      </w:r>
      <w:r w:rsidR="0019087A" w:rsidRPr="001A2ADB">
        <w:rPr>
          <w:rFonts w:ascii="Times New Roman" w:hAnsi="Times New Roman"/>
          <w:sz w:val="24"/>
          <w:szCs w:val="24"/>
        </w:rPr>
        <w:t xml:space="preserve">the power to determine reporting standards, in writing, with which </w:t>
      </w:r>
      <w:r w:rsidR="00D96364">
        <w:rPr>
          <w:rFonts w:ascii="Times New Roman" w:hAnsi="Times New Roman"/>
          <w:sz w:val="24"/>
          <w:szCs w:val="24"/>
        </w:rPr>
        <w:t>financial sector entities must</w:t>
      </w:r>
      <w:r>
        <w:rPr>
          <w:rFonts w:ascii="Times New Roman" w:hAnsi="Times New Roman"/>
          <w:sz w:val="24"/>
          <w:szCs w:val="24"/>
        </w:rPr>
        <w:t xml:space="preserve"> </w:t>
      </w:r>
      <w:r w:rsidR="00C36D9A">
        <w:rPr>
          <w:rFonts w:ascii="Times New Roman" w:hAnsi="Times New Roman"/>
          <w:sz w:val="24"/>
          <w:szCs w:val="24"/>
        </w:rPr>
        <w:t>comply.</w:t>
      </w:r>
      <w:r w:rsidR="0019087A" w:rsidRPr="001A2ADB">
        <w:rPr>
          <w:rFonts w:ascii="Times New Roman" w:hAnsi="Times New Roman"/>
          <w:sz w:val="24"/>
          <w:szCs w:val="24"/>
        </w:rPr>
        <w:t xml:space="preserve"> </w:t>
      </w:r>
      <w:r w:rsidR="00D96364">
        <w:rPr>
          <w:rFonts w:ascii="Times New Roman" w:hAnsi="Times New Roman"/>
          <w:sz w:val="24"/>
          <w:szCs w:val="24"/>
        </w:rPr>
        <w:t xml:space="preserve">Subsection 33(3) of the </w:t>
      </w:r>
      <w:r w:rsidR="00D96364">
        <w:rPr>
          <w:rFonts w:ascii="Times New Roman" w:hAnsi="Times New Roman"/>
          <w:i/>
          <w:sz w:val="24"/>
          <w:szCs w:val="24"/>
        </w:rPr>
        <w:t xml:space="preserve">Acts Interpretation Act 1901 </w:t>
      </w:r>
      <w:r w:rsidR="00D96364">
        <w:rPr>
          <w:rFonts w:ascii="Times New Roman" w:hAnsi="Times New Roman"/>
          <w:sz w:val="24"/>
          <w:szCs w:val="24"/>
        </w:rPr>
        <w:t xml:space="preserve">provides that where an Act confers a power to issue an instrument the power shall, unless the contrary intention appears, be construed as including a power exercisable in the like manner and subject to the like conditions (if any) to revoke any such instrument.  </w:t>
      </w:r>
    </w:p>
    <w:p w14:paraId="094192EA" w14:textId="1417D03E" w:rsidR="00A55EA3" w:rsidRDefault="0019087A" w:rsidP="00A55EA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343930">
        <w:rPr>
          <w:rFonts w:ascii="Times New Roman" w:hAnsi="Times New Roman"/>
          <w:sz w:val="24"/>
          <w:szCs w:val="24"/>
        </w:rPr>
        <w:t xml:space="preserve">On </w:t>
      </w:r>
      <w:r w:rsidR="001255E6">
        <w:rPr>
          <w:rFonts w:ascii="Times New Roman" w:hAnsi="Times New Roman"/>
          <w:sz w:val="24"/>
          <w:szCs w:val="24"/>
        </w:rPr>
        <w:t xml:space="preserve">31 August </w:t>
      </w:r>
      <w:r w:rsidR="00A55EA3">
        <w:rPr>
          <w:rFonts w:ascii="Times New Roman" w:hAnsi="Times New Roman"/>
          <w:sz w:val="24"/>
          <w:szCs w:val="24"/>
        </w:rPr>
        <w:t>2016</w:t>
      </w:r>
      <w:r w:rsidRPr="00246723">
        <w:rPr>
          <w:rFonts w:ascii="Times New Roman" w:hAnsi="Times New Roman"/>
          <w:sz w:val="24"/>
          <w:szCs w:val="24"/>
        </w:rPr>
        <w:t>, APRA made</w:t>
      </w:r>
      <w:r w:rsidR="00A55EA3" w:rsidRPr="00A55EA3">
        <w:t xml:space="preserve"> </w:t>
      </w:r>
      <w:r w:rsidR="00A55EA3" w:rsidRPr="00A55EA3">
        <w:rPr>
          <w:rFonts w:ascii="Times New Roman" w:hAnsi="Times New Roman"/>
          <w:sz w:val="24"/>
          <w:szCs w:val="24"/>
        </w:rPr>
        <w:t>Financial Sector (Collection of Data) (reporting standard) determination</w:t>
      </w:r>
      <w:r w:rsidR="00A55EA3">
        <w:rPr>
          <w:rFonts w:ascii="Times New Roman" w:hAnsi="Times New Roman"/>
          <w:sz w:val="24"/>
          <w:szCs w:val="24"/>
        </w:rPr>
        <w:t xml:space="preserve"> No. </w:t>
      </w:r>
      <w:r w:rsidR="008C7D04">
        <w:rPr>
          <w:rFonts w:ascii="Times New Roman" w:hAnsi="Times New Roman"/>
          <w:sz w:val="24"/>
          <w:szCs w:val="24"/>
        </w:rPr>
        <w:t>22</w:t>
      </w:r>
      <w:r w:rsidR="00A55EA3">
        <w:rPr>
          <w:rFonts w:ascii="Times New Roman" w:hAnsi="Times New Roman"/>
          <w:sz w:val="24"/>
          <w:szCs w:val="24"/>
        </w:rPr>
        <w:t xml:space="preserve"> of 2016, which revokes </w:t>
      </w:r>
      <w:r w:rsidR="00603AD1">
        <w:rPr>
          <w:rFonts w:ascii="Times New Roman" w:hAnsi="Times New Roman"/>
          <w:i/>
          <w:sz w:val="24"/>
          <w:szCs w:val="24"/>
        </w:rPr>
        <w:t xml:space="preserve">Reporting Standard HRS 601.0 Statistical Data by State </w:t>
      </w:r>
      <w:r w:rsidR="00603AD1">
        <w:rPr>
          <w:rFonts w:ascii="Times New Roman" w:hAnsi="Times New Roman"/>
          <w:sz w:val="24"/>
          <w:szCs w:val="24"/>
        </w:rPr>
        <w:t xml:space="preserve">made under </w:t>
      </w:r>
      <w:r w:rsidR="00A55EA3" w:rsidRPr="00A55EA3">
        <w:rPr>
          <w:rFonts w:ascii="Times New Roman" w:hAnsi="Times New Roman"/>
          <w:sz w:val="24"/>
          <w:szCs w:val="24"/>
        </w:rPr>
        <w:t>Financial Sector (Collection of Data) (reporting standard) determination No. 31 of 2015</w:t>
      </w:r>
      <w:r w:rsidR="00F17807">
        <w:rPr>
          <w:rFonts w:ascii="Times New Roman" w:hAnsi="Times New Roman"/>
          <w:sz w:val="24"/>
          <w:szCs w:val="24"/>
        </w:rPr>
        <w:t xml:space="preserve"> and determines </w:t>
      </w:r>
      <w:r w:rsidR="00F17807">
        <w:rPr>
          <w:rFonts w:ascii="Times New Roman" w:hAnsi="Times New Roman"/>
          <w:i/>
          <w:sz w:val="24"/>
          <w:szCs w:val="24"/>
        </w:rPr>
        <w:t xml:space="preserve">Reporting Standard HRS 601.0 Statistical Data by State </w:t>
      </w:r>
      <w:r w:rsidR="00F17807">
        <w:rPr>
          <w:rFonts w:ascii="Times New Roman" w:hAnsi="Times New Roman"/>
          <w:sz w:val="24"/>
          <w:szCs w:val="24"/>
        </w:rPr>
        <w:t>(HRS 601.0)</w:t>
      </w:r>
      <w:r w:rsidR="00603AD1">
        <w:rPr>
          <w:rFonts w:ascii="Times New Roman" w:hAnsi="Times New Roman"/>
          <w:sz w:val="24"/>
          <w:szCs w:val="24"/>
        </w:rPr>
        <w:t xml:space="preserve">.  </w:t>
      </w:r>
    </w:p>
    <w:p w14:paraId="33ADC32C" w14:textId="7DCC0A05" w:rsidR="00246723" w:rsidRDefault="001255E6" w:rsidP="0036583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instrument commences </w:t>
      </w:r>
      <w:r w:rsidRPr="001255E6">
        <w:rPr>
          <w:rFonts w:ascii="Times New Roman" w:hAnsi="Times New Roman"/>
          <w:sz w:val="24"/>
          <w:szCs w:val="24"/>
        </w:rPr>
        <w:t>upon registration on the Federal Register of Legislation</w:t>
      </w:r>
      <w:r w:rsidR="00D8157D">
        <w:rPr>
          <w:rFonts w:ascii="Times New Roman" w:hAnsi="Times New Roman"/>
          <w:sz w:val="24"/>
          <w:szCs w:val="24"/>
        </w:rPr>
        <w:t>.</w:t>
      </w:r>
      <w:bookmarkStart w:id="2" w:name="_GoBack"/>
      <w:bookmarkEnd w:id="2"/>
    </w:p>
    <w:p w14:paraId="2C253040" w14:textId="77777777" w:rsidR="002436BD" w:rsidRDefault="002436BD" w:rsidP="00D85E77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Background</w:t>
      </w:r>
    </w:p>
    <w:p w14:paraId="29B8C2BF" w14:textId="0D54CF19" w:rsidR="000E6BDE" w:rsidRDefault="00196F2F" w:rsidP="000E6BDE">
      <w:pPr>
        <w:pStyle w:val="Heading"/>
        <w:keepNext/>
        <w:spacing w:after="240"/>
        <w:outlineLvl w:val="0"/>
        <w:rPr>
          <w:rFonts w:ascii="Times New Roman" w:hAnsi="Times New Roman"/>
          <w:b w:val="0"/>
          <w:i/>
          <w:sz w:val="24"/>
          <w:szCs w:val="24"/>
        </w:rPr>
      </w:pPr>
      <w:r w:rsidRPr="00196F2F">
        <w:rPr>
          <w:rFonts w:ascii="Times New Roman" w:hAnsi="Times New Roman"/>
          <w:b w:val="0"/>
          <w:sz w:val="24"/>
          <w:szCs w:val="24"/>
        </w:rPr>
        <w:t xml:space="preserve">On 1 July 2015, </w:t>
      </w:r>
      <w:r w:rsidR="0030361F">
        <w:rPr>
          <w:rFonts w:ascii="Times New Roman" w:hAnsi="Times New Roman"/>
          <w:b w:val="0"/>
          <w:sz w:val="24"/>
          <w:szCs w:val="24"/>
        </w:rPr>
        <w:t>APRA</w:t>
      </w:r>
      <w:r w:rsidRPr="00196F2F">
        <w:rPr>
          <w:rFonts w:ascii="Times New Roman" w:hAnsi="Times New Roman"/>
          <w:b w:val="0"/>
          <w:sz w:val="24"/>
          <w:szCs w:val="24"/>
        </w:rPr>
        <w:t xml:space="preserve"> assumed responsibility for the prudential regulation of private health insurers</w:t>
      </w:r>
      <w:r w:rsidR="00F0625D">
        <w:rPr>
          <w:rFonts w:ascii="Times New Roman" w:hAnsi="Times New Roman"/>
          <w:b w:val="0"/>
          <w:sz w:val="24"/>
          <w:szCs w:val="24"/>
        </w:rPr>
        <w:t>,</w:t>
      </w:r>
      <w:r w:rsidRPr="00196F2F">
        <w:rPr>
          <w:rFonts w:ascii="Times New Roman" w:hAnsi="Times New Roman"/>
          <w:b w:val="0"/>
          <w:sz w:val="24"/>
          <w:szCs w:val="24"/>
        </w:rPr>
        <w:t xml:space="preserve"> and the administration of the Risk Equalisation Trust Fund</w:t>
      </w:r>
      <w:r w:rsidR="004733E4">
        <w:rPr>
          <w:rFonts w:ascii="Times New Roman" w:hAnsi="Times New Roman"/>
          <w:b w:val="0"/>
          <w:sz w:val="24"/>
          <w:szCs w:val="24"/>
        </w:rPr>
        <w:t xml:space="preserve"> (RETF)</w:t>
      </w:r>
      <w:r w:rsidR="000E6BDE">
        <w:rPr>
          <w:rFonts w:ascii="Times New Roman" w:hAnsi="Times New Roman"/>
          <w:b w:val="0"/>
          <w:sz w:val="24"/>
          <w:szCs w:val="24"/>
        </w:rPr>
        <w:t xml:space="preserve"> </w:t>
      </w:r>
      <w:r w:rsidR="0030361F">
        <w:rPr>
          <w:rFonts w:ascii="Times New Roman" w:hAnsi="Times New Roman"/>
          <w:b w:val="0"/>
          <w:sz w:val="24"/>
          <w:szCs w:val="24"/>
        </w:rPr>
        <w:t xml:space="preserve">via the </w:t>
      </w:r>
      <w:r w:rsidR="000E6BDE" w:rsidRPr="0030361F">
        <w:rPr>
          <w:rFonts w:ascii="Times New Roman" w:hAnsi="Times New Roman"/>
          <w:b w:val="0"/>
          <w:i/>
          <w:sz w:val="24"/>
          <w:szCs w:val="24"/>
        </w:rPr>
        <w:t xml:space="preserve">Private Health Insurance (Risk Equalisation Levy) </w:t>
      </w:r>
      <w:r w:rsidR="0030361F" w:rsidRPr="0030361F">
        <w:rPr>
          <w:rFonts w:ascii="Times New Roman" w:hAnsi="Times New Roman"/>
          <w:b w:val="0"/>
          <w:i/>
          <w:sz w:val="24"/>
          <w:szCs w:val="24"/>
        </w:rPr>
        <w:t>Act 2003</w:t>
      </w:r>
      <w:r w:rsidR="000E6BDE" w:rsidRPr="0030361F">
        <w:rPr>
          <w:rFonts w:ascii="Times New Roman" w:hAnsi="Times New Roman"/>
          <w:b w:val="0"/>
          <w:i/>
          <w:sz w:val="24"/>
          <w:szCs w:val="24"/>
        </w:rPr>
        <w:t>.</w:t>
      </w:r>
    </w:p>
    <w:p w14:paraId="3013D568" w14:textId="4EBDD550" w:rsidR="006B1B4B" w:rsidRPr="005E71F5" w:rsidRDefault="006B1B4B" w:rsidP="006B1B4B">
      <w:pPr>
        <w:pStyle w:val="Heading"/>
        <w:keepNext/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</w:t>
      </w:r>
      <w:r w:rsidR="004664A1">
        <w:rPr>
          <w:rFonts w:ascii="Times New Roman" w:hAnsi="Times New Roman"/>
          <w:b w:val="0"/>
          <w:sz w:val="24"/>
          <w:szCs w:val="24"/>
        </w:rPr>
        <w:t xml:space="preserve"> RETF and the associated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C70F6C">
        <w:rPr>
          <w:rFonts w:ascii="Times New Roman" w:hAnsi="Times New Roman"/>
          <w:b w:val="0"/>
          <w:sz w:val="24"/>
          <w:szCs w:val="24"/>
        </w:rPr>
        <w:t>r</w:t>
      </w:r>
      <w:r w:rsidR="0030361F">
        <w:rPr>
          <w:rFonts w:ascii="Times New Roman" w:hAnsi="Times New Roman"/>
          <w:b w:val="0"/>
          <w:sz w:val="24"/>
          <w:szCs w:val="24"/>
        </w:rPr>
        <w:t>isk equalisation</w:t>
      </w:r>
      <w:r>
        <w:rPr>
          <w:rFonts w:ascii="Times New Roman" w:hAnsi="Times New Roman"/>
          <w:b w:val="0"/>
          <w:sz w:val="24"/>
          <w:szCs w:val="24"/>
        </w:rPr>
        <w:t xml:space="preserve"> levy</w:t>
      </w:r>
      <w:r w:rsidR="0030361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support the principle of community rating</w:t>
      </w:r>
      <w:r w:rsidR="00E41C6A">
        <w:rPr>
          <w:rFonts w:ascii="Times New Roman" w:hAnsi="Times New Roman"/>
          <w:b w:val="0"/>
          <w:sz w:val="24"/>
          <w:szCs w:val="24"/>
        </w:rPr>
        <w:t xml:space="preserve"> (which prohibits </w:t>
      </w:r>
      <w:r w:rsidR="00E41C6A" w:rsidRPr="00E41C6A">
        <w:rPr>
          <w:rFonts w:ascii="Times New Roman" w:hAnsi="Times New Roman"/>
          <w:b w:val="0"/>
          <w:sz w:val="24"/>
          <w:szCs w:val="24"/>
        </w:rPr>
        <w:t>private health insurers from discriminating against pe</w:t>
      </w:r>
      <w:r w:rsidR="00E41C6A">
        <w:rPr>
          <w:rFonts w:ascii="Times New Roman" w:hAnsi="Times New Roman"/>
          <w:b w:val="0"/>
          <w:sz w:val="24"/>
          <w:szCs w:val="24"/>
        </w:rPr>
        <w:t xml:space="preserve">rsons seeking </w:t>
      </w:r>
      <w:r w:rsidR="00336BE5">
        <w:rPr>
          <w:rFonts w:ascii="Times New Roman" w:hAnsi="Times New Roman"/>
          <w:b w:val="0"/>
          <w:sz w:val="24"/>
          <w:szCs w:val="24"/>
        </w:rPr>
        <w:t>private health insurance</w:t>
      </w:r>
      <w:r w:rsidR="00E41C6A">
        <w:rPr>
          <w:rFonts w:ascii="Times New Roman" w:hAnsi="Times New Roman"/>
          <w:b w:val="0"/>
          <w:sz w:val="24"/>
          <w:szCs w:val="24"/>
        </w:rPr>
        <w:t>)</w:t>
      </w:r>
      <w:r>
        <w:rPr>
          <w:rFonts w:ascii="Times New Roman" w:hAnsi="Times New Roman"/>
          <w:b w:val="0"/>
          <w:sz w:val="24"/>
          <w:szCs w:val="24"/>
        </w:rPr>
        <w:t>. APRA calculates the levy on the basis of risk equalisation jurisdictions</w:t>
      </w:r>
      <w:r w:rsidR="00E41C6A">
        <w:rPr>
          <w:rFonts w:ascii="Times New Roman" w:hAnsi="Times New Roman"/>
          <w:b w:val="0"/>
          <w:sz w:val="24"/>
          <w:szCs w:val="24"/>
        </w:rPr>
        <w:t xml:space="preserve"> based on the Australian states and territories</w:t>
      </w:r>
      <w:r w:rsidR="00DC7962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3EEBD38" w14:textId="77777777" w:rsidR="006B1B4B" w:rsidRPr="00E9678C" w:rsidRDefault="005E71F5" w:rsidP="005E71F5">
      <w:pPr>
        <w:pStyle w:val="Heading"/>
        <w:keepNext/>
        <w:spacing w:after="240"/>
        <w:outlineLvl w:val="0"/>
        <w:rPr>
          <w:rFonts w:ascii="Times New Roman" w:hAnsi="Times New Roman"/>
          <w:b w:val="0"/>
          <w:sz w:val="24"/>
          <w:szCs w:val="24"/>
          <w:highlight w:val="yellow"/>
        </w:rPr>
      </w:pPr>
      <w:r>
        <w:rPr>
          <w:rFonts w:ascii="Times New Roman" w:hAnsi="Times New Roman"/>
          <w:b w:val="0"/>
          <w:sz w:val="24"/>
          <w:szCs w:val="24"/>
        </w:rPr>
        <w:t>On 1 July 2016</w:t>
      </w:r>
      <w:r w:rsidR="00336BE5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the Department of Health enacted the </w:t>
      </w:r>
      <w:hyperlink r:id="rId8" w:history="1">
        <w:r w:rsidRPr="005E71F5">
          <w:rPr>
            <w:rStyle w:val="Hyperlink"/>
            <w:rFonts w:ascii="Times New Roman" w:hAnsi="Times New Roman"/>
            <w:b w:val="0"/>
            <w:i/>
            <w:sz w:val="24"/>
            <w:szCs w:val="24"/>
          </w:rPr>
          <w:t>Private Health Insurance Legislation Amendment (Risk Equalisation Jurisdiction) Rules 2016</w:t>
        </w:r>
      </w:hyperlink>
      <w:r w:rsidRPr="005E71F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to </w:t>
      </w:r>
      <w:r w:rsidRPr="005E71F5">
        <w:rPr>
          <w:rFonts w:ascii="Times New Roman" w:hAnsi="Times New Roman"/>
          <w:b w:val="0"/>
          <w:sz w:val="24"/>
          <w:szCs w:val="24"/>
        </w:rPr>
        <w:t xml:space="preserve">amend the </w:t>
      </w:r>
      <w:r w:rsidRPr="005E71F5">
        <w:rPr>
          <w:rFonts w:ascii="Times New Roman" w:hAnsi="Times New Roman"/>
          <w:b w:val="0"/>
          <w:i/>
          <w:sz w:val="24"/>
          <w:szCs w:val="24"/>
        </w:rPr>
        <w:t>Private Health Insurance (Health Benefits Fund Policy) Rules 2015</w:t>
      </w:r>
      <w:r w:rsidRPr="005E71F5">
        <w:rPr>
          <w:rFonts w:ascii="Times New Roman" w:hAnsi="Times New Roman"/>
          <w:b w:val="0"/>
          <w:sz w:val="24"/>
          <w:szCs w:val="24"/>
        </w:rPr>
        <w:t xml:space="preserve"> and </w:t>
      </w:r>
      <w:r>
        <w:rPr>
          <w:rFonts w:ascii="Times New Roman" w:hAnsi="Times New Roman"/>
          <w:b w:val="0"/>
          <w:sz w:val="24"/>
          <w:szCs w:val="24"/>
        </w:rPr>
        <w:t xml:space="preserve">the </w:t>
      </w:r>
      <w:r w:rsidRPr="005E71F5">
        <w:rPr>
          <w:rFonts w:ascii="Times New Roman" w:hAnsi="Times New Roman"/>
          <w:b w:val="0"/>
          <w:i/>
          <w:sz w:val="24"/>
          <w:szCs w:val="24"/>
        </w:rPr>
        <w:t xml:space="preserve">Private Health Insurance (Risk Equalisation Policy) Rules 2015 </w:t>
      </w:r>
      <w:r w:rsidRPr="005E71F5">
        <w:rPr>
          <w:rFonts w:ascii="Times New Roman" w:hAnsi="Times New Roman"/>
          <w:b w:val="0"/>
          <w:sz w:val="24"/>
          <w:szCs w:val="24"/>
        </w:rPr>
        <w:t xml:space="preserve">to add Norfolk Island into the </w:t>
      </w:r>
      <w:r w:rsidR="00D4240D">
        <w:rPr>
          <w:rFonts w:ascii="Times New Roman" w:hAnsi="Times New Roman"/>
          <w:b w:val="0"/>
          <w:sz w:val="24"/>
          <w:szCs w:val="24"/>
        </w:rPr>
        <w:t xml:space="preserve">combined </w:t>
      </w:r>
      <w:r w:rsidRPr="005E71F5">
        <w:rPr>
          <w:rFonts w:ascii="Times New Roman" w:hAnsi="Times New Roman"/>
          <w:b w:val="0"/>
          <w:sz w:val="24"/>
          <w:szCs w:val="24"/>
        </w:rPr>
        <w:t>risk equalisation jurisdiction of NSW/ACT</w:t>
      </w:r>
      <w:r w:rsidR="00724585">
        <w:rPr>
          <w:rFonts w:ascii="Times New Roman" w:hAnsi="Times New Roman"/>
          <w:b w:val="0"/>
          <w:sz w:val="24"/>
          <w:szCs w:val="24"/>
        </w:rPr>
        <w:t xml:space="preserve"> and to adjust the </w:t>
      </w:r>
      <w:r w:rsidR="00724585" w:rsidRPr="00724585">
        <w:rPr>
          <w:rFonts w:ascii="Times New Roman" w:hAnsi="Times New Roman"/>
          <w:b w:val="0"/>
          <w:sz w:val="24"/>
          <w:szCs w:val="24"/>
        </w:rPr>
        <w:t xml:space="preserve">Lifetime Health </w:t>
      </w:r>
      <w:r w:rsidR="00C70F6C">
        <w:rPr>
          <w:rFonts w:ascii="Times New Roman" w:hAnsi="Times New Roman"/>
          <w:b w:val="0"/>
          <w:sz w:val="24"/>
          <w:szCs w:val="24"/>
        </w:rPr>
        <w:t>C</w:t>
      </w:r>
      <w:r w:rsidR="00724585" w:rsidRPr="00724585">
        <w:rPr>
          <w:rFonts w:ascii="Times New Roman" w:hAnsi="Times New Roman"/>
          <w:b w:val="0"/>
          <w:sz w:val="24"/>
          <w:szCs w:val="24"/>
        </w:rPr>
        <w:t>over penalty provisions for N</w:t>
      </w:r>
      <w:r w:rsidR="00C70F6C">
        <w:rPr>
          <w:rFonts w:ascii="Times New Roman" w:hAnsi="Times New Roman"/>
          <w:b w:val="0"/>
          <w:sz w:val="24"/>
          <w:szCs w:val="24"/>
        </w:rPr>
        <w:t xml:space="preserve">orfolk </w:t>
      </w:r>
      <w:r w:rsidR="00724585" w:rsidRPr="00724585">
        <w:rPr>
          <w:rFonts w:ascii="Times New Roman" w:hAnsi="Times New Roman"/>
          <w:b w:val="0"/>
          <w:sz w:val="24"/>
          <w:szCs w:val="24"/>
        </w:rPr>
        <w:t>I</w:t>
      </w:r>
      <w:r w:rsidR="00C70F6C">
        <w:rPr>
          <w:rFonts w:ascii="Times New Roman" w:hAnsi="Times New Roman"/>
          <w:b w:val="0"/>
          <w:sz w:val="24"/>
          <w:szCs w:val="24"/>
        </w:rPr>
        <w:t>sland</w:t>
      </w:r>
      <w:r w:rsidR="00724585" w:rsidRPr="00724585">
        <w:rPr>
          <w:rFonts w:ascii="Times New Roman" w:hAnsi="Times New Roman"/>
          <w:b w:val="0"/>
          <w:sz w:val="24"/>
          <w:szCs w:val="24"/>
        </w:rPr>
        <w:t xml:space="preserve"> residents</w:t>
      </w:r>
      <w:r w:rsidRPr="00724585">
        <w:rPr>
          <w:rFonts w:ascii="Times New Roman" w:hAnsi="Times New Roman"/>
          <w:b w:val="0"/>
          <w:sz w:val="24"/>
          <w:szCs w:val="24"/>
        </w:rPr>
        <w:t xml:space="preserve">. </w:t>
      </w:r>
      <w:r w:rsidR="00E9678C">
        <w:rPr>
          <w:rFonts w:ascii="Times New Roman" w:hAnsi="Times New Roman"/>
          <w:b w:val="0"/>
          <w:sz w:val="24"/>
          <w:szCs w:val="24"/>
        </w:rPr>
        <w:t>This change necessitates</w:t>
      </w:r>
      <w:r w:rsidR="006B1B4B" w:rsidRPr="00D4240D">
        <w:rPr>
          <w:rFonts w:ascii="Times New Roman" w:hAnsi="Times New Roman"/>
          <w:b w:val="0"/>
          <w:sz w:val="24"/>
          <w:szCs w:val="24"/>
        </w:rPr>
        <w:t xml:space="preserve"> </w:t>
      </w:r>
      <w:r w:rsidR="00E41C6A">
        <w:rPr>
          <w:rFonts w:ascii="Times New Roman" w:hAnsi="Times New Roman"/>
          <w:b w:val="0"/>
          <w:sz w:val="24"/>
          <w:szCs w:val="24"/>
        </w:rPr>
        <w:t>various</w:t>
      </w:r>
      <w:r w:rsidR="00336BE5">
        <w:rPr>
          <w:rFonts w:ascii="Times New Roman" w:hAnsi="Times New Roman"/>
          <w:b w:val="0"/>
          <w:sz w:val="24"/>
          <w:szCs w:val="24"/>
        </w:rPr>
        <w:t xml:space="preserve"> </w:t>
      </w:r>
      <w:r w:rsidR="006B1B4B" w:rsidRPr="00D4240D">
        <w:rPr>
          <w:rFonts w:ascii="Times New Roman" w:hAnsi="Times New Roman"/>
          <w:b w:val="0"/>
          <w:sz w:val="24"/>
          <w:szCs w:val="24"/>
        </w:rPr>
        <w:t xml:space="preserve">changes to </w:t>
      </w:r>
      <w:r w:rsidR="00E41C6A">
        <w:rPr>
          <w:rFonts w:ascii="Times New Roman" w:hAnsi="Times New Roman"/>
          <w:b w:val="0"/>
          <w:sz w:val="24"/>
          <w:szCs w:val="24"/>
        </w:rPr>
        <w:t xml:space="preserve">the reporting standard </w:t>
      </w:r>
      <w:r w:rsidR="00E9678C">
        <w:rPr>
          <w:rFonts w:ascii="Times New Roman" w:hAnsi="Times New Roman"/>
          <w:b w:val="0"/>
          <w:sz w:val="24"/>
          <w:szCs w:val="24"/>
        </w:rPr>
        <w:t>HRS 601.0</w:t>
      </w:r>
    </w:p>
    <w:p w14:paraId="78DDB6ED" w14:textId="77777777" w:rsidR="002436BD" w:rsidRDefault="002436BD" w:rsidP="00D85E77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bookmarkStart w:id="3" w:name="bkBackground"/>
      <w:bookmarkEnd w:id="3"/>
      <w:r w:rsidRPr="002C6D26">
        <w:rPr>
          <w:rFonts w:ascii="Times New Roman" w:hAnsi="Times New Roman"/>
          <w:sz w:val="24"/>
          <w:szCs w:val="24"/>
        </w:rPr>
        <w:t xml:space="preserve">Purpose </w:t>
      </w:r>
      <w:r w:rsidR="00DF524E">
        <w:rPr>
          <w:rFonts w:ascii="Times New Roman" w:hAnsi="Times New Roman"/>
          <w:sz w:val="24"/>
          <w:szCs w:val="24"/>
        </w:rPr>
        <w:t xml:space="preserve">and operation </w:t>
      </w:r>
      <w:r w:rsidRPr="002C6D26">
        <w:rPr>
          <w:rFonts w:ascii="Times New Roman" w:hAnsi="Times New Roman"/>
          <w:sz w:val="24"/>
          <w:szCs w:val="24"/>
        </w:rPr>
        <w:t>of the instrument</w:t>
      </w:r>
    </w:p>
    <w:p w14:paraId="2AD3DF17" w14:textId="54F3550D" w:rsidR="00E9678C" w:rsidRDefault="00FC299F" w:rsidP="00D8157D">
      <w:pPr>
        <w:pStyle w:val="Heading"/>
        <w:keepNext/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purpose of this</w:t>
      </w:r>
      <w:r w:rsidRPr="003B30B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legislative </w:t>
      </w:r>
      <w:r w:rsidRPr="003B30B3">
        <w:rPr>
          <w:rFonts w:ascii="Times New Roman" w:hAnsi="Times New Roman"/>
          <w:b w:val="0"/>
          <w:sz w:val="24"/>
          <w:szCs w:val="24"/>
        </w:rPr>
        <w:t xml:space="preserve">instrument is </w:t>
      </w:r>
      <w:r w:rsidR="00567D4B">
        <w:rPr>
          <w:rFonts w:ascii="Times New Roman" w:hAnsi="Times New Roman"/>
          <w:b w:val="0"/>
          <w:sz w:val="24"/>
          <w:szCs w:val="24"/>
        </w:rPr>
        <w:t>make the necessary changes to HRS 601.0.  It does this by</w:t>
      </w:r>
      <w:r w:rsidR="00F55B24">
        <w:rPr>
          <w:rFonts w:ascii="Times New Roman" w:hAnsi="Times New Roman"/>
          <w:b w:val="0"/>
          <w:sz w:val="24"/>
          <w:szCs w:val="24"/>
        </w:rPr>
        <w:t xml:space="preserve"> requir</w:t>
      </w:r>
      <w:r w:rsidR="00567D4B">
        <w:rPr>
          <w:rFonts w:ascii="Times New Roman" w:hAnsi="Times New Roman"/>
          <w:b w:val="0"/>
          <w:sz w:val="24"/>
          <w:szCs w:val="24"/>
        </w:rPr>
        <w:t>ing</w:t>
      </w:r>
      <w:r w:rsidR="00F55B24">
        <w:rPr>
          <w:rFonts w:ascii="Times New Roman" w:hAnsi="Times New Roman"/>
          <w:b w:val="0"/>
          <w:sz w:val="24"/>
          <w:szCs w:val="24"/>
        </w:rPr>
        <w:t xml:space="preserve"> the submission of data by private health insurers that replicates the current required data</w:t>
      </w:r>
      <w:r w:rsidR="005857D9">
        <w:rPr>
          <w:rFonts w:ascii="Times New Roman" w:hAnsi="Times New Roman"/>
          <w:b w:val="0"/>
          <w:sz w:val="24"/>
          <w:szCs w:val="24"/>
        </w:rPr>
        <w:t>,</w:t>
      </w:r>
      <w:r w:rsidR="00F55B24">
        <w:rPr>
          <w:rFonts w:ascii="Times New Roman" w:hAnsi="Times New Roman"/>
          <w:b w:val="0"/>
          <w:sz w:val="24"/>
          <w:szCs w:val="24"/>
        </w:rPr>
        <w:t xml:space="preserve"> other than to </w:t>
      </w:r>
      <w:r w:rsidR="005857D9">
        <w:rPr>
          <w:rFonts w:ascii="Times New Roman" w:hAnsi="Times New Roman"/>
          <w:b w:val="0"/>
          <w:sz w:val="24"/>
          <w:szCs w:val="24"/>
        </w:rPr>
        <w:t xml:space="preserve">require </w:t>
      </w:r>
      <w:r w:rsidR="00F55B24">
        <w:rPr>
          <w:rFonts w:ascii="Times New Roman" w:hAnsi="Times New Roman"/>
          <w:b w:val="0"/>
          <w:sz w:val="24"/>
          <w:szCs w:val="24"/>
        </w:rPr>
        <w:t>report</w:t>
      </w:r>
      <w:r w:rsidR="005857D9">
        <w:rPr>
          <w:rFonts w:ascii="Times New Roman" w:hAnsi="Times New Roman"/>
          <w:b w:val="0"/>
          <w:sz w:val="24"/>
          <w:szCs w:val="24"/>
        </w:rPr>
        <w:t>ing of</w:t>
      </w:r>
      <w:r>
        <w:rPr>
          <w:rFonts w:ascii="Times New Roman" w:hAnsi="Times New Roman"/>
          <w:b w:val="0"/>
          <w:sz w:val="24"/>
          <w:szCs w:val="24"/>
        </w:rPr>
        <w:t xml:space="preserve"> data on Norfolk Island policy holders </w:t>
      </w:r>
      <w:r w:rsidR="00E9678C">
        <w:rPr>
          <w:rFonts w:ascii="Times New Roman" w:hAnsi="Times New Roman"/>
          <w:b w:val="0"/>
          <w:sz w:val="24"/>
          <w:szCs w:val="24"/>
        </w:rPr>
        <w:t>in the NSW</w:t>
      </w:r>
      <w:r w:rsidR="00AB2F7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section of the reporting form </w:t>
      </w:r>
      <w:r w:rsidR="00F55B24">
        <w:rPr>
          <w:rFonts w:ascii="Times New Roman" w:hAnsi="Times New Roman"/>
          <w:b w:val="0"/>
          <w:sz w:val="24"/>
          <w:szCs w:val="24"/>
        </w:rPr>
        <w:t xml:space="preserve">rather than </w:t>
      </w:r>
      <w:r w:rsidR="00567D4B">
        <w:rPr>
          <w:rFonts w:ascii="Times New Roman" w:hAnsi="Times New Roman"/>
          <w:b w:val="0"/>
          <w:sz w:val="24"/>
          <w:szCs w:val="24"/>
        </w:rPr>
        <w:t>considering</w:t>
      </w:r>
      <w:r w:rsidR="00F55B24">
        <w:rPr>
          <w:rFonts w:ascii="Times New Roman" w:hAnsi="Times New Roman"/>
          <w:b w:val="0"/>
          <w:sz w:val="24"/>
          <w:szCs w:val="24"/>
        </w:rPr>
        <w:t xml:space="preserve"> them as </w:t>
      </w:r>
      <w:r w:rsidR="00F55B24">
        <w:rPr>
          <w:rFonts w:ascii="Times New Roman" w:hAnsi="Times New Roman"/>
          <w:b w:val="0"/>
          <w:sz w:val="24"/>
          <w:szCs w:val="24"/>
        </w:rPr>
        <w:lastRenderedPageBreak/>
        <w:t>overseas visitors.</w:t>
      </w:r>
      <w:r w:rsidR="00F55B24">
        <w:rPr>
          <w:rStyle w:val="FootnoteReference"/>
          <w:rFonts w:ascii="Times New Roman" w:hAnsi="Times New Roman"/>
          <w:b w:val="0"/>
          <w:sz w:val="24"/>
          <w:szCs w:val="24"/>
        </w:rPr>
        <w:footnoteReference w:id="1"/>
      </w:r>
      <w:r w:rsidR="00F55B24">
        <w:rPr>
          <w:rFonts w:ascii="Times New Roman" w:hAnsi="Times New Roman"/>
          <w:b w:val="0"/>
          <w:sz w:val="24"/>
          <w:szCs w:val="24"/>
        </w:rPr>
        <w:t xml:space="preserve">  </w:t>
      </w:r>
      <w:r w:rsidR="005857D9">
        <w:rPr>
          <w:rFonts w:ascii="Times New Roman" w:hAnsi="Times New Roman"/>
          <w:b w:val="0"/>
          <w:sz w:val="24"/>
          <w:szCs w:val="24"/>
        </w:rPr>
        <w:t xml:space="preserve">A number of miscellaneous changes have been made to the reporting instructions to provide guidance on the reporting of Norfolk Island policy holders and to update outdated references. </w:t>
      </w:r>
    </w:p>
    <w:p w14:paraId="1D223A12" w14:textId="6576CC00" w:rsidR="00AE23F7" w:rsidRDefault="00F55B24" w:rsidP="00AE23F7">
      <w:pPr>
        <w:pStyle w:val="Heading"/>
        <w:keepNext/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The </w:t>
      </w:r>
      <w:r w:rsidR="00AE23F7">
        <w:rPr>
          <w:rFonts w:ascii="Times New Roman" w:hAnsi="Times New Roman"/>
          <w:b w:val="0"/>
          <w:sz w:val="24"/>
          <w:szCs w:val="24"/>
        </w:rPr>
        <w:t xml:space="preserve">reporting standard specifies the information that must be provided, and attaches the related instructions specifying how the form is to be completed. </w:t>
      </w:r>
      <w:r w:rsidR="005857D9">
        <w:rPr>
          <w:rFonts w:ascii="Times New Roman" w:hAnsi="Times New Roman"/>
          <w:b w:val="0"/>
          <w:sz w:val="24"/>
          <w:szCs w:val="24"/>
        </w:rPr>
        <w:t xml:space="preserve">It </w:t>
      </w:r>
      <w:r w:rsidR="00AE23F7">
        <w:rPr>
          <w:rFonts w:ascii="Times New Roman" w:hAnsi="Times New Roman"/>
          <w:b w:val="0"/>
          <w:sz w:val="24"/>
          <w:szCs w:val="24"/>
        </w:rPr>
        <w:t>set</w:t>
      </w:r>
      <w:r w:rsidR="005857D9">
        <w:rPr>
          <w:rFonts w:ascii="Times New Roman" w:hAnsi="Times New Roman"/>
          <w:b w:val="0"/>
          <w:sz w:val="24"/>
          <w:szCs w:val="24"/>
        </w:rPr>
        <w:t>s</w:t>
      </w:r>
      <w:r w:rsidR="00AE23F7">
        <w:rPr>
          <w:rFonts w:ascii="Times New Roman" w:hAnsi="Times New Roman"/>
          <w:b w:val="0"/>
          <w:sz w:val="24"/>
          <w:szCs w:val="24"/>
        </w:rPr>
        <w:t xml:space="preserve"> out:</w:t>
      </w:r>
    </w:p>
    <w:p w14:paraId="451A7E4F" w14:textId="77777777" w:rsidR="00AE23F7" w:rsidRDefault="00AE23F7" w:rsidP="00AE23F7">
      <w:pPr>
        <w:pStyle w:val="Heading"/>
        <w:keepNext/>
        <w:numPr>
          <w:ilvl w:val="0"/>
          <w:numId w:val="8"/>
        </w:numPr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purpose for which data is being collected;</w:t>
      </w:r>
    </w:p>
    <w:p w14:paraId="246C7843" w14:textId="77777777" w:rsidR="00AE23F7" w:rsidRDefault="00AE23F7" w:rsidP="00AE23F7">
      <w:pPr>
        <w:pStyle w:val="Heading"/>
        <w:keepNext/>
        <w:numPr>
          <w:ilvl w:val="0"/>
          <w:numId w:val="8"/>
        </w:numPr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legal authority under which it is collected;</w:t>
      </w:r>
    </w:p>
    <w:p w14:paraId="704E7AD4" w14:textId="77777777" w:rsidR="00AE23F7" w:rsidRDefault="00AE23F7" w:rsidP="00AE23F7">
      <w:pPr>
        <w:pStyle w:val="Heading"/>
        <w:keepNext/>
        <w:numPr>
          <w:ilvl w:val="0"/>
          <w:numId w:val="8"/>
        </w:numPr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that specified data in an attached form is to be provided according to prescribed instructions; </w:t>
      </w:r>
    </w:p>
    <w:p w14:paraId="0DCB04B7" w14:textId="77777777" w:rsidR="00AE23F7" w:rsidRDefault="00AE23F7" w:rsidP="00AE23F7">
      <w:pPr>
        <w:pStyle w:val="Heading"/>
        <w:keepNext/>
        <w:numPr>
          <w:ilvl w:val="0"/>
          <w:numId w:val="8"/>
        </w:numPr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method and timing for submission;</w:t>
      </w:r>
    </w:p>
    <w:p w14:paraId="408090F6" w14:textId="77777777" w:rsidR="00AE23F7" w:rsidRDefault="00AE23F7" w:rsidP="00AE23F7">
      <w:pPr>
        <w:pStyle w:val="Heading"/>
        <w:keepNext/>
        <w:numPr>
          <w:ilvl w:val="0"/>
          <w:numId w:val="8"/>
        </w:numPr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required approach to auditing and quality control; and</w:t>
      </w:r>
    </w:p>
    <w:p w14:paraId="1F45F4DA" w14:textId="77777777" w:rsidR="00AE23F7" w:rsidRDefault="00AE23F7" w:rsidP="00AE23F7">
      <w:pPr>
        <w:pStyle w:val="Heading"/>
        <w:keepNext/>
        <w:numPr>
          <w:ilvl w:val="0"/>
          <w:numId w:val="8"/>
        </w:numPr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who can authorise the submission of data on behalf of a private health insurer. </w:t>
      </w:r>
    </w:p>
    <w:p w14:paraId="59CF0D9C" w14:textId="77777777" w:rsidR="002436BD" w:rsidRDefault="002436BD" w:rsidP="00AE23F7">
      <w:pPr>
        <w:pStyle w:val="Heading"/>
        <w:keepNext/>
        <w:numPr>
          <w:ilvl w:val="0"/>
          <w:numId w:val="2"/>
        </w:numPr>
        <w:spacing w:after="240"/>
        <w:ind w:left="357" w:hanging="357"/>
        <w:rPr>
          <w:rFonts w:ascii="Times New Roman" w:hAnsi="Times New Roman"/>
          <w:sz w:val="24"/>
          <w:szCs w:val="24"/>
        </w:rPr>
      </w:pPr>
      <w:bookmarkStart w:id="4" w:name="bkPurpose"/>
      <w:bookmarkStart w:id="5" w:name="bkoperation"/>
      <w:bookmarkStart w:id="6" w:name="bkConsultationNo"/>
      <w:bookmarkEnd w:id="4"/>
      <w:bookmarkEnd w:id="5"/>
      <w:bookmarkEnd w:id="6"/>
      <w:r w:rsidRPr="002C6D26">
        <w:rPr>
          <w:rFonts w:ascii="Times New Roman" w:hAnsi="Times New Roman"/>
          <w:sz w:val="24"/>
          <w:szCs w:val="24"/>
        </w:rPr>
        <w:t>Consultation</w:t>
      </w:r>
    </w:p>
    <w:p w14:paraId="7749FF46" w14:textId="43C18A2F" w:rsidR="001B75F0" w:rsidRDefault="00124C8C" w:rsidP="00D85E77">
      <w:pPr>
        <w:pStyle w:val="Heading"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private health insurance industry and the Department of Health were consulted in the preparation of this reporting standard.</w:t>
      </w:r>
      <w:r w:rsidRPr="00124C8C">
        <w:rPr>
          <w:rFonts w:ascii="Times New Roman" w:hAnsi="Times New Roman"/>
          <w:b w:val="0"/>
          <w:sz w:val="24"/>
          <w:szCs w:val="24"/>
        </w:rPr>
        <w:t xml:space="preserve"> </w:t>
      </w:r>
      <w:r w:rsidR="001B75F0">
        <w:rPr>
          <w:rFonts w:ascii="Times New Roman" w:hAnsi="Times New Roman"/>
          <w:b w:val="0"/>
          <w:sz w:val="24"/>
          <w:szCs w:val="24"/>
        </w:rPr>
        <w:t>A</w:t>
      </w:r>
      <w:r w:rsidR="003F6254">
        <w:rPr>
          <w:rFonts w:ascii="Times New Roman" w:hAnsi="Times New Roman"/>
          <w:b w:val="0"/>
          <w:sz w:val="24"/>
          <w:szCs w:val="24"/>
        </w:rPr>
        <w:t>PRA released</w:t>
      </w:r>
      <w:r w:rsidR="001B75F0">
        <w:rPr>
          <w:rFonts w:ascii="Times New Roman" w:hAnsi="Times New Roman"/>
          <w:b w:val="0"/>
          <w:sz w:val="24"/>
          <w:szCs w:val="24"/>
        </w:rPr>
        <w:t xml:space="preserve"> </w:t>
      </w:r>
      <w:r w:rsidR="003F6254">
        <w:rPr>
          <w:rFonts w:ascii="Times New Roman" w:hAnsi="Times New Roman"/>
          <w:b w:val="0"/>
          <w:sz w:val="24"/>
          <w:szCs w:val="24"/>
        </w:rPr>
        <w:t>a draft of this instrument</w:t>
      </w:r>
      <w:r w:rsidR="001B75F0">
        <w:rPr>
          <w:rFonts w:ascii="Times New Roman" w:hAnsi="Times New Roman"/>
          <w:b w:val="0"/>
          <w:sz w:val="24"/>
          <w:szCs w:val="24"/>
        </w:rPr>
        <w:t xml:space="preserve"> for a four week consultation period on 25 July 2016. All </w:t>
      </w:r>
      <w:r w:rsidR="003F6254">
        <w:rPr>
          <w:rFonts w:ascii="Times New Roman" w:hAnsi="Times New Roman"/>
          <w:b w:val="0"/>
          <w:sz w:val="24"/>
          <w:szCs w:val="24"/>
        </w:rPr>
        <w:t xml:space="preserve">submissions </w:t>
      </w:r>
      <w:r w:rsidR="001B75F0">
        <w:rPr>
          <w:rFonts w:ascii="Times New Roman" w:hAnsi="Times New Roman"/>
          <w:b w:val="0"/>
          <w:sz w:val="24"/>
          <w:szCs w:val="24"/>
        </w:rPr>
        <w:t>were supportive of the document and no changes were necessary.</w:t>
      </w:r>
    </w:p>
    <w:p w14:paraId="769866A3" w14:textId="77777777" w:rsidR="002436BD" w:rsidRDefault="00DF524E" w:rsidP="006C3AA6">
      <w:pPr>
        <w:pStyle w:val="Heading"/>
        <w:keepNext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bookmarkStart w:id="7" w:name="bkConsultation"/>
      <w:bookmarkStart w:id="8" w:name="bkRISNO"/>
      <w:bookmarkStart w:id="9" w:name="bkRIS"/>
      <w:bookmarkEnd w:id="7"/>
      <w:bookmarkEnd w:id="8"/>
      <w:r>
        <w:rPr>
          <w:rFonts w:ascii="Times New Roman" w:hAnsi="Times New Roman"/>
          <w:sz w:val="24"/>
          <w:szCs w:val="24"/>
        </w:rPr>
        <w:t>4</w:t>
      </w:r>
      <w:r w:rsidR="002436BD" w:rsidRPr="002C6D26">
        <w:rPr>
          <w:rFonts w:ascii="Times New Roman" w:hAnsi="Times New Roman"/>
          <w:sz w:val="24"/>
          <w:szCs w:val="24"/>
        </w:rPr>
        <w:t xml:space="preserve">. </w:t>
      </w:r>
      <w:r w:rsidR="002436BD" w:rsidRPr="002C6D26">
        <w:rPr>
          <w:rFonts w:ascii="Times New Roman" w:hAnsi="Times New Roman"/>
          <w:sz w:val="24"/>
          <w:szCs w:val="24"/>
        </w:rPr>
        <w:tab/>
        <w:t>R</w:t>
      </w:r>
      <w:r w:rsidR="002436BD">
        <w:rPr>
          <w:rFonts w:ascii="Times New Roman" w:hAnsi="Times New Roman"/>
          <w:sz w:val="24"/>
          <w:szCs w:val="24"/>
        </w:rPr>
        <w:t xml:space="preserve">egulation </w:t>
      </w:r>
      <w:r w:rsidR="002436BD" w:rsidRPr="002C6D26">
        <w:rPr>
          <w:rFonts w:ascii="Times New Roman" w:hAnsi="Times New Roman"/>
          <w:sz w:val="24"/>
          <w:szCs w:val="24"/>
        </w:rPr>
        <w:t>I</w:t>
      </w:r>
      <w:r w:rsidR="002436BD">
        <w:rPr>
          <w:rFonts w:ascii="Times New Roman" w:hAnsi="Times New Roman"/>
          <w:sz w:val="24"/>
          <w:szCs w:val="24"/>
        </w:rPr>
        <w:t xml:space="preserve">mpact </w:t>
      </w:r>
      <w:r w:rsidR="002436BD" w:rsidRPr="002C6D26">
        <w:rPr>
          <w:rFonts w:ascii="Times New Roman" w:hAnsi="Times New Roman"/>
          <w:sz w:val="24"/>
          <w:szCs w:val="24"/>
        </w:rPr>
        <w:t>S</w:t>
      </w:r>
      <w:r w:rsidR="002436BD">
        <w:rPr>
          <w:rFonts w:ascii="Times New Roman" w:hAnsi="Times New Roman"/>
          <w:sz w:val="24"/>
          <w:szCs w:val="24"/>
        </w:rPr>
        <w:t>tatement</w:t>
      </w:r>
    </w:p>
    <w:bookmarkEnd w:id="9"/>
    <w:p w14:paraId="4FA664F0" w14:textId="77777777" w:rsidR="00D3484E" w:rsidRDefault="00D3484E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D3484E">
        <w:rPr>
          <w:rFonts w:ascii="Times New Roman" w:hAnsi="Times New Roman"/>
          <w:b w:val="0"/>
          <w:sz w:val="24"/>
          <w:szCs w:val="24"/>
        </w:rPr>
        <w:t xml:space="preserve">The Office of Best Practice Regulation </w:t>
      </w:r>
      <w:r>
        <w:rPr>
          <w:rFonts w:ascii="Times New Roman" w:hAnsi="Times New Roman"/>
          <w:b w:val="0"/>
          <w:sz w:val="24"/>
          <w:szCs w:val="24"/>
        </w:rPr>
        <w:t>h</w:t>
      </w:r>
      <w:r w:rsidRPr="00D3484E">
        <w:rPr>
          <w:rFonts w:ascii="Times New Roman" w:hAnsi="Times New Roman"/>
          <w:b w:val="0"/>
          <w:sz w:val="24"/>
          <w:szCs w:val="24"/>
        </w:rPr>
        <w:t xml:space="preserve">as advised that a Regulation Impact Statement </w:t>
      </w:r>
      <w:r w:rsidR="00290946">
        <w:rPr>
          <w:rFonts w:ascii="Times New Roman" w:hAnsi="Times New Roman"/>
          <w:b w:val="0"/>
          <w:sz w:val="24"/>
          <w:szCs w:val="24"/>
        </w:rPr>
        <w:t>is not required</w:t>
      </w:r>
      <w:r w:rsidR="007F3C95">
        <w:rPr>
          <w:rFonts w:ascii="Times New Roman" w:hAnsi="Times New Roman"/>
          <w:b w:val="0"/>
          <w:sz w:val="24"/>
          <w:szCs w:val="24"/>
        </w:rPr>
        <w:t xml:space="preserve"> for th</w:t>
      </w:r>
      <w:r w:rsidR="00597CA9">
        <w:rPr>
          <w:rFonts w:ascii="Times New Roman" w:hAnsi="Times New Roman"/>
          <w:b w:val="0"/>
          <w:sz w:val="24"/>
          <w:szCs w:val="24"/>
        </w:rPr>
        <w:t>is legislative</w:t>
      </w:r>
      <w:r w:rsidR="007F3C95">
        <w:rPr>
          <w:rFonts w:ascii="Times New Roman" w:hAnsi="Times New Roman"/>
          <w:b w:val="0"/>
          <w:sz w:val="24"/>
          <w:szCs w:val="24"/>
        </w:rPr>
        <w:t xml:space="preserve"> instrument</w:t>
      </w:r>
      <w:r w:rsidRPr="00D3484E">
        <w:rPr>
          <w:rFonts w:ascii="Times New Roman" w:hAnsi="Times New Roman"/>
          <w:b w:val="0"/>
          <w:sz w:val="24"/>
          <w:szCs w:val="24"/>
        </w:rPr>
        <w:t>.</w:t>
      </w:r>
    </w:p>
    <w:p w14:paraId="3D7B306B" w14:textId="77777777" w:rsidR="002436BD" w:rsidRPr="00B3165F" w:rsidRDefault="00DF524E" w:rsidP="00D85E77">
      <w:pPr>
        <w:pStyle w:val="Heading"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36BD" w:rsidRPr="00B3165F">
        <w:rPr>
          <w:rFonts w:ascii="Times New Roman" w:hAnsi="Times New Roman"/>
          <w:sz w:val="24"/>
          <w:szCs w:val="24"/>
        </w:rPr>
        <w:t>.</w:t>
      </w:r>
      <w:r w:rsidR="002436BD" w:rsidRPr="00B3165F">
        <w:rPr>
          <w:rFonts w:ascii="Times New Roman" w:hAnsi="Times New Roman"/>
          <w:sz w:val="24"/>
          <w:szCs w:val="24"/>
        </w:rPr>
        <w:tab/>
        <w:t>Statement of compatibility prepared in accordance with Part 3 of the Human Rights (Parliamentary Scrutiny) Act 2011</w:t>
      </w:r>
    </w:p>
    <w:p w14:paraId="39FD3B8F" w14:textId="77777777" w:rsidR="002436BD" w:rsidRDefault="0030506B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30506B">
        <w:rPr>
          <w:rFonts w:ascii="Times New Roman" w:hAnsi="Times New Roman"/>
          <w:b w:val="0"/>
          <w:sz w:val="24"/>
          <w:szCs w:val="24"/>
        </w:rPr>
        <w:t xml:space="preserve">A Statement of compatibility prepared in accordance with Part 3 of the </w:t>
      </w:r>
      <w:r w:rsidRPr="0030506B">
        <w:rPr>
          <w:rFonts w:ascii="Times New Roman" w:hAnsi="Times New Roman"/>
          <w:b w:val="0"/>
          <w:i/>
          <w:sz w:val="24"/>
          <w:szCs w:val="24"/>
        </w:rPr>
        <w:t>Human Rights (Parliamentary Scrutiny) Act 2011</w:t>
      </w:r>
      <w:r w:rsidRPr="0030506B">
        <w:rPr>
          <w:rFonts w:ascii="Times New Roman" w:hAnsi="Times New Roman"/>
          <w:b w:val="0"/>
          <w:sz w:val="24"/>
          <w:szCs w:val="24"/>
        </w:rPr>
        <w:t xml:space="preserve"> is provided at Attachment A to this Explanatory Statement.</w:t>
      </w:r>
    </w:p>
    <w:p w14:paraId="42E2A9C0" w14:textId="77777777" w:rsidR="00FB2570" w:rsidRDefault="00FB2570">
      <w:r>
        <w:br w:type="page"/>
      </w:r>
    </w:p>
    <w:p w14:paraId="0C970B90" w14:textId="77777777" w:rsidR="00B04B20" w:rsidRPr="006C3AA6" w:rsidRDefault="00FB2570" w:rsidP="00D85E77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6C3AA6">
        <w:rPr>
          <w:rFonts w:ascii="Times New Roman" w:hAnsi="Times New Roman"/>
          <w:b/>
          <w:sz w:val="24"/>
          <w:szCs w:val="24"/>
        </w:rPr>
        <w:lastRenderedPageBreak/>
        <w:t>Attachment A</w:t>
      </w:r>
    </w:p>
    <w:p w14:paraId="19A33A81" w14:textId="77777777" w:rsidR="006C3AA6" w:rsidRPr="006C3AA6" w:rsidRDefault="006C3AA6" w:rsidP="006C3AA6">
      <w:pPr>
        <w:spacing w:before="100" w:beforeAutospacing="1" w:after="240"/>
        <w:jc w:val="center"/>
        <w:rPr>
          <w:rFonts w:ascii="Helvetica Neue" w:hAnsi="Helvetica Neue"/>
          <w:b/>
          <w:sz w:val="19"/>
          <w:szCs w:val="19"/>
        </w:rPr>
      </w:pPr>
      <w:r w:rsidRPr="006C3AA6">
        <w:rPr>
          <w:rFonts w:ascii="Times New Roman" w:hAnsi="Times New Roman"/>
          <w:b/>
          <w:sz w:val="24"/>
          <w:szCs w:val="24"/>
        </w:rPr>
        <w:t>Statement of Compatibility with Human Rights</w:t>
      </w:r>
    </w:p>
    <w:p w14:paraId="26081A44" w14:textId="77777777" w:rsidR="006C3AA6" w:rsidRPr="006C3AA6" w:rsidRDefault="006C3AA6" w:rsidP="006C3AA6">
      <w:pPr>
        <w:spacing w:before="100" w:beforeAutospacing="1" w:after="240"/>
        <w:rPr>
          <w:rFonts w:ascii="Helvetica Neue" w:hAnsi="Helvetica Neue"/>
          <w:sz w:val="19"/>
          <w:szCs w:val="19"/>
        </w:rPr>
      </w:pPr>
      <w:r w:rsidRPr="006C3AA6">
        <w:rPr>
          <w:rFonts w:ascii="Times New Roman" w:hAnsi="Times New Roman"/>
          <w:i/>
          <w:iCs/>
          <w:sz w:val="24"/>
          <w:szCs w:val="24"/>
        </w:rPr>
        <w:t>Prepared in accordance with Part 3 of the Human Rights (Parliamentary Scrutiny) Act 2011</w:t>
      </w:r>
    </w:p>
    <w:p w14:paraId="1FE46D69" w14:textId="77777777" w:rsidR="00040F40" w:rsidRPr="002C6D26" w:rsidRDefault="00040F40" w:rsidP="00040F40">
      <w:pPr>
        <w:pStyle w:val="Heading"/>
        <w:spacing w:after="240"/>
        <w:jc w:val="left"/>
        <w:rPr>
          <w:rFonts w:ascii="Times New Roman" w:hAnsi="Times New Roman"/>
          <w:sz w:val="24"/>
          <w:szCs w:val="24"/>
        </w:rPr>
      </w:pPr>
      <w:r w:rsidRPr="00E62E09">
        <w:rPr>
          <w:rFonts w:ascii="Times New Roman" w:hAnsi="Times New Roman"/>
          <w:sz w:val="24"/>
          <w:szCs w:val="24"/>
        </w:rPr>
        <w:t>Financial Sector (Collection of Data) (reporting standard)</w:t>
      </w:r>
      <w:r>
        <w:rPr>
          <w:rFonts w:ascii="Times New Roman" w:hAnsi="Times New Roman"/>
          <w:sz w:val="24"/>
          <w:szCs w:val="24"/>
        </w:rPr>
        <w:t xml:space="preserve"> </w:t>
      </w:r>
      <w:r w:rsidR="00724585">
        <w:rPr>
          <w:rFonts w:ascii="Times New Roman" w:hAnsi="Times New Roman"/>
          <w:sz w:val="24"/>
          <w:szCs w:val="24"/>
        </w:rPr>
        <w:t xml:space="preserve">determination No </w:t>
      </w:r>
      <w:r w:rsidR="00663517">
        <w:rPr>
          <w:rFonts w:ascii="Times New Roman" w:hAnsi="Times New Roman"/>
          <w:sz w:val="24"/>
          <w:szCs w:val="24"/>
        </w:rPr>
        <w:t>22</w:t>
      </w:r>
      <w:r w:rsidR="001B75F0">
        <w:rPr>
          <w:rFonts w:ascii="Times New Roman" w:hAnsi="Times New Roman"/>
          <w:sz w:val="24"/>
          <w:szCs w:val="24"/>
        </w:rPr>
        <w:t xml:space="preserve"> of 2016</w:t>
      </w:r>
    </w:p>
    <w:p w14:paraId="19460C4B" w14:textId="77777777" w:rsidR="006C3AA6" w:rsidRPr="006C3AA6" w:rsidRDefault="006C3AA6" w:rsidP="006C3AA6">
      <w:p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6C3AA6">
        <w:rPr>
          <w:rFonts w:ascii="Times New Roman" w:hAnsi="Times New Roman"/>
          <w:sz w:val="24"/>
          <w:szCs w:val="24"/>
        </w:rPr>
        <w:t>Th</w:t>
      </w:r>
      <w:r w:rsidR="009B482C">
        <w:rPr>
          <w:rFonts w:ascii="Times New Roman" w:hAnsi="Times New Roman"/>
          <w:sz w:val="24"/>
          <w:szCs w:val="24"/>
        </w:rPr>
        <w:t>is</w:t>
      </w:r>
      <w:r w:rsidRPr="006C3AA6">
        <w:rPr>
          <w:rFonts w:ascii="Times New Roman" w:hAnsi="Times New Roman"/>
          <w:sz w:val="24"/>
          <w:szCs w:val="24"/>
        </w:rPr>
        <w:t xml:space="preserve"> Legislative Instrument </w:t>
      </w:r>
      <w:r w:rsidR="009B482C">
        <w:rPr>
          <w:rFonts w:ascii="Times New Roman" w:hAnsi="Times New Roman"/>
          <w:sz w:val="24"/>
          <w:szCs w:val="24"/>
        </w:rPr>
        <w:t xml:space="preserve">is </w:t>
      </w:r>
      <w:r w:rsidRPr="006C3AA6">
        <w:rPr>
          <w:rFonts w:ascii="Times New Roman" w:hAnsi="Times New Roman"/>
          <w:sz w:val="24"/>
          <w:szCs w:val="24"/>
        </w:rPr>
        <w:t xml:space="preserve">compatible with the human rights and freedoms recognised or declared in the international instruments listed in section 3 of the </w:t>
      </w:r>
      <w:r w:rsidRPr="006C3AA6">
        <w:rPr>
          <w:rFonts w:ascii="Times New Roman" w:hAnsi="Times New Roman"/>
          <w:i/>
          <w:iCs/>
          <w:sz w:val="24"/>
          <w:szCs w:val="24"/>
        </w:rPr>
        <w:t>Human Rights (Parliamentary Scrutiny) Act 2011</w:t>
      </w:r>
      <w:r w:rsidRPr="006C3AA6">
        <w:rPr>
          <w:rFonts w:ascii="Times New Roman" w:hAnsi="Times New Roman"/>
          <w:sz w:val="24"/>
          <w:szCs w:val="24"/>
        </w:rPr>
        <w:t xml:space="preserve"> (HRPS Act).</w:t>
      </w:r>
    </w:p>
    <w:p w14:paraId="2F526719" w14:textId="77777777" w:rsidR="006C3AA6" w:rsidRPr="006C3AA6" w:rsidRDefault="006C3AA6" w:rsidP="006C3AA6">
      <w:p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6C3AA6">
        <w:rPr>
          <w:rFonts w:ascii="Times New Roman" w:hAnsi="Times New Roman"/>
          <w:b/>
          <w:bCs/>
          <w:sz w:val="24"/>
          <w:szCs w:val="24"/>
        </w:rPr>
        <w:t xml:space="preserve">Overview of the Legislative Instrument </w:t>
      </w:r>
    </w:p>
    <w:p w14:paraId="0749F95C" w14:textId="77777777" w:rsidR="006C3AA6" w:rsidRPr="006C3AA6" w:rsidRDefault="00724585" w:rsidP="006C3AA6">
      <w:p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</w:t>
      </w:r>
      <w:r w:rsidR="006C3AA6" w:rsidRPr="006C3AA6">
        <w:rPr>
          <w:rFonts w:ascii="Times New Roman" w:hAnsi="Times New Roman"/>
          <w:sz w:val="24"/>
          <w:szCs w:val="24"/>
        </w:rPr>
        <w:t xml:space="preserve"> Legislative Instrument </w:t>
      </w:r>
      <w:r w:rsidR="002A344D">
        <w:rPr>
          <w:rFonts w:ascii="Times New Roman" w:hAnsi="Times New Roman"/>
          <w:sz w:val="24"/>
          <w:szCs w:val="24"/>
        </w:rPr>
        <w:t>prescribe</w:t>
      </w:r>
      <w:r>
        <w:rPr>
          <w:rFonts w:ascii="Times New Roman" w:hAnsi="Times New Roman"/>
          <w:sz w:val="24"/>
          <w:szCs w:val="24"/>
        </w:rPr>
        <w:t>s</w:t>
      </w:r>
      <w:r w:rsidR="002A344D">
        <w:rPr>
          <w:rFonts w:ascii="Times New Roman" w:hAnsi="Times New Roman"/>
          <w:sz w:val="24"/>
          <w:szCs w:val="24"/>
        </w:rPr>
        <w:t xml:space="preserve"> requirements</w:t>
      </w:r>
      <w:r w:rsidR="00094E9D">
        <w:rPr>
          <w:rFonts w:ascii="Times New Roman" w:hAnsi="Times New Roman"/>
          <w:sz w:val="24"/>
          <w:szCs w:val="24"/>
        </w:rPr>
        <w:t xml:space="preserve"> applicable to private health insurers</w:t>
      </w:r>
      <w:r w:rsidR="0088602C">
        <w:rPr>
          <w:rFonts w:ascii="Times New Roman" w:hAnsi="Times New Roman"/>
          <w:sz w:val="24"/>
          <w:szCs w:val="24"/>
        </w:rPr>
        <w:t xml:space="preserve">, </w:t>
      </w:r>
      <w:r w:rsidR="00D17CF9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provide for the administration of the RETF</w:t>
      </w:r>
      <w:r w:rsidR="001B75F0">
        <w:rPr>
          <w:rFonts w:ascii="Times New Roman" w:hAnsi="Times New Roman"/>
          <w:sz w:val="24"/>
          <w:szCs w:val="24"/>
        </w:rPr>
        <w:t xml:space="preserve"> and provides for the collection of data relating to Norfolk Island residents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BEFF8A4" w14:textId="77777777" w:rsidR="006C3AA6" w:rsidRPr="006C3AA6" w:rsidRDefault="006C3AA6" w:rsidP="006C3AA6">
      <w:p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6C3AA6">
        <w:rPr>
          <w:rFonts w:ascii="Times New Roman" w:hAnsi="Times New Roman"/>
          <w:b/>
          <w:bCs/>
          <w:sz w:val="24"/>
          <w:szCs w:val="24"/>
        </w:rPr>
        <w:t>Human rights implications</w:t>
      </w:r>
    </w:p>
    <w:p w14:paraId="00228A97" w14:textId="77777777" w:rsidR="006C3AA6" w:rsidRPr="006C3AA6" w:rsidRDefault="006C3AA6" w:rsidP="006C3AA6">
      <w:p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6C3AA6">
        <w:rPr>
          <w:rFonts w:ascii="Times New Roman" w:hAnsi="Times New Roman"/>
          <w:sz w:val="24"/>
          <w:szCs w:val="24"/>
        </w:rPr>
        <w:t>APRA has assessed th</w:t>
      </w:r>
      <w:r w:rsidR="009B482C">
        <w:rPr>
          <w:rFonts w:ascii="Times New Roman" w:hAnsi="Times New Roman"/>
          <w:sz w:val="24"/>
          <w:szCs w:val="24"/>
        </w:rPr>
        <w:t>is</w:t>
      </w:r>
      <w:r w:rsidRPr="006C3AA6">
        <w:rPr>
          <w:rFonts w:ascii="Times New Roman" w:hAnsi="Times New Roman"/>
          <w:sz w:val="24"/>
          <w:szCs w:val="24"/>
        </w:rPr>
        <w:t xml:space="preserve"> Legislative Instrument and is of the view </w:t>
      </w:r>
      <w:r w:rsidR="009B482C">
        <w:rPr>
          <w:rFonts w:ascii="Times New Roman" w:hAnsi="Times New Roman"/>
          <w:sz w:val="24"/>
          <w:szCs w:val="24"/>
        </w:rPr>
        <w:t>it</w:t>
      </w:r>
      <w:r w:rsidRPr="006C3AA6">
        <w:rPr>
          <w:rFonts w:ascii="Times New Roman" w:hAnsi="Times New Roman"/>
          <w:sz w:val="24"/>
          <w:szCs w:val="24"/>
        </w:rPr>
        <w:t xml:space="preserve"> do</w:t>
      </w:r>
      <w:r w:rsidR="009B482C">
        <w:rPr>
          <w:rFonts w:ascii="Times New Roman" w:hAnsi="Times New Roman"/>
          <w:sz w:val="24"/>
          <w:szCs w:val="24"/>
        </w:rPr>
        <w:t>es</w:t>
      </w:r>
      <w:r w:rsidRPr="006C3AA6">
        <w:rPr>
          <w:rFonts w:ascii="Times New Roman" w:hAnsi="Times New Roman"/>
          <w:sz w:val="24"/>
          <w:szCs w:val="24"/>
        </w:rPr>
        <w:t xml:space="preserve"> not engage any of the applicable rights or freedoms recognised or declared in the international instruments listed in section 3 of the HRPS Act. Accordingly, in AP</w:t>
      </w:r>
      <w:r w:rsidR="00663517">
        <w:rPr>
          <w:rFonts w:ascii="Times New Roman" w:hAnsi="Times New Roman"/>
          <w:sz w:val="24"/>
          <w:szCs w:val="24"/>
        </w:rPr>
        <w:t xml:space="preserve">RA’s assessment, the instrument is </w:t>
      </w:r>
      <w:r w:rsidRPr="006C3AA6">
        <w:rPr>
          <w:rFonts w:ascii="Times New Roman" w:hAnsi="Times New Roman"/>
          <w:sz w:val="24"/>
          <w:szCs w:val="24"/>
        </w:rPr>
        <w:t>compatible with human rights.</w:t>
      </w:r>
    </w:p>
    <w:p w14:paraId="482B829F" w14:textId="77777777" w:rsidR="006C3AA6" w:rsidRPr="006C3AA6" w:rsidRDefault="006C3AA6" w:rsidP="006C3AA6">
      <w:p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6C3AA6">
        <w:rPr>
          <w:rFonts w:ascii="Times New Roman" w:hAnsi="Times New Roman"/>
          <w:b/>
          <w:bCs/>
          <w:sz w:val="24"/>
          <w:szCs w:val="24"/>
        </w:rPr>
        <w:t>Conclusion</w:t>
      </w:r>
    </w:p>
    <w:p w14:paraId="483ED758" w14:textId="77777777" w:rsidR="006C3AA6" w:rsidRPr="006C3AA6" w:rsidRDefault="006C3AA6" w:rsidP="006C3AA6">
      <w:p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6C3AA6">
        <w:rPr>
          <w:rFonts w:ascii="Times New Roman" w:hAnsi="Times New Roman"/>
          <w:sz w:val="24"/>
          <w:szCs w:val="24"/>
        </w:rPr>
        <w:t>Th</w:t>
      </w:r>
      <w:r w:rsidR="009B482C">
        <w:rPr>
          <w:rFonts w:ascii="Times New Roman" w:hAnsi="Times New Roman"/>
          <w:sz w:val="24"/>
          <w:szCs w:val="24"/>
        </w:rPr>
        <w:t xml:space="preserve">is </w:t>
      </w:r>
      <w:r w:rsidRPr="006C3AA6">
        <w:rPr>
          <w:rFonts w:ascii="Times New Roman" w:hAnsi="Times New Roman"/>
          <w:sz w:val="24"/>
          <w:szCs w:val="24"/>
        </w:rPr>
        <w:t xml:space="preserve">Legislative Instrument </w:t>
      </w:r>
      <w:r w:rsidR="009B482C">
        <w:rPr>
          <w:rFonts w:ascii="Times New Roman" w:hAnsi="Times New Roman"/>
          <w:sz w:val="24"/>
          <w:szCs w:val="24"/>
        </w:rPr>
        <w:t>is</w:t>
      </w:r>
      <w:r w:rsidRPr="006C3AA6">
        <w:rPr>
          <w:rFonts w:ascii="Times New Roman" w:hAnsi="Times New Roman"/>
          <w:sz w:val="24"/>
          <w:szCs w:val="24"/>
        </w:rPr>
        <w:t xml:space="preserve"> compatible with human rights because </w:t>
      </w:r>
      <w:r w:rsidR="0077484D">
        <w:rPr>
          <w:rFonts w:ascii="Times New Roman" w:hAnsi="Times New Roman"/>
          <w:sz w:val="24"/>
          <w:szCs w:val="24"/>
        </w:rPr>
        <w:t>it</w:t>
      </w:r>
      <w:r w:rsidRPr="006C3AA6">
        <w:rPr>
          <w:rFonts w:ascii="Times New Roman" w:hAnsi="Times New Roman"/>
          <w:sz w:val="24"/>
          <w:szCs w:val="24"/>
        </w:rPr>
        <w:t xml:space="preserve"> do</w:t>
      </w:r>
      <w:r w:rsidR="0077484D">
        <w:rPr>
          <w:rFonts w:ascii="Times New Roman" w:hAnsi="Times New Roman"/>
          <w:sz w:val="24"/>
          <w:szCs w:val="24"/>
        </w:rPr>
        <w:t>es</w:t>
      </w:r>
      <w:r w:rsidRPr="006C3AA6">
        <w:rPr>
          <w:rFonts w:ascii="Times New Roman" w:hAnsi="Times New Roman"/>
          <w:sz w:val="24"/>
          <w:szCs w:val="24"/>
        </w:rPr>
        <w:t xml:space="preserve"> not raise any human rights issues.</w:t>
      </w:r>
    </w:p>
    <w:p w14:paraId="2DD81B12" w14:textId="77777777" w:rsidR="006C3AA6" w:rsidRPr="00FA5345" w:rsidRDefault="006C3AA6" w:rsidP="00D85E77">
      <w:pPr>
        <w:spacing w:after="240"/>
        <w:jc w:val="both"/>
      </w:pPr>
    </w:p>
    <w:sectPr w:rsidR="006C3AA6" w:rsidRPr="00FA5345" w:rsidSect="003D5032">
      <w:footerReference w:type="default" r:id="rId9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94EEC" w14:textId="77777777" w:rsidR="00C90124" w:rsidRDefault="00C90124" w:rsidP="00D85E77">
      <w:r>
        <w:separator/>
      </w:r>
    </w:p>
  </w:endnote>
  <w:endnote w:type="continuationSeparator" w:id="0">
    <w:p w14:paraId="6C9BE147" w14:textId="77777777" w:rsidR="00C90124" w:rsidRDefault="00C90124" w:rsidP="00D8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0825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ADE7D77" w14:textId="77777777" w:rsidR="00D85E77" w:rsidRPr="00D85E77" w:rsidRDefault="00D85E77" w:rsidP="00D85E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D85E77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D85E77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Pr="00D85E77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1255E6">
          <w:rPr>
            <w:rFonts w:ascii="Times New Roman" w:hAnsi="Times New Roman"/>
            <w:bCs/>
            <w:noProof/>
            <w:sz w:val="24"/>
            <w:szCs w:val="24"/>
          </w:rPr>
          <w:t>1</w:t>
        </w:r>
        <w:r w:rsidRPr="00D85E77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  <w:p w14:paraId="347FF707" w14:textId="77777777" w:rsidR="00D85E77" w:rsidRDefault="00D85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AA79A" w14:textId="77777777" w:rsidR="00C90124" w:rsidRDefault="00C90124" w:rsidP="00D85E77">
      <w:r>
        <w:separator/>
      </w:r>
    </w:p>
  </w:footnote>
  <w:footnote w:type="continuationSeparator" w:id="0">
    <w:p w14:paraId="7C0CDACF" w14:textId="77777777" w:rsidR="00C90124" w:rsidRDefault="00C90124" w:rsidP="00D85E77">
      <w:r>
        <w:continuationSeparator/>
      </w:r>
    </w:p>
  </w:footnote>
  <w:footnote w:id="1">
    <w:p w14:paraId="6FDB9A87" w14:textId="77777777" w:rsidR="00F55B24" w:rsidRPr="005857D9" w:rsidRDefault="00F55B24" w:rsidP="005857D9">
      <w:pPr>
        <w:pStyle w:val="FootnoteText"/>
        <w:tabs>
          <w:tab w:val="left" w:pos="567"/>
        </w:tabs>
        <w:ind w:left="567" w:hanging="567"/>
      </w:pPr>
      <w:r>
        <w:rPr>
          <w:rStyle w:val="FootnoteReference"/>
        </w:rPr>
        <w:footnoteRef/>
      </w:r>
      <w:r>
        <w:t xml:space="preserve"> </w:t>
      </w:r>
      <w:r w:rsidR="005857D9">
        <w:tab/>
      </w:r>
      <w:r w:rsidR="005857D9" w:rsidRPr="005857D9">
        <w:rPr>
          <w:rFonts w:ascii="Times New Roman" w:hAnsi="Times New Roman"/>
        </w:rPr>
        <w:t xml:space="preserve">Due to the changes made in the </w:t>
      </w:r>
      <w:hyperlink r:id="rId1" w:history="1">
        <w:r w:rsidR="005857D9" w:rsidRPr="00567D4B">
          <w:rPr>
            <w:rFonts w:ascii="Times New Roman" w:hAnsi="Times New Roman"/>
            <w:i/>
          </w:rPr>
          <w:t>Private Health Insurance Legislation Amendment (Risk Equalisation Jurisdiction) Rules 2016</w:t>
        </w:r>
      </w:hyperlink>
      <w:r w:rsidR="005857D9" w:rsidRPr="00567D4B">
        <w:rPr>
          <w:rFonts w:ascii="Times New Roman" w:hAnsi="Times New Roman"/>
        </w:rPr>
        <w:t xml:space="preserve">, APRA must determine whether data should be reported in the NSW section of the form or the ACT section of the form.  The </w:t>
      </w:r>
      <w:r w:rsidR="005857D9" w:rsidRPr="005857D9">
        <w:rPr>
          <w:rFonts w:ascii="Times New Roman" w:hAnsi="Times New Roman"/>
        </w:rPr>
        <w:t>requirement to report in the NSW section has no impact on the amount payable or receivable because the NSW and ACT are data combined before calculating the levy.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C49"/>
    <w:multiLevelType w:val="hybridMultilevel"/>
    <w:tmpl w:val="3722923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81249"/>
    <w:multiLevelType w:val="hybridMultilevel"/>
    <w:tmpl w:val="989038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87BC0"/>
    <w:multiLevelType w:val="hybridMultilevel"/>
    <w:tmpl w:val="4FB436F8"/>
    <w:lvl w:ilvl="0" w:tplc="6F8CE8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1F640B"/>
    <w:multiLevelType w:val="hybridMultilevel"/>
    <w:tmpl w:val="9990CC8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44575"/>
    <w:multiLevelType w:val="hybridMultilevel"/>
    <w:tmpl w:val="14A212C6"/>
    <w:lvl w:ilvl="0" w:tplc="988A605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777680"/>
    <w:multiLevelType w:val="hybridMultilevel"/>
    <w:tmpl w:val="168C3B0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A3D61"/>
    <w:multiLevelType w:val="hybridMultilevel"/>
    <w:tmpl w:val="F208E238"/>
    <w:lvl w:ilvl="0" w:tplc="8C88B6B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D52E9"/>
    <w:multiLevelType w:val="hybridMultilevel"/>
    <w:tmpl w:val="0B8EC75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6574A"/>
    <w:multiLevelType w:val="hybridMultilevel"/>
    <w:tmpl w:val="F7C2501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72"/>
    <w:rsid w:val="000401FC"/>
    <w:rsid w:val="00040F40"/>
    <w:rsid w:val="00044A77"/>
    <w:rsid w:val="00094E9D"/>
    <w:rsid w:val="000A3D8F"/>
    <w:rsid w:val="000B43FB"/>
    <w:rsid w:val="000B60B3"/>
    <w:rsid w:val="000D54E6"/>
    <w:rsid w:val="000D5A02"/>
    <w:rsid w:val="000E369C"/>
    <w:rsid w:val="000E4D81"/>
    <w:rsid w:val="000E6BDE"/>
    <w:rsid w:val="001065B1"/>
    <w:rsid w:val="001127C0"/>
    <w:rsid w:val="00124C8C"/>
    <w:rsid w:val="001255E6"/>
    <w:rsid w:val="001274CE"/>
    <w:rsid w:val="00144707"/>
    <w:rsid w:val="00163884"/>
    <w:rsid w:val="00167D2E"/>
    <w:rsid w:val="00170383"/>
    <w:rsid w:val="0017747E"/>
    <w:rsid w:val="00182FA1"/>
    <w:rsid w:val="00183EB4"/>
    <w:rsid w:val="00186952"/>
    <w:rsid w:val="0019087A"/>
    <w:rsid w:val="00196F2F"/>
    <w:rsid w:val="001A2EF3"/>
    <w:rsid w:val="001B126E"/>
    <w:rsid w:val="001B75F0"/>
    <w:rsid w:val="001C01EB"/>
    <w:rsid w:val="001D6A5E"/>
    <w:rsid w:val="002436BD"/>
    <w:rsid w:val="00246723"/>
    <w:rsid w:val="00260540"/>
    <w:rsid w:val="002651DA"/>
    <w:rsid w:val="00270A59"/>
    <w:rsid w:val="00290946"/>
    <w:rsid w:val="00291746"/>
    <w:rsid w:val="002A1111"/>
    <w:rsid w:val="002A344D"/>
    <w:rsid w:val="002A73BD"/>
    <w:rsid w:val="002B6568"/>
    <w:rsid w:val="002C4B6E"/>
    <w:rsid w:val="002C7E35"/>
    <w:rsid w:val="002D7288"/>
    <w:rsid w:val="002F0613"/>
    <w:rsid w:val="0030361F"/>
    <w:rsid w:val="0030506B"/>
    <w:rsid w:val="00310CF8"/>
    <w:rsid w:val="0033539D"/>
    <w:rsid w:val="00336BE5"/>
    <w:rsid w:val="003432C7"/>
    <w:rsid w:val="00343930"/>
    <w:rsid w:val="003512CB"/>
    <w:rsid w:val="00354CB8"/>
    <w:rsid w:val="00355A71"/>
    <w:rsid w:val="00365831"/>
    <w:rsid w:val="003733ED"/>
    <w:rsid w:val="003866AD"/>
    <w:rsid w:val="00387365"/>
    <w:rsid w:val="003A52A5"/>
    <w:rsid w:val="003A52E2"/>
    <w:rsid w:val="003B30B3"/>
    <w:rsid w:val="003D1D79"/>
    <w:rsid w:val="003D5032"/>
    <w:rsid w:val="003D51A5"/>
    <w:rsid w:val="003F6254"/>
    <w:rsid w:val="00400156"/>
    <w:rsid w:val="0040175E"/>
    <w:rsid w:val="00403372"/>
    <w:rsid w:val="0042100C"/>
    <w:rsid w:val="00422164"/>
    <w:rsid w:val="00434049"/>
    <w:rsid w:val="00443A02"/>
    <w:rsid w:val="00444768"/>
    <w:rsid w:val="00452BB3"/>
    <w:rsid w:val="004664A1"/>
    <w:rsid w:val="00471F8A"/>
    <w:rsid w:val="004733E4"/>
    <w:rsid w:val="004823FA"/>
    <w:rsid w:val="004919BC"/>
    <w:rsid w:val="004C0C16"/>
    <w:rsid w:val="004C3D07"/>
    <w:rsid w:val="004E2008"/>
    <w:rsid w:val="004F5F67"/>
    <w:rsid w:val="00513BD9"/>
    <w:rsid w:val="00516DF4"/>
    <w:rsid w:val="00517BE3"/>
    <w:rsid w:val="0054565F"/>
    <w:rsid w:val="0056141D"/>
    <w:rsid w:val="00567D4B"/>
    <w:rsid w:val="005857D9"/>
    <w:rsid w:val="00586EBF"/>
    <w:rsid w:val="005916AA"/>
    <w:rsid w:val="0059234A"/>
    <w:rsid w:val="0059706A"/>
    <w:rsid w:val="00597CA9"/>
    <w:rsid w:val="005E5910"/>
    <w:rsid w:val="005E71F5"/>
    <w:rsid w:val="005F3F2F"/>
    <w:rsid w:val="00603AD1"/>
    <w:rsid w:val="00604ABA"/>
    <w:rsid w:val="00622480"/>
    <w:rsid w:val="00645AAC"/>
    <w:rsid w:val="006478BF"/>
    <w:rsid w:val="00647D58"/>
    <w:rsid w:val="00651898"/>
    <w:rsid w:val="00657678"/>
    <w:rsid w:val="00657ACF"/>
    <w:rsid w:val="00663517"/>
    <w:rsid w:val="00664AEB"/>
    <w:rsid w:val="00664E7B"/>
    <w:rsid w:val="0067335E"/>
    <w:rsid w:val="00681DD3"/>
    <w:rsid w:val="00682865"/>
    <w:rsid w:val="00684F73"/>
    <w:rsid w:val="00694A28"/>
    <w:rsid w:val="006961E8"/>
    <w:rsid w:val="006B093F"/>
    <w:rsid w:val="006B1B4B"/>
    <w:rsid w:val="006C3AA6"/>
    <w:rsid w:val="006C4398"/>
    <w:rsid w:val="006C6760"/>
    <w:rsid w:val="006D1527"/>
    <w:rsid w:val="006E1D1D"/>
    <w:rsid w:val="006E6ABD"/>
    <w:rsid w:val="006F1D0C"/>
    <w:rsid w:val="007031F4"/>
    <w:rsid w:val="007049CF"/>
    <w:rsid w:val="0070538B"/>
    <w:rsid w:val="00712E1A"/>
    <w:rsid w:val="00724585"/>
    <w:rsid w:val="007279E5"/>
    <w:rsid w:val="007368AD"/>
    <w:rsid w:val="007379A4"/>
    <w:rsid w:val="007413E3"/>
    <w:rsid w:val="007428D4"/>
    <w:rsid w:val="00747AFF"/>
    <w:rsid w:val="00761B22"/>
    <w:rsid w:val="0077484D"/>
    <w:rsid w:val="00785CDC"/>
    <w:rsid w:val="007B1DC5"/>
    <w:rsid w:val="007C2298"/>
    <w:rsid w:val="007D63E9"/>
    <w:rsid w:val="007E3328"/>
    <w:rsid w:val="007E472C"/>
    <w:rsid w:val="007E4B2A"/>
    <w:rsid w:val="007F3C95"/>
    <w:rsid w:val="007F7A1F"/>
    <w:rsid w:val="00815849"/>
    <w:rsid w:val="00816415"/>
    <w:rsid w:val="00820721"/>
    <w:rsid w:val="00830417"/>
    <w:rsid w:val="00830C59"/>
    <w:rsid w:val="00830F66"/>
    <w:rsid w:val="0083709B"/>
    <w:rsid w:val="00883C48"/>
    <w:rsid w:val="0088602C"/>
    <w:rsid w:val="00892FF8"/>
    <w:rsid w:val="008A1DDC"/>
    <w:rsid w:val="008B1252"/>
    <w:rsid w:val="008C7D04"/>
    <w:rsid w:val="008D30A1"/>
    <w:rsid w:val="008F3205"/>
    <w:rsid w:val="008F62A1"/>
    <w:rsid w:val="0090438A"/>
    <w:rsid w:val="00907AC4"/>
    <w:rsid w:val="00932EFA"/>
    <w:rsid w:val="00952383"/>
    <w:rsid w:val="0095361F"/>
    <w:rsid w:val="00967D16"/>
    <w:rsid w:val="0097423B"/>
    <w:rsid w:val="009745B7"/>
    <w:rsid w:val="00987B7C"/>
    <w:rsid w:val="009A1EC4"/>
    <w:rsid w:val="009B482C"/>
    <w:rsid w:val="009C3639"/>
    <w:rsid w:val="009C5368"/>
    <w:rsid w:val="009E1E90"/>
    <w:rsid w:val="009E5FC8"/>
    <w:rsid w:val="00A17699"/>
    <w:rsid w:val="00A227EA"/>
    <w:rsid w:val="00A279AF"/>
    <w:rsid w:val="00A4133B"/>
    <w:rsid w:val="00A55EA3"/>
    <w:rsid w:val="00A63A2B"/>
    <w:rsid w:val="00A714AC"/>
    <w:rsid w:val="00A730D3"/>
    <w:rsid w:val="00AA3E4A"/>
    <w:rsid w:val="00AB2F7C"/>
    <w:rsid w:val="00AB4916"/>
    <w:rsid w:val="00AC2517"/>
    <w:rsid w:val="00AC4AE2"/>
    <w:rsid w:val="00AC7A56"/>
    <w:rsid w:val="00AD09D7"/>
    <w:rsid w:val="00AD1A86"/>
    <w:rsid w:val="00AE23F7"/>
    <w:rsid w:val="00AF1AA7"/>
    <w:rsid w:val="00AF49B6"/>
    <w:rsid w:val="00B04B20"/>
    <w:rsid w:val="00B16C43"/>
    <w:rsid w:val="00B20C59"/>
    <w:rsid w:val="00B264D4"/>
    <w:rsid w:val="00B43E57"/>
    <w:rsid w:val="00B50621"/>
    <w:rsid w:val="00B50A8D"/>
    <w:rsid w:val="00B52EDA"/>
    <w:rsid w:val="00B53BA2"/>
    <w:rsid w:val="00B64B2E"/>
    <w:rsid w:val="00B73868"/>
    <w:rsid w:val="00B85B6E"/>
    <w:rsid w:val="00BB1678"/>
    <w:rsid w:val="00BE36B6"/>
    <w:rsid w:val="00BF2953"/>
    <w:rsid w:val="00C302FA"/>
    <w:rsid w:val="00C36D9A"/>
    <w:rsid w:val="00C608DE"/>
    <w:rsid w:val="00C66972"/>
    <w:rsid w:val="00C700E6"/>
    <w:rsid w:val="00C70F6C"/>
    <w:rsid w:val="00C87274"/>
    <w:rsid w:val="00C90124"/>
    <w:rsid w:val="00C925FA"/>
    <w:rsid w:val="00C948AA"/>
    <w:rsid w:val="00CA6CB3"/>
    <w:rsid w:val="00CB0938"/>
    <w:rsid w:val="00CB384A"/>
    <w:rsid w:val="00CC0106"/>
    <w:rsid w:val="00CC13F4"/>
    <w:rsid w:val="00CD1947"/>
    <w:rsid w:val="00CE3EF2"/>
    <w:rsid w:val="00D119F5"/>
    <w:rsid w:val="00D16FFE"/>
    <w:rsid w:val="00D17CF9"/>
    <w:rsid w:val="00D3484E"/>
    <w:rsid w:val="00D3744E"/>
    <w:rsid w:val="00D4240D"/>
    <w:rsid w:val="00D425AE"/>
    <w:rsid w:val="00D53B59"/>
    <w:rsid w:val="00D64906"/>
    <w:rsid w:val="00D8157D"/>
    <w:rsid w:val="00D83531"/>
    <w:rsid w:val="00D85E77"/>
    <w:rsid w:val="00D87E36"/>
    <w:rsid w:val="00D94651"/>
    <w:rsid w:val="00D96364"/>
    <w:rsid w:val="00DB04B4"/>
    <w:rsid w:val="00DC7962"/>
    <w:rsid w:val="00DF0276"/>
    <w:rsid w:val="00DF524E"/>
    <w:rsid w:val="00E129FD"/>
    <w:rsid w:val="00E15497"/>
    <w:rsid w:val="00E154A3"/>
    <w:rsid w:val="00E16789"/>
    <w:rsid w:val="00E201A8"/>
    <w:rsid w:val="00E22AE6"/>
    <w:rsid w:val="00E35984"/>
    <w:rsid w:val="00E37E76"/>
    <w:rsid w:val="00E41C6A"/>
    <w:rsid w:val="00E44416"/>
    <w:rsid w:val="00E50BE8"/>
    <w:rsid w:val="00E52DFE"/>
    <w:rsid w:val="00E575CC"/>
    <w:rsid w:val="00E60CDB"/>
    <w:rsid w:val="00E61B19"/>
    <w:rsid w:val="00E83073"/>
    <w:rsid w:val="00E83FE0"/>
    <w:rsid w:val="00E90C89"/>
    <w:rsid w:val="00E9678C"/>
    <w:rsid w:val="00E9724C"/>
    <w:rsid w:val="00EB3F8A"/>
    <w:rsid w:val="00EC5653"/>
    <w:rsid w:val="00ED3969"/>
    <w:rsid w:val="00F0625D"/>
    <w:rsid w:val="00F17807"/>
    <w:rsid w:val="00F270CA"/>
    <w:rsid w:val="00F27C64"/>
    <w:rsid w:val="00F419BF"/>
    <w:rsid w:val="00F43181"/>
    <w:rsid w:val="00F436BC"/>
    <w:rsid w:val="00F44B66"/>
    <w:rsid w:val="00F505CB"/>
    <w:rsid w:val="00F55B24"/>
    <w:rsid w:val="00F5679F"/>
    <w:rsid w:val="00F65630"/>
    <w:rsid w:val="00F664F7"/>
    <w:rsid w:val="00F7706D"/>
    <w:rsid w:val="00FA5345"/>
    <w:rsid w:val="00FB2570"/>
    <w:rsid w:val="00FC1D87"/>
    <w:rsid w:val="00FC299F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510627A"/>
  <w15:docId w15:val="{8C0F0DCC-4E65-469E-AA0A-821FA996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BD"/>
    <w:rPr>
      <w:rFonts w:ascii="Trebuchet MS" w:eastAsia="Times New Roman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sz w:val="20"/>
    </w:rPr>
  </w:style>
  <w:style w:type="paragraph" w:customStyle="1" w:styleId="Heading">
    <w:name w:val="Heading"/>
    <w:basedOn w:val="Normal"/>
    <w:rsid w:val="002436BD"/>
    <w:pPr>
      <w:jc w:val="both"/>
    </w:pPr>
    <w:rPr>
      <w:b/>
      <w:sz w:val="26"/>
      <w:szCs w:val="22"/>
    </w:rPr>
  </w:style>
  <w:style w:type="character" w:styleId="Hyperlink">
    <w:name w:val="Hyperlink"/>
    <w:uiPriority w:val="99"/>
    <w:unhideWhenUsed/>
    <w:rsid w:val="002436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6BD"/>
    <w:pPr>
      <w:ind w:left="720"/>
    </w:pPr>
  </w:style>
  <w:style w:type="character" w:styleId="CommentReference">
    <w:name w:val="annotation reference"/>
    <w:uiPriority w:val="99"/>
    <w:semiHidden/>
    <w:unhideWhenUsed/>
    <w:rsid w:val="00243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6BD"/>
    <w:rPr>
      <w:sz w:val="20"/>
    </w:rPr>
  </w:style>
  <w:style w:type="character" w:customStyle="1" w:styleId="CommentTextChar">
    <w:name w:val="Comment Text Char"/>
    <w:link w:val="CommentText"/>
    <w:uiPriority w:val="99"/>
    <w:rsid w:val="002436BD"/>
    <w:rPr>
      <w:rFonts w:ascii="Trebuchet MS" w:eastAsia="Times New Roman" w:hAnsi="Trebuchet M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4B2E"/>
    <w:rPr>
      <w:rFonts w:ascii="Trebuchet MS" w:eastAsia="Times New Roman" w:hAnsi="Trebuchet MS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85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77"/>
    <w:rPr>
      <w:rFonts w:ascii="Trebuchet MS" w:eastAsia="Times New Roman" w:hAnsi="Trebuchet MS"/>
      <w:sz w:val="22"/>
    </w:rPr>
  </w:style>
  <w:style w:type="paragraph" w:styleId="Footer">
    <w:name w:val="footer"/>
    <w:basedOn w:val="Normal"/>
    <w:link w:val="FooterChar"/>
    <w:uiPriority w:val="99"/>
    <w:unhideWhenUsed/>
    <w:rsid w:val="00D85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77"/>
    <w:rPr>
      <w:rFonts w:ascii="Trebuchet MS" w:eastAsia="Times New Roman" w:hAnsi="Trebuchet MS"/>
      <w:sz w:val="22"/>
    </w:rPr>
  </w:style>
  <w:style w:type="paragraph" w:customStyle="1" w:styleId="Default">
    <w:name w:val="Default"/>
    <w:rsid w:val="00A730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ing0">
    <w:name w:val="heading"/>
    <w:basedOn w:val="Normal"/>
    <w:rsid w:val="006C3A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157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C7D04"/>
    <w:rPr>
      <w:rFonts w:ascii="Trebuchet MS" w:eastAsia="Times New Roman" w:hAnsi="Trebuchet MS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5B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5B24"/>
    <w:rPr>
      <w:rFonts w:ascii="Trebuchet MS" w:eastAsia="Times New Roman" w:hAnsi="Trebuchet MS"/>
    </w:rPr>
  </w:style>
  <w:style w:type="character" w:styleId="FootnoteReference">
    <w:name w:val="footnote reference"/>
    <w:basedOn w:val="DefaultParagraphFont"/>
    <w:uiPriority w:val="99"/>
    <w:semiHidden/>
    <w:unhideWhenUsed/>
    <w:rsid w:val="00F55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7666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9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0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47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Details/F2016L00492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slation.gov.au/Details/F2016L00492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B505-90EB-4053-AE60-ED342067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4633</Characters>
  <Application>Microsoft Office Word</Application>
  <DocSecurity>0</DocSecurity>
  <Lines>85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APRA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Pu, Rebecca</dc:creator>
  <cp:keywords> [SEC=UNCLASSIFIED]</cp:keywords>
  <cp:lastModifiedBy>Watson, Jill</cp:lastModifiedBy>
  <cp:revision>3</cp:revision>
  <cp:lastPrinted>2016-08-29T05:21:00Z</cp:lastPrinted>
  <dcterms:created xsi:type="dcterms:W3CDTF">2016-09-01T00:25:00Z</dcterms:created>
  <dcterms:modified xsi:type="dcterms:W3CDTF">2016-09-05T00:01:00Z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444F01160448A97DEE1911854EE3A69FDCCD1A76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FCE9005BE2C7684AB054C8DB3EBFD4256921A1B2</vt:lpwstr>
  </property>
  <property fmtid="{D5CDD505-2E9C-101B-9397-08002B2CF9AE}" pid="7" name="PM_InsertionValue">
    <vt:lpwstr>UNCLASSIFIED</vt:lpwstr>
  </property>
  <property fmtid="{D5CDD505-2E9C-101B-9397-08002B2CF9AE}" pid="8" name="PM_Hash_Salt">
    <vt:lpwstr>663D920E1064B7247FAAC928AC3FAF66</vt:lpwstr>
  </property>
  <property fmtid="{D5CDD505-2E9C-101B-9397-08002B2CF9AE}" pid="9" name="PM_Hash_Version">
    <vt:lpwstr>2014.2</vt:lpwstr>
  </property>
  <property fmtid="{D5CDD505-2E9C-101B-9397-08002B2CF9AE}" pid="10" name="PM_Hash_Salt_Prev">
    <vt:lpwstr>1AF517FFBC00570E6237145C937DA111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</Properties>
</file>