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50" w:rsidRPr="0080765E" w:rsidRDefault="00465D50" w:rsidP="00465D50">
      <w:pPr>
        <w:jc w:val="center"/>
        <w:rPr>
          <w:b/>
          <w:sz w:val="28"/>
          <w:szCs w:val="28"/>
        </w:rPr>
      </w:pPr>
      <w:bookmarkStart w:id="0" w:name="_GoBack"/>
      <w:bookmarkEnd w:id="0"/>
      <w:r w:rsidRPr="0080765E">
        <w:rPr>
          <w:b/>
          <w:sz w:val="28"/>
          <w:szCs w:val="28"/>
        </w:rPr>
        <w:t>INSTRUMENT REGULATING FISHING</w:t>
      </w:r>
    </w:p>
    <w:p w:rsidR="00465D50" w:rsidRDefault="00465D50" w:rsidP="00465D50">
      <w:pPr>
        <w:jc w:val="center"/>
      </w:pPr>
    </w:p>
    <w:p w:rsidR="00465D50" w:rsidRPr="0080765E" w:rsidRDefault="00465D50" w:rsidP="00465D50">
      <w:pPr>
        <w:jc w:val="center"/>
        <w:rPr>
          <w:b/>
          <w:i/>
        </w:rPr>
      </w:pPr>
      <w:smartTag w:uri="urn:schemas-microsoft-com:office:smarttags" w:element="place">
        <w:r w:rsidRPr="0080765E">
          <w:rPr>
            <w:b/>
            <w:i/>
          </w:rPr>
          <w:t>Torres Strait</w:t>
        </w:r>
      </w:smartTag>
      <w:r w:rsidRPr="0080765E">
        <w:rPr>
          <w:b/>
          <w:i/>
        </w:rPr>
        <w:t xml:space="preserve"> Fisheries Act 1984</w:t>
      </w:r>
    </w:p>
    <w:p w:rsidR="00465D50" w:rsidRDefault="00465D50" w:rsidP="00465D50">
      <w:pPr>
        <w:jc w:val="center"/>
      </w:pPr>
      <w:r>
        <w:t>Section 16</w:t>
      </w:r>
    </w:p>
    <w:p w:rsidR="00465D50" w:rsidRDefault="00465D50" w:rsidP="00465D50">
      <w:pPr>
        <w:jc w:val="center"/>
        <w:rPr>
          <w:b/>
        </w:rPr>
      </w:pPr>
      <w:r w:rsidRPr="0080765E">
        <w:rPr>
          <w:b/>
        </w:rPr>
        <w:t xml:space="preserve">Torres Strait </w:t>
      </w:r>
      <w:r w:rsidR="00C0699E">
        <w:rPr>
          <w:b/>
        </w:rPr>
        <w:t>Trochus</w:t>
      </w:r>
      <w:r w:rsidRPr="0080765E">
        <w:rPr>
          <w:b/>
        </w:rPr>
        <w:t xml:space="preserve"> Fishery</w:t>
      </w:r>
    </w:p>
    <w:p w:rsidR="00465D50" w:rsidRDefault="00465D50" w:rsidP="00465D50">
      <w:pPr>
        <w:jc w:val="center"/>
        <w:rPr>
          <w:b/>
        </w:rPr>
      </w:pPr>
    </w:p>
    <w:p w:rsidR="00465D50" w:rsidRDefault="00465D50" w:rsidP="00465D50">
      <w:pPr>
        <w:jc w:val="center"/>
        <w:rPr>
          <w:b/>
        </w:rPr>
      </w:pPr>
      <w:r>
        <w:rPr>
          <w:b/>
        </w:rPr>
        <w:t>TORRES STRAIT FISHERIES MANAGEMENT INSTRUMENT NO. 13</w:t>
      </w:r>
    </w:p>
    <w:p w:rsidR="00465D50" w:rsidRDefault="00465D50" w:rsidP="00465D50">
      <w:pPr>
        <w:tabs>
          <w:tab w:val="left" w:pos="8100"/>
        </w:tabs>
        <w:rPr>
          <w:b/>
          <w:u w:val="single"/>
        </w:rPr>
      </w:pPr>
      <w:r>
        <w:rPr>
          <w:b/>
          <w:u w:val="single"/>
        </w:rPr>
        <w:tab/>
      </w:r>
    </w:p>
    <w:p w:rsidR="00465D50" w:rsidRDefault="00465D50" w:rsidP="00465D50">
      <w:pPr>
        <w:tabs>
          <w:tab w:val="left" w:pos="8100"/>
        </w:tabs>
      </w:pPr>
    </w:p>
    <w:p w:rsidR="00465D50" w:rsidRDefault="00465D50" w:rsidP="00465D50">
      <w:pPr>
        <w:tabs>
          <w:tab w:val="left" w:pos="8100"/>
        </w:tabs>
        <w:jc w:val="both"/>
      </w:pPr>
      <w:r>
        <w:t xml:space="preserve">The </w:t>
      </w:r>
      <w:r w:rsidRPr="0080765E">
        <w:rPr>
          <w:b/>
        </w:rPr>
        <w:t>PROTECTED ZONE JOINT AUTHORITY</w:t>
      </w:r>
      <w:r>
        <w:t xml:space="preserve"> </w:t>
      </w:r>
      <w:r w:rsidRPr="00041C6D">
        <w:t xml:space="preserve">acting in accordance with the powers conferred on the Authority by paragraph 35(1)(a) of the </w:t>
      </w:r>
      <w:r w:rsidRPr="00041C6D">
        <w:rPr>
          <w:i/>
        </w:rPr>
        <w:t>Torres Strait Fisheries Act 1984</w:t>
      </w:r>
      <w:r w:rsidRPr="00041C6D">
        <w:t xml:space="preserve">, </w:t>
      </w:r>
      <w:r w:rsidRPr="00A41907">
        <w:t xml:space="preserve">of the Minister’s powers under section 16 of the </w:t>
      </w:r>
      <w:r w:rsidRPr="00A41907">
        <w:rPr>
          <w:i/>
        </w:rPr>
        <w:t xml:space="preserve">Torres Strait Fisheries Act 1984, </w:t>
      </w:r>
      <w:r w:rsidRPr="00A41907">
        <w:t>makes the</w:t>
      </w:r>
      <w:r w:rsidRPr="00041C6D">
        <w:t xml:space="preserve"> following </w:t>
      </w:r>
      <w:r>
        <w:t>Instrument</w:t>
      </w:r>
      <w:r w:rsidRPr="00041C6D">
        <w:t>.</w:t>
      </w:r>
    </w:p>
    <w:p w:rsidR="00465D50" w:rsidRDefault="00465D50" w:rsidP="00465D50">
      <w:pPr>
        <w:tabs>
          <w:tab w:val="left" w:pos="8100"/>
        </w:tabs>
        <w:jc w:val="both"/>
      </w:pPr>
    </w:p>
    <w:p w:rsidR="00465D50" w:rsidRDefault="00465D50" w:rsidP="00465D50">
      <w:pPr>
        <w:tabs>
          <w:tab w:val="left" w:pos="8100"/>
        </w:tabs>
        <w:jc w:val="both"/>
      </w:pPr>
    </w:p>
    <w:p w:rsidR="00465D50" w:rsidRDefault="00465D50" w:rsidP="00465D50">
      <w:pPr>
        <w:tabs>
          <w:tab w:val="left" w:pos="8100"/>
        </w:tabs>
        <w:jc w:val="both"/>
        <w:rPr>
          <w:b/>
        </w:rPr>
      </w:pPr>
      <w:r w:rsidRPr="0080765E">
        <w:rPr>
          <w:b/>
        </w:rPr>
        <w:t>Dated:</w:t>
      </w:r>
      <w:r>
        <w:rPr>
          <w:b/>
        </w:rPr>
        <w:t xml:space="preserve">    </w:t>
      </w:r>
      <w:r w:rsidR="00C0272A">
        <w:rPr>
          <w:b/>
        </w:rPr>
        <w:t>1</w:t>
      </w:r>
      <w:r>
        <w:rPr>
          <w:b/>
        </w:rPr>
        <w:t xml:space="preserve"> </w:t>
      </w:r>
      <w:r w:rsidR="00860B01">
        <w:rPr>
          <w:b/>
        </w:rPr>
        <w:t xml:space="preserve">September </w:t>
      </w:r>
      <w:r>
        <w:rPr>
          <w:b/>
        </w:rPr>
        <w:t>2016</w:t>
      </w:r>
    </w:p>
    <w:p w:rsidR="00465D50" w:rsidRDefault="00465D50" w:rsidP="00465D50">
      <w:pPr>
        <w:tabs>
          <w:tab w:val="left" w:pos="8100"/>
        </w:tabs>
        <w:jc w:val="both"/>
        <w:rPr>
          <w:b/>
        </w:rPr>
      </w:pPr>
    </w:p>
    <w:p w:rsidR="00465D50" w:rsidRDefault="00465D50" w:rsidP="00465D50">
      <w:pPr>
        <w:tabs>
          <w:tab w:val="left" w:pos="8100"/>
        </w:tabs>
        <w:jc w:val="both"/>
        <w:rPr>
          <w:b/>
        </w:rPr>
      </w:pPr>
    </w:p>
    <w:p w:rsidR="00465D50" w:rsidRDefault="00465D50" w:rsidP="00465D50">
      <w:pPr>
        <w:tabs>
          <w:tab w:val="left" w:pos="8100"/>
        </w:tabs>
        <w:jc w:val="both"/>
        <w:rPr>
          <w:b/>
        </w:rPr>
      </w:pPr>
    </w:p>
    <w:p w:rsidR="00465D50" w:rsidRDefault="00465D50" w:rsidP="00465D50">
      <w:pPr>
        <w:tabs>
          <w:tab w:val="left" w:pos="8100"/>
        </w:tabs>
        <w:jc w:val="both"/>
        <w:rPr>
          <w:b/>
        </w:rPr>
      </w:pPr>
    </w:p>
    <w:p w:rsidR="00465D50" w:rsidRDefault="00465D50" w:rsidP="00465D50">
      <w:pPr>
        <w:tabs>
          <w:tab w:val="left" w:pos="8100"/>
        </w:tabs>
        <w:jc w:val="both"/>
        <w:rPr>
          <w:b/>
        </w:rPr>
      </w:pPr>
    </w:p>
    <w:p w:rsidR="00465D50" w:rsidRPr="00480691" w:rsidRDefault="00465D50" w:rsidP="00465D50">
      <w:pPr>
        <w:tabs>
          <w:tab w:val="left" w:pos="8100"/>
        </w:tabs>
        <w:rPr>
          <w:b/>
        </w:rPr>
      </w:pPr>
      <w:r w:rsidRPr="00480691">
        <w:rPr>
          <w:b/>
        </w:rPr>
        <w:t>Senator the Hon. Anne Ruston</w:t>
      </w:r>
    </w:p>
    <w:p w:rsidR="00465D50" w:rsidRPr="00480691" w:rsidRDefault="00465D50" w:rsidP="00465D50">
      <w:pPr>
        <w:tabs>
          <w:tab w:val="left" w:pos="8100"/>
        </w:tabs>
      </w:pPr>
      <w:r w:rsidRPr="00480691">
        <w:t xml:space="preserve">Parliamentary Secretary to the Minister for Agriculture and Water Resources </w:t>
      </w:r>
    </w:p>
    <w:p w:rsidR="00465D50" w:rsidRDefault="00465D50" w:rsidP="00465D50">
      <w:pPr>
        <w:tabs>
          <w:tab w:val="left" w:pos="8100"/>
        </w:tabs>
      </w:pPr>
      <w:r w:rsidRPr="00480691">
        <w:t>on behalf of the Torres Strait Protected Zone Joint Authority</w:t>
      </w:r>
    </w:p>
    <w:p w:rsidR="00465D50" w:rsidRDefault="00465D50" w:rsidP="00465D50">
      <w:pPr>
        <w:tabs>
          <w:tab w:val="left" w:pos="8100"/>
        </w:tabs>
        <w:jc w:val="both"/>
      </w:pPr>
    </w:p>
    <w:p w:rsidR="00465D50" w:rsidRDefault="00465D50" w:rsidP="00465D50">
      <w:pPr>
        <w:tabs>
          <w:tab w:val="left" w:pos="8100"/>
        </w:tabs>
        <w:jc w:val="both"/>
        <w:rPr>
          <w:b/>
          <w:u w:val="single"/>
        </w:rPr>
      </w:pPr>
      <w:r>
        <w:rPr>
          <w:b/>
          <w:u w:val="single"/>
        </w:rPr>
        <w:tab/>
      </w:r>
    </w:p>
    <w:p w:rsidR="00465D50" w:rsidRDefault="00465D50" w:rsidP="00465D50">
      <w:pPr>
        <w:tabs>
          <w:tab w:val="left" w:pos="8100"/>
        </w:tabs>
        <w:jc w:val="both"/>
      </w:pPr>
    </w:p>
    <w:p w:rsidR="00465D50" w:rsidRDefault="00465D50" w:rsidP="00465D50">
      <w:pPr>
        <w:tabs>
          <w:tab w:val="left" w:pos="720"/>
          <w:tab w:val="left" w:pos="8100"/>
        </w:tabs>
        <w:rPr>
          <w:b/>
        </w:rPr>
      </w:pPr>
      <w:r w:rsidRPr="009B58E2">
        <w:rPr>
          <w:b/>
        </w:rPr>
        <w:t>Citation</w:t>
      </w:r>
    </w:p>
    <w:p w:rsidR="00465D50" w:rsidRDefault="00465D50" w:rsidP="00465D50">
      <w:pPr>
        <w:pStyle w:val="AFMANormal"/>
        <w:ind w:left="360" w:hanging="360"/>
      </w:pPr>
      <w:r>
        <w:t>1.</w:t>
      </w:r>
      <w:r>
        <w:tab/>
        <w:t xml:space="preserve">This Instrument may be cited as the </w:t>
      </w:r>
      <w:r w:rsidRPr="00131539">
        <w:rPr>
          <w:i/>
        </w:rPr>
        <w:t>Torres Strait Fisheries Management Instrument No.</w:t>
      </w:r>
      <w:r>
        <w:rPr>
          <w:i/>
        </w:rPr>
        <w:t> 13</w:t>
      </w:r>
      <w:r>
        <w:t>.</w:t>
      </w:r>
    </w:p>
    <w:p w:rsidR="00465D50" w:rsidRPr="00041C6D" w:rsidRDefault="00465D50" w:rsidP="00465D50">
      <w:pPr>
        <w:widowControl w:val="0"/>
        <w:autoSpaceDE w:val="0"/>
        <w:autoSpaceDN w:val="0"/>
        <w:adjustRightInd w:val="0"/>
        <w:jc w:val="both"/>
      </w:pPr>
    </w:p>
    <w:p w:rsidR="00465D50" w:rsidRDefault="00465D50" w:rsidP="00465D50">
      <w:pPr>
        <w:widowControl w:val="0"/>
        <w:autoSpaceDE w:val="0"/>
        <w:autoSpaceDN w:val="0"/>
        <w:adjustRightInd w:val="0"/>
        <w:jc w:val="both"/>
        <w:rPr>
          <w:b/>
        </w:rPr>
      </w:pPr>
      <w:r w:rsidRPr="00041C6D">
        <w:rPr>
          <w:b/>
        </w:rPr>
        <w:t>C</w:t>
      </w:r>
      <w:r>
        <w:rPr>
          <w:b/>
        </w:rPr>
        <w:t xml:space="preserve">ommencement </w:t>
      </w:r>
    </w:p>
    <w:p w:rsidR="00465D50" w:rsidRPr="00041C6D" w:rsidRDefault="00465D50" w:rsidP="00465D50">
      <w:pPr>
        <w:widowControl w:val="0"/>
        <w:autoSpaceDE w:val="0"/>
        <w:autoSpaceDN w:val="0"/>
        <w:adjustRightInd w:val="0"/>
        <w:jc w:val="both"/>
        <w:rPr>
          <w:b/>
        </w:rPr>
      </w:pPr>
    </w:p>
    <w:p w:rsidR="00465D50" w:rsidRPr="00041C6D" w:rsidRDefault="00465D50" w:rsidP="00465D50">
      <w:pPr>
        <w:widowControl w:val="0"/>
        <w:autoSpaceDE w:val="0"/>
        <w:autoSpaceDN w:val="0"/>
        <w:adjustRightInd w:val="0"/>
        <w:ind w:left="426" w:hanging="426"/>
        <w:jc w:val="both"/>
      </w:pPr>
      <w:r w:rsidRPr="00041C6D">
        <w:t>2.</w:t>
      </w:r>
      <w:r w:rsidRPr="00041C6D">
        <w:tab/>
        <w:t xml:space="preserve">This </w:t>
      </w:r>
      <w:r>
        <w:t>Instrument</w:t>
      </w:r>
      <w:r w:rsidRPr="00041C6D">
        <w:t xml:space="preserve"> commences on </w:t>
      </w:r>
      <w:r>
        <w:t>the day after it is registered on the Federal Register of Legislative Instruments</w:t>
      </w:r>
      <w:r w:rsidRPr="00041C6D">
        <w:t>.</w:t>
      </w:r>
    </w:p>
    <w:p w:rsidR="00465D50" w:rsidRDefault="00465D50" w:rsidP="00465D50">
      <w:pPr>
        <w:widowControl w:val="0"/>
        <w:autoSpaceDE w:val="0"/>
        <w:autoSpaceDN w:val="0"/>
        <w:adjustRightInd w:val="0"/>
        <w:jc w:val="both"/>
      </w:pPr>
    </w:p>
    <w:p w:rsidR="00465D50" w:rsidRPr="00480691" w:rsidRDefault="00465D50" w:rsidP="00465D50">
      <w:pPr>
        <w:widowControl w:val="0"/>
        <w:autoSpaceDE w:val="0"/>
        <w:autoSpaceDN w:val="0"/>
        <w:adjustRightInd w:val="0"/>
        <w:jc w:val="both"/>
        <w:rPr>
          <w:b/>
        </w:rPr>
      </w:pPr>
      <w:r w:rsidRPr="00480691">
        <w:rPr>
          <w:b/>
        </w:rPr>
        <w:t>Cessation</w:t>
      </w:r>
    </w:p>
    <w:p w:rsidR="00465D50" w:rsidRPr="00480691" w:rsidRDefault="00465D50" w:rsidP="00465D50">
      <w:pPr>
        <w:widowControl w:val="0"/>
        <w:autoSpaceDE w:val="0"/>
        <w:autoSpaceDN w:val="0"/>
        <w:adjustRightInd w:val="0"/>
        <w:jc w:val="both"/>
        <w:rPr>
          <w:b/>
        </w:rPr>
      </w:pPr>
    </w:p>
    <w:p w:rsidR="00465D50" w:rsidRDefault="00465D50" w:rsidP="00465D50">
      <w:pPr>
        <w:widowControl w:val="0"/>
        <w:autoSpaceDE w:val="0"/>
        <w:autoSpaceDN w:val="0"/>
        <w:adjustRightInd w:val="0"/>
        <w:ind w:left="426" w:hanging="426"/>
        <w:jc w:val="both"/>
      </w:pPr>
      <w:r w:rsidRPr="00480691">
        <w:t>3.</w:t>
      </w:r>
      <w:r w:rsidRPr="00480691">
        <w:tab/>
        <w:t>This Instrument</w:t>
      </w:r>
      <w:r>
        <w:t xml:space="preserve"> is repealed on 31 December 2025</w:t>
      </w:r>
      <w:r w:rsidRPr="00480691">
        <w:t xml:space="preserve"> unless earlier revoked.</w:t>
      </w:r>
    </w:p>
    <w:p w:rsidR="00465D50" w:rsidRPr="00041C6D" w:rsidRDefault="00465D50" w:rsidP="00465D50">
      <w:pPr>
        <w:widowControl w:val="0"/>
        <w:autoSpaceDE w:val="0"/>
        <w:autoSpaceDN w:val="0"/>
        <w:adjustRightInd w:val="0"/>
        <w:jc w:val="both"/>
      </w:pPr>
    </w:p>
    <w:p w:rsidR="00465D50" w:rsidRDefault="00465D50" w:rsidP="00465D50">
      <w:pPr>
        <w:widowControl w:val="0"/>
        <w:autoSpaceDE w:val="0"/>
        <w:autoSpaceDN w:val="0"/>
        <w:adjustRightInd w:val="0"/>
        <w:jc w:val="both"/>
        <w:rPr>
          <w:b/>
        </w:rPr>
      </w:pPr>
      <w:r w:rsidRPr="00041C6D">
        <w:rPr>
          <w:b/>
        </w:rPr>
        <w:t>I</w:t>
      </w:r>
      <w:r>
        <w:rPr>
          <w:b/>
        </w:rPr>
        <w:t>nterpretation</w:t>
      </w:r>
    </w:p>
    <w:p w:rsidR="00465D50" w:rsidRPr="00E531AC" w:rsidRDefault="00465D50" w:rsidP="00465D50">
      <w:pPr>
        <w:widowControl w:val="0"/>
        <w:autoSpaceDE w:val="0"/>
        <w:autoSpaceDN w:val="0"/>
        <w:adjustRightInd w:val="0"/>
        <w:jc w:val="both"/>
        <w:rPr>
          <w:b/>
        </w:rPr>
      </w:pPr>
    </w:p>
    <w:p w:rsidR="00465D50" w:rsidRPr="00041C6D" w:rsidRDefault="00465D50" w:rsidP="00465D50">
      <w:pPr>
        <w:widowControl w:val="0"/>
        <w:autoSpaceDE w:val="0"/>
        <w:autoSpaceDN w:val="0"/>
        <w:adjustRightInd w:val="0"/>
        <w:ind w:left="426" w:hanging="426"/>
        <w:jc w:val="both"/>
      </w:pPr>
      <w:r>
        <w:t>4</w:t>
      </w:r>
      <w:r w:rsidRPr="00041C6D">
        <w:t>.1</w:t>
      </w:r>
      <w:r w:rsidRPr="00041C6D">
        <w:tab/>
        <w:t xml:space="preserve">In this </w:t>
      </w:r>
      <w:r>
        <w:t>Instrument</w:t>
      </w:r>
      <w:r w:rsidRPr="00041C6D">
        <w:t xml:space="preserve">, unless the contrary intention appears “the Act” means the </w:t>
      </w:r>
      <w:r w:rsidRPr="00041C6D">
        <w:rPr>
          <w:i/>
        </w:rPr>
        <w:t>Torres Strait Fisheries Act 1984</w:t>
      </w:r>
      <w:r w:rsidRPr="00041C6D">
        <w:t>, and:</w:t>
      </w:r>
    </w:p>
    <w:p w:rsidR="00465D50" w:rsidRPr="00041C6D" w:rsidRDefault="00465D50" w:rsidP="00465D50">
      <w:pPr>
        <w:widowControl w:val="0"/>
        <w:autoSpaceDE w:val="0"/>
        <w:autoSpaceDN w:val="0"/>
        <w:adjustRightInd w:val="0"/>
        <w:ind w:firstLine="720"/>
        <w:jc w:val="both"/>
      </w:pPr>
    </w:p>
    <w:p w:rsidR="00465D50" w:rsidRPr="00041C6D" w:rsidRDefault="00465D50" w:rsidP="00465D50">
      <w:pPr>
        <w:widowControl w:val="0"/>
        <w:autoSpaceDE w:val="0"/>
        <w:autoSpaceDN w:val="0"/>
        <w:adjustRightInd w:val="0"/>
        <w:ind w:left="426" w:hanging="426"/>
        <w:jc w:val="both"/>
      </w:pPr>
      <w:r>
        <w:t>4</w:t>
      </w:r>
      <w:r w:rsidRPr="00041C6D">
        <w:t>.2</w:t>
      </w:r>
      <w:r w:rsidRPr="00041C6D">
        <w:tab/>
        <w:t xml:space="preserve">Terms used but not defined in this </w:t>
      </w:r>
      <w:r>
        <w:t>Instrument</w:t>
      </w:r>
      <w:r w:rsidRPr="00041C6D">
        <w:t xml:space="preserve"> have the same meaning as in the Act and the </w:t>
      </w:r>
      <w:r w:rsidRPr="00041C6D">
        <w:rPr>
          <w:i/>
        </w:rPr>
        <w:t>Torres Strait Fisheries Regulations</w:t>
      </w:r>
      <w:r>
        <w:rPr>
          <w:i/>
        </w:rPr>
        <w:t xml:space="preserve"> 1985</w:t>
      </w:r>
      <w:r w:rsidRPr="00041C6D">
        <w:t>; and</w:t>
      </w:r>
    </w:p>
    <w:p w:rsidR="00465D50" w:rsidRPr="00041C6D" w:rsidRDefault="00465D50" w:rsidP="00465D50">
      <w:pPr>
        <w:widowControl w:val="0"/>
        <w:autoSpaceDE w:val="0"/>
        <w:autoSpaceDN w:val="0"/>
        <w:adjustRightInd w:val="0"/>
        <w:ind w:firstLine="720"/>
        <w:jc w:val="both"/>
      </w:pPr>
    </w:p>
    <w:p w:rsidR="00465D50" w:rsidRDefault="00465D50" w:rsidP="00465D50">
      <w:pPr>
        <w:spacing w:after="240"/>
        <w:ind w:left="426" w:hanging="426"/>
        <w:jc w:val="both"/>
        <w:rPr>
          <w:iCs/>
          <w:color w:val="000000"/>
        </w:rPr>
      </w:pPr>
      <w:r>
        <w:t>4.3 “</w:t>
      </w:r>
      <w:r w:rsidRPr="00465D50">
        <w:rPr>
          <w:b/>
        </w:rPr>
        <w:t>trochus</w:t>
      </w:r>
      <w:r>
        <w:t xml:space="preserve">” means fish of the species </w:t>
      </w:r>
      <w:r w:rsidRPr="00AE4296">
        <w:rPr>
          <w:i/>
        </w:rPr>
        <w:t>T</w:t>
      </w:r>
      <w:r w:rsidR="008838C6">
        <w:rPr>
          <w:i/>
        </w:rPr>
        <w:t>ectus</w:t>
      </w:r>
      <w:r w:rsidRPr="00AE4296">
        <w:rPr>
          <w:i/>
        </w:rPr>
        <w:t xml:space="preserve"> niloticus</w:t>
      </w:r>
      <w:r w:rsidR="008838C6">
        <w:rPr>
          <w:i/>
        </w:rPr>
        <w:t xml:space="preserve"> </w:t>
      </w:r>
      <w:r w:rsidR="008838C6">
        <w:t xml:space="preserve">(previously </w:t>
      </w:r>
      <w:r w:rsidR="008838C6">
        <w:rPr>
          <w:i/>
        </w:rPr>
        <w:t>Trochus niloticus</w:t>
      </w:r>
      <w:r w:rsidR="008838C6">
        <w:t>)</w:t>
      </w:r>
      <w:r>
        <w:t>; and</w:t>
      </w:r>
    </w:p>
    <w:p w:rsidR="00465D50" w:rsidRPr="00465D50" w:rsidRDefault="00465D50" w:rsidP="00465D50">
      <w:pPr>
        <w:spacing w:after="240"/>
        <w:ind w:left="426"/>
        <w:jc w:val="both"/>
        <w:rPr>
          <w:iCs/>
          <w:color w:val="000000"/>
        </w:rPr>
      </w:pPr>
      <w:r>
        <w:lastRenderedPageBreak/>
        <w:t>“</w:t>
      </w:r>
      <w:r w:rsidRPr="00465D50">
        <w:rPr>
          <w:b/>
        </w:rPr>
        <w:t>underwater breathing apparatus</w:t>
      </w:r>
      <w:r>
        <w:t>” means any apparatus that delivers air or other breathing gas to a person.</w:t>
      </w:r>
    </w:p>
    <w:p w:rsidR="00465D50" w:rsidRDefault="00465D50" w:rsidP="00465D50">
      <w:pPr>
        <w:pStyle w:val="Heading3"/>
        <w:tabs>
          <w:tab w:val="left" w:pos="720"/>
        </w:tabs>
        <w:rPr>
          <w:rFonts w:ascii="Times New Roman" w:hAnsi="Times New Roman" w:cs="Times New Roman"/>
          <w:sz w:val="24"/>
          <w:szCs w:val="24"/>
        </w:rPr>
      </w:pPr>
      <w:r>
        <w:rPr>
          <w:rFonts w:ascii="Times New Roman" w:hAnsi="Times New Roman" w:cs="Times New Roman"/>
          <w:sz w:val="24"/>
          <w:szCs w:val="24"/>
        </w:rPr>
        <w:t>Prohibitions</w:t>
      </w:r>
    </w:p>
    <w:p w:rsidR="00465D50" w:rsidRPr="007F1FE4" w:rsidRDefault="00465D50" w:rsidP="00465D50">
      <w:pPr>
        <w:autoSpaceDE w:val="0"/>
        <w:autoSpaceDN w:val="0"/>
        <w:adjustRightInd w:val="0"/>
        <w:spacing w:after="120"/>
        <w:ind w:left="426" w:hanging="426"/>
        <w:jc w:val="both"/>
        <w:rPr>
          <w:lang w:val="en-US" w:eastAsia="en-US"/>
        </w:rPr>
      </w:pPr>
      <w:r>
        <w:rPr>
          <w:lang w:eastAsia="en-US"/>
        </w:rPr>
        <w:t>5</w:t>
      </w:r>
      <w:r>
        <w:rPr>
          <w:lang w:val="en-US" w:eastAsia="en-US"/>
        </w:rPr>
        <w:t>.</w:t>
      </w:r>
      <w:r w:rsidRPr="007F1FE4">
        <w:rPr>
          <w:lang w:val="en-US" w:eastAsia="en-US"/>
        </w:rPr>
        <w:t xml:space="preserve"> </w:t>
      </w:r>
      <w:r w:rsidRPr="007F1FE4">
        <w:rPr>
          <w:lang w:val="en-US" w:eastAsia="en-US"/>
        </w:rPr>
        <w:tab/>
      </w:r>
      <w:r>
        <w:t>Pursuant to paragraph 16(1)(a) of the Act, the taking, processing or carrying of trochus in the area of the Trochus Fishery is prohibited.</w:t>
      </w:r>
    </w:p>
    <w:p w:rsidR="00465D50" w:rsidRPr="00465D50" w:rsidRDefault="00465D50" w:rsidP="00465D50">
      <w:pPr>
        <w:pStyle w:val="Heading3"/>
        <w:tabs>
          <w:tab w:val="left" w:pos="720"/>
        </w:tabs>
        <w:rPr>
          <w:rFonts w:ascii="Times New Roman" w:hAnsi="Times New Roman" w:cs="Times New Roman"/>
          <w:sz w:val="24"/>
          <w:szCs w:val="24"/>
        </w:rPr>
      </w:pPr>
      <w:r w:rsidRPr="00465D50">
        <w:rPr>
          <w:rFonts w:ascii="Times New Roman" w:hAnsi="Times New Roman" w:cs="Times New Roman"/>
          <w:sz w:val="24"/>
          <w:szCs w:val="24"/>
        </w:rPr>
        <w:t>Exemptions from the prohibition</w:t>
      </w:r>
      <w:r w:rsidR="008A4E94">
        <w:rPr>
          <w:rFonts w:ascii="Times New Roman" w:hAnsi="Times New Roman" w:cs="Times New Roman"/>
          <w:sz w:val="24"/>
          <w:szCs w:val="24"/>
        </w:rPr>
        <w:t>s</w:t>
      </w:r>
    </w:p>
    <w:p w:rsidR="00465D50" w:rsidRDefault="00465D50" w:rsidP="00465D50">
      <w:pPr>
        <w:pStyle w:val="notice1"/>
        <w:rPr>
          <w:rFonts w:ascii="Times New Roman" w:hAnsi="Times New Roman"/>
        </w:rPr>
      </w:pPr>
    </w:p>
    <w:p w:rsidR="00465D50" w:rsidRDefault="00465D50" w:rsidP="00465D50">
      <w:pPr>
        <w:pStyle w:val="notice1"/>
        <w:ind w:left="426" w:hanging="426"/>
        <w:rPr>
          <w:rFonts w:ascii="Times New Roman" w:hAnsi="Times New Roman"/>
        </w:rPr>
      </w:pPr>
      <w:r w:rsidRPr="005E270B">
        <w:rPr>
          <w:rFonts w:ascii="Times New Roman" w:hAnsi="Times New Roman"/>
        </w:rPr>
        <w:t>6.</w:t>
      </w:r>
      <w:r>
        <w:rPr>
          <w:rFonts w:ascii="Times New Roman" w:hAnsi="Times New Roman"/>
        </w:rPr>
        <w:tab/>
        <w:t>Pursuant to paragraph 16(1A)(d) of the Act, a person is exempt from the prohibition</w:t>
      </w:r>
      <w:r w:rsidR="005E270B">
        <w:rPr>
          <w:rFonts w:ascii="Times New Roman" w:hAnsi="Times New Roman"/>
        </w:rPr>
        <w:t>s in C</w:t>
      </w:r>
      <w:r>
        <w:rPr>
          <w:rFonts w:ascii="Times New Roman" w:hAnsi="Times New Roman"/>
        </w:rPr>
        <w:t>lause 5 if:</w:t>
      </w:r>
    </w:p>
    <w:p w:rsidR="00465D50" w:rsidRDefault="00465D50" w:rsidP="00465D50">
      <w:pPr>
        <w:pStyle w:val="notice1"/>
        <w:ind w:left="510" w:hanging="510"/>
        <w:rPr>
          <w:rFonts w:ascii="Times New Roman" w:hAnsi="Times New Roman"/>
        </w:rPr>
      </w:pPr>
    </w:p>
    <w:p w:rsidR="00465D50" w:rsidRDefault="00465D50" w:rsidP="00465D50">
      <w:pPr>
        <w:pStyle w:val="notice1"/>
        <w:ind w:left="1020" w:hanging="510"/>
        <w:rPr>
          <w:rFonts w:ascii="Times New Roman" w:hAnsi="Times New Roman"/>
        </w:rPr>
      </w:pPr>
      <w:r>
        <w:rPr>
          <w:rFonts w:ascii="Times New Roman" w:hAnsi="Times New Roman"/>
        </w:rPr>
        <w:t>(a)</w:t>
      </w:r>
      <w:r>
        <w:rPr>
          <w:rFonts w:ascii="Times New Roman" w:hAnsi="Times New Roman"/>
        </w:rPr>
        <w:tab/>
        <w:t>the person holds a licence granted under either subsection 19(2) or 19(3) of the Act that entitles that person to take, process or carry trochus; or</w:t>
      </w:r>
    </w:p>
    <w:p w:rsidR="00465D50" w:rsidRDefault="00465D50" w:rsidP="00465D50">
      <w:pPr>
        <w:pStyle w:val="notice1"/>
        <w:ind w:left="1020" w:hanging="510"/>
        <w:rPr>
          <w:rFonts w:ascii="Times New Roman" w:hAnsi="Times New Roman"/>
        </w:rPr>
      </w:pPr>
    </w:p>
    <w:p w:rsidR="00465D50" w:rsidRDefault="00465D50" w:rsidP="00465D50">
      <w:pPr>
        <w:pStyle w:val="notice1"/>
        <w:ind w:left="1020" w:hanging="510"/>
        <w:rPr>
          <w:rFonts w:ascii="Times New Roman" w:hAnsi="Times New Roman"/>
        </w:rPr>
      </w:pPr>
      <w:r>
        <w:rPr>
          <w:rFonts w:ascii="Times New Roman" w:hAnsi="Times New Roman"/>
        </w:rPr>
        <w:t>(b)</w:t>
      </w:r>
      <w:r>
        <w:rPr>
          <w:rFonts w:ascii="Times New Roman" w:hAnsi="Times New Roman"/>
        </w:rPr>
        <w:tab/>
        <w:t>the person takes, processes or carries trochus in the course of traditional fishing.</w:t>
      </w:r>
    </w:p>
    <w:p w:rsidR="00465D50" w:rsidRDefault="00465D50" w:rsidP="00465D50">
      <w:pPr>
        <w:pStyle w:val="notice1"/>
        <w:rPr>
          <w:rFonts w:ascii="Times New Roman" w:hAnsi="Times New Roman"/>
        </w:rPr>
      </w:pPr>
    </w:p>
    <w:p w:rsidR="00465D50" w:rsidRDefault="00465D50" w:rsidP="00465D50">
      <w:pPr>
        <w:pStyle w:val="notice1"/>
        <w:rPr>
          <w:rFonts w:ascii="Times New Roman" w:hAnsi="Times New Roman"/>
          <w:b/>
        </w:rPr>
      </w:pPr>
      <w:r>
        <w:rPr>
          <w:rFonts w:ascii="Times New Roman" w:hAnsi="Times New Roman"/>
          <w:b/>
        </w:rPr>
        <w:t>Gear restrictions</w:t>
      </w:r>
    </w:p>
    <w:p w:rsidR="00465D50" w:rsidRDefault="00465D50" w:rsidP="00465D50">
      <w:pPr>
        <w:pStyle w:val="notice1"/>
        <w:rPr>
          <w:rFonts w:ascii="Times New Roman" w:hAnsi="Times New Roman"/>
        </w:rPr>
      </w:pPr>
    </w:p>
    <w:p w:rsidR="00465D50" w:rsidRDefault="00465D50" w:rsidP="00465D50">
      <w:pPr>
        <w:pStyle w:val="notice1"/>
        <w:ind w:left="426" w:hanging="426"/>
        <w:rPr>
          <w:rFonts w:ascii="Times New Roman" w:hAnsi="Times New Roman"/>
        </w:rPr>
      </w:pPr>
      <w:r>
        <w:rPr>
          <w:rFonts w:ascii="Times New Roman" w:hAnsi="Times New Roman"/>
        </w:rPr>
        <w:t>7</w:t>
      </w:r>
      <w:r w:rsidRPr="008C12C7">
        <w:rPr>
          <w:rFonts w:ascii="Times New Roman" w:hAnsi="Times New Roman"/>
        </w:rPr>
        <w:t>.</w:t>
      </w:r>
      <w:r>
        <w:rPr>
          <w:rFonts w:ascii="Times New Roman" w:hAnsi="Times New Roman"/>
        </w:rPr>
        <w:tab/>
        <w:t>Pursuant to paragraph 16(1)(c) of the Act, the taking of trochus in the area of the Trochus Fishery is prohibited except if collected by hand and without the use of any underwater breathing apparatus.</w:t>
      </w:r>
    </w:p>
    <w:p w:rsidR="00465D50" w:rsidRDefault="00465D50" w:rsidP="00465D50">
      <w:pPr>
        <w:pStyle w:val="notice1"/>
        <w:rPr>
          <w:rFonts w:ascii="Times New Roman" w:hAnsi="Times New Roman"/>
        </w:rPr>
      </w:pPr>
    </w:p>
    <w:p w:rsidR="00465D50" w:rsidRDefault="00465D50" w:rsidP="00465D50">
      <w:pPr>
        <w:pStyle w:val="notice1"/>
        <w:rPr>
          <w:rFonts w:ascii="Times New Roman" w:hAnsi="Times New Roman"/>
        </w:rPr>
      </w:pPr>
      <w:r>
        <w:rPr>
          <w:rFonts w:ascii="Times New Roman" w:hAnsi="Times New Roman"/>
          <w:b/>
        </w:rPr>
        <w:t>Size limit</w:t>
      </w:r>
    </w:p>
    <w:p w:rsidR="00465D50" w:rsidRDefault="00465D50" w:rsidP="00465D50">
      <w:pPr>
        <w:pStyle w:val="notice1"/>
        <w:rPr>
          <w:rFonts w:ascii="Times New Roman" w:hAnsi="Times New Roman"/>
        </w:rPr>
      </w:pPr>
    </w:p>
    <w:p w:rsidR="00465D50" w:rsidRDefault="00465D50" w:rsidP="005E270B">
      <w:pPr>
        <w:pStyle w:val="notice1"/>
        <w:ind w:left="426" w:hanging="426"/>
        <w:rPr>
          <w:rFonts w:ascii="Times New Roman" w:hAnsi="Times New Roman"/>
        </w:rPr>
      </w:pPr>
      <w:r>
        <w:rPr>
          <w:rFonts w:ascii="Times New Roman" w:hAnsi="Times New Roman"/>
        </w:rPr>
        <w:t>8</w:t>
      </w:r>
      <w:r w:rsidRPr="008C12C7">
        <w:rPr>
          <w:rFonts w:ascii="Times New Roman" w:hAnsi="Times New Roman"/>
        </w:rPr>
        <w:t>.</w:t>
      </w:r>
      <w:r>
        <w:rPr>
          <w:rFonts w:ascii="Times New Roman" w:hAnsi="Times New Roman"/>
        </w:rPr>
        <w:tab/>
        <w:t xml:space="preserve">Pursuant to paragraph 16(1)(b)(ii) of the Act, the taking of trochus is prohibited if the trochus, when measured in their original form as fished, are less </w:t>
      </w:r>
      <w:r w:rsidR="005E270B">
        <w:rPr>
          <w:rFonts w:ascii="Times New Roman" w:hAnsi="Times New Roman"/>
        </w:rPr>
        <w:t>than 80 millimetres or more than</w:t>
      </w:r>
      <w:r>
        <w:rPr>
          <w:rFonts w:ascii="Times New Roman" w:hAnsi="Times New Roman"/>
        </w:rPr>
        <w:t xml:space="preserve"> 125 millimetres,</w:t>
      </w:r>
      <w:r w:rsidRPr="008C12C7">
        <w:rPr>
          <w:rFonts w:ascii="Times New Roman" w:hAnsi="Times New Roman"/>
        </w:rPr>
        <w:t xml:space="preserve"> </w:t>
      </w:r>
      <w:r>
        <w:rPr>
          <w:rFonts w:ascii="Times New Roman" w:hAnsi="Times New Roman"/>
        </w:rPr>
        <w:t>at the widest part of the base of the shell.</w:t>
      </w:r>
    </w:p>
    <w:p w:rsidR="00465D50" w:rsidRDefault="00465D50" w:rsidP="00465D50">
      <w:pPr>
        <w:pStyle w:val="notice1"/>
        <w:rPr>
          <w:rFonts w:ascii="Times New Roman" w:hAnsi="Times New Roman"/>
        </w:rPr>
      </w:pPr>
    </w:p>
    <w:p w:rsidR="00465D50" w:rsidRDefault="00465D50" w:rsidP="00465D50">
      <w:pPr>
        <w:pStyle w:val="notice1"/>
        <w:rPr>
          <w:rFonts w:ascii="Times New Roman" w:hAnsi="Times New Roman"/>
          <w:b/>
        </w:rPr>
      </w:pPr>
      <w:r>
        <w:rPr>
          <w:rFonts w:ascii="Times New Roman" w:hAnsi="Times New Roman"/>
          <w:b/>
        </w:rPr>
        <w:t>Exemption from size limit</w:t>
      </w:r>
    </w:p>
    <w:p w:rsidR="00465D50" w:rsidRDefault="00465D50" w:rsidP="00465D50">
      <w:pPr>
        <w:pStyle w:val="notice1"/>
        <w:rPr>
          <w:rFonts w:ascii="Times New Roman" w:hAnsi="Times New Roman"/>
        </w:rPr>
      </w:pPr>
    </w:p>
    <w:p w:rsidR="00465D50" w:rsidRDefault="00465D50" w:rsidP="005E270B">
      <w:pPr>
        <w:pStyle w:val="notice1"/>
        <w:ind w:left="426" w:hanging="426"/>
        <w:rPr>
          <w:rFonts w:ascii="Times New Roman" w:hAnsi="Times New Roman"/>
        </w:rPr>
      </w:pPr>
      <w:r>
        <w:rPr>
          <w:rFonts w:ascii="Times New Roman" w:hAnsi="Times New Roman"/>
        </w:rPr>
        <w:t>9</w:t>
      </w:r>
      <w:r w:rsidRPr="008C12C7">
        <w:rPr>
          <w:rFonts w:ascii="Times New Roman" w:hAnsi="Times New Roman"/>
        </w:rPr>
        <w:t>.</w:t>
      </w:r>
      <w:r>
        <w:rPr>
          <w:rFonts w:ascii="Times New Roman" w:hAnsi="Times New Roman"/>
        </w:rPr>
        <w:tab/>
        <w:t xml:space="preserve">A person is exempt from the prohibition in </w:t>
      </w:r>
      <w:r w:rsidR="00F77C9F">
        <w:rPr>
          <w:rFonts w:ascii="Times New Roman" w:hAnsi="Times New Roman"/>
        </w:rPr>
        <w:t>C</w:t>
      </w:r>
      <w:r>
        <w:rPr>
          <w:rFonts w:ascii="Times New Roman" w:hAnsi="Times New Roman"/>
        </w:rPr>
        <w:t>lause 8 if that person is engaged in traditional fishing.</w:t>
      </w:r>
    </w:p>
    <w:p w:rsidR="00385067" w:rsidRDefault="00385067"/>
    <w:sectPr w:rsidR="00385067">
      <w:pgSz w:w="11906" w:h="16838"/>
      <w:pgMar w:top="1440" w:right="1286"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8617"/>
    <w:multiLevelType w:val="hybridMultilevel"/>
    <w:tmpl w:val="8C39E0C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57AED"/>
    <w:multiLevelType w:val="hybridMultilevel"/>
    <w:tmpl w:val="5E36C0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5C0144"/>
    <w:multiLevelType w:val="hybridMultilevel"/>
    <w:tmpl w:val="5E36C0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DDC1DC3"/>
    <w:multiLevelType w:val="hybridMultilevel"/>
    <w:tmpl w:val="5E36C0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50"/>
    <w:rsid w:val="000B42B1"/>
    <w:rsid w:val="00385067"/>
    <w:rsid w:val="00465D50"/>
    <w:rsid w:val="005E270B"/>
    <w:rsid w:val="00634DD7"/>
    <w:rsid w:val="00860B01"/>
    <w:rsid w:val="008838C6"/>
    <w:rsid w:val="008A4E94"/>
    <w:rsid w:val="00995189"/>
    <w:rsid w:val="00C0272A"/>
    <w:rsid w:val="00C0699E"/>
    <w:rsid w:val="00F77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82ABD058-12BA-46F5-90E6-83E52B1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D50"/>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465D50"/>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5D50"/>
    <w:rPr>
      <w:rFonts w:ascii="Arial" w:eastAsia="Times New Roman" w:hAnsi="Arial" w:cs="Arial"/>
      <w:b/>
      <w:bCs/>
      <w:sz w:val="26"/>
      <w:szCs w:val="26"/>
    </w:rPr>
  </w:style>
  <w:style w:type="paragraph" w:customStyle="1" w:styleId="AFMANormal">
    <w:name w:val="AFMA Normal"/>
    <w:rsid w:val="00465D50"/>
    <w:pPr>
      <w:spacing w:before="240" w:after="0" w:line="240" w:lineRule="auto"/>
      <w:jc w:val="both"/>
    </w:pPr>
    <w:rPr>
      <w:rFonts w:ascii="Times New Roman" w:eastAsia="Times New Roman" w:hAnsi="Times New Roman" w:cs="Times New Roman"/>
      <w:kern w:val="20"/>
      <w:sz w:val="24"/>
      <w:szCs w:val="20"/>
    </w:rPr>
  </w:style>
  <w:style w:type="paragraph" w:styleId="ListParagraph">
    <w:name w:val="List Paragraph"/>
    <w:basedOn w:val="Normal"/>
    <w:uiPriority w:val="34"/>
    <w:qFormat/>
    <w:rsid w:val="00465D50"/>
    <w:pPr>
      <w:ind w:left="720"/>
      <w:contextualSpacing/>
    </w:pPr>
  </w:style>
  <w:style w:type="paragraph" w:customStyle="1" w:styleId="notice1">
    <w:name w:val="notice1"/>
    <w:basedOn w:val="Normal"/>
    <w:rsid w:val="00465D50"/>
    <w:pPr>
      <w:ind w:left="600" w:hanging="600"/>
      <w:jc w:val="both"/>
    </w:pPr>
    <w:rPr>
      <w:rFonts w:ascii="Tms Rmn" w:hAnsi="Tms Rmn"/>
      <w:szCs w:val="20"/>
      <w:lang w:eastAsia="en-US"/>
    </w:rPr>
  </w:style>
  <w:style w:type="character" w:styleId="CommentReference">
    <w:name w:val="annotation reference"/>
    <w:basedOn w:val="DefaultParagraphFont"/>
    <w:uiPriority w:val="99"/>
    <w:semiHidden/>
    <w:unhideWhenUsed/>
    <w:rsid w:val="00995189"/>
    <w:rPr>
      <w:sz w:val="16"/>
      <w:szCs w:val="16"/>
    </w:rPr>
  </w:style>
  <w:style w:type="paragraph" w:styleId="CommentText">
    <w:name w:val="annotation text"/>
    <w:basedOn w:val="Normal"/>
    <w:link w:val="CommentTextChar"/>
    <w:uiPriority w:val="99"/>
    <w:semiHidden/>
    <w:unhideWhenUsed/>
    <w:rsid w:val="00995189"/>
    <w:rPr>
      <w:sz w:val="20"/>
      <w:szCs w:val="20"/>
    </w:rPr>
  </w:style>
  <w:style w:type="character" w:customStyle="1" w:styleId="CommentTextChar">
    <w:name w:val="Comment Text Char"/>
    <w:basedOn w:val="DefaultParagraphFont"/>
    <w:link w:val="CommentText"/>
    <w:uiPriority w:val="99"/>
    <w:semiHidden/>
    <w:rsid w:val="0099518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95189"/>
    <w:rPr>
      <w:b/>
      <w:bCs/>
    </w:rPr>
  </w:style>
  <w:style w:type="character" w:customStyle="1" w:styleId="CommentSubjectChar">
    <w:name w:val="Comment Subject Char"/>
    <w:basedOn w:val="CommentTextChar"/>
    <w:link w:val="CommentSubject"/>
    <w:uiPriority w:val="99"/>
    <w:semiHidden/>
    <w:rsid w:val="0099518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995189"/>
    <w:rPr>
      <w:rFonts w:ascii="Tahoma" w:hAnsi="Tahoma" w:cs="Tahoma"/>
      <w:sz w:val="16"/>
      <w:szCs w:val="16"/>
    </w:rPr>
  </w:style>
  <w:style w:type="character" w:customStyle="1" w:styleId="BalloonTextChar">
    <w:name w:val="Balloon Text Char"/>
    <w:basedOn w:val="DefaultParagraphFont"/>
    <w:link w:val="BalloonText"/>
    <w:uiPriority w:val="99"/>
    <w:semiHidden/>
    <w:rsid w:val="00995189"/>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KEARNEY, Brendan</cp:lastModifiedBy>
  <cp:revision>2</cp:revision>
  <cp:lastPrinted>2016-08-30T02:28:00Z</cp:lastPrinted>
  <dcterms:created xsi:type="dcterms:W3CDTF">2016-09-04T23:06:00Z</dcterms:created>
  <dcterms:modified xsi:type="dcterms:W3CDTF">2016-09-04T23:06:00Z</dcterms:modified>
</cp:coreProperties>
</file>