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C2" w:rsidRDefault="00AC02C2">
      <w:pPr>
        <w:pStyle w:val="Title"/>
      </w:pPr>
      <w:bookmarkStart w:id="0" w:name="_GoBack"/>
      <w:bookmarkEnd w:id="0"/>
    </w:p>
    <w:p w:rsidR="00AC02C2" w:rsidRDefault="00AC02C2">
      <w:pPr>
        <w:pStyle w:val="Title"/>
      </w:pPr>
    </w:p>
    <w:p w:rsidR="005B0E3A" w:rsidRDefault="005B0E3A" w:rsidP="005B0E3A">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CF7D6C">
        <w:rPr>
          <w:b/>
          <w:color w:val="000000"/>
          <w:spacing w:val="-1"/>
          <w:sz w:val="28"/>
        </w:rPr>
        <w:t>ASIC Corporations (Uncontactable Members) Instrument 201</w:t>
      </w:r>
      <w:r w:rsidR="00384F8A">
        <w:rPr>
          <w:b/>
          <w:color w:val="000000"/>
          <w:spacing w:val="-1"/>
          <w:sz w:val="28"/>
        </w:rPr>
        <w:t>6</w:t>
      </w:r>
      <w:r w:rsidR="00CF7D6C">
        <w:rPr>
          <w:b/>
          <w:color w:val="000000"/>
          <w:spacing w:val="-1"/>
          <w:sz w:val="28"/>
        </w:rPr>
        <w:t>/</w:t>
      </w:r>
      <w:r w:rsidR="00A3166E">
        <w:rPr>
          <w:b/>
          <w:color w:val="000000"/>
          <w:spacing w:val="-1"/>
          <w:sz w:val="28"/>
        </w:rPr>
        <w:t>187</w:t>
      </w:r>
      <w:r>
        <w:rPr>
          <w:b/>
          <w:color w:val="000000"/>
          <w:spacing w:val="-1"/>
          <w:sz w:val="28"/>
        </w:rPr>
        <w:t xml:space="preserve"> </w:t>
      </w:r>
    </w:p>
    <w:p w:rsidR="005B0E3A" w:rsidRDefault="005B0E3A" w:rsidP="005B0E3A">
      <w:pPr>
        <w:pStyle w:val="BodyText"/>
        <w:jc w:val="center"/>
      </w:pPr>
      <w:r>
        <w:t>Prepared by the Australian Securities and Investments Commission</w:t>
      </w:r>
    </w:p>
    <w:p w:rsidR="005B0E3A" w:rsidRDefault="005B0E3A" w:rsidP="005B0E3A">
      <w:pPr>
        <w:spacing w:before="4" w:line="220" w:lineRule="exact"/>
        <w:jc w:val="center"/>
      </w:pPr>
    </w:p>
    <w:p w:rsidR="005B0E3A" w:rsidRDefault="005B0E3A" w:rsidP="005B0E3A">
      <w:pPr>
        <w:jc w:val="center"/>
        <w:rPr>
          <w:sz w:val="24"/>
          <w:szCs w:val="24"/>
        </w:rPr>
      </w:pPr>
      <w:r>
        <w:rPr>
          <w:i/>
          <w:sz w:val="24"/>
        </w:rPr>
        <w:t>Corporations Act 2001</w:t>
      </w:r>
    </w:p>
    <w:p w:rsidR="005B0E3A" w:rsidRDefault="005B0E3A" w:rsidP="005B0E3A">
      <w:pPr>
        <w:spacing w:before="3" w:line="220" w:lineRule="exact"/>
      </w:pPr>
    </w:p>
    <w:p w:rsidR="006840BC" w:rsidRDefault="005B0E3A" w:rsidP="005B0E3A">
      <w:pPr>
        <w:pStyle w:val="BodyText"/>
        <w:spacing w:line="261" w:lineRule="auto"/>
        <w:rPr>
          <w:color w:val="000000"/>
          <w:spacing w:val="-1"/>
        </w:rPr>
      </w:pPr>
      <w:r>
        <w:t xml:space="preserve">The Australian Securities and </w:t>
      </w:r>
      <w:r>
        <w:rPr>
          <w:spacing w:val="-1"/>
        </w:rPr>
        <w:t>Investments</w:t>
      </w:r>
      <w:r>
        <w:t xml:space="preserve"> </w:t>
      </w:r>
      <w:r>
        <w:rPr>
          <w:spacing w:val="-1"/>
        </w:rPr>
        <w:t>Commission</w:t>
      </w:r>
      <w:r>
        <w:t xml:space="preserve"> (ASIC) </w:t>
      </w:r>
      <w:r>
        <w:rPr>
          <w:spacing w:val="-1"/>
        </w:rPr>
        <w:t>makes</w:t>
      </w:r>
      <w:r>
        <w:t xml:space="preserve"> </w:t>
      </w:r>
      <w:r w:rsidR="00CF7D6C" w:rsidRPr="00CF7D6C">
        <w:rPr>
          <w:i/>
        </w:rPr>
        <w:t>ASIC Corporations (Uncontactable Members) Instrument 201</w:t>
      </w:r>
      <w:r w:rsidR="00384F8A">
        <w:rPr>
          <w:i/>
        </w:rPr>
        <w:t>6</w:t>
      </w:r>
      <w:r w:rsidR="00CF7D6C" w:rsidRPr="00CF7D6C">
        <w:rPr>
          <w:i/>
        </w:rPr>
        <w:t>/</w:t>
      </w:r>
      <w:r w:rsidR="00A3166E">
        <w:rPr>
          <w:i/>
        </w:rPr>
        <w:t>187</w:t>
      </w:r>
      <w:r>
        <w:rPr>
          <w:color w:val="000000"/>
          <w:spacing w:val="-1"/>
        </w:rPr>
        <w:t xml:space="preserve"> under </w:t>
      </w:r>
      <w:r w:rsidR="00CF7D6C" w:rsidRPr="00F3152A">
        <w:t xml:space="preserve">subsection 341(1) of the </w:t>
      </w:r>
      <w:r w:rsidR="00CF7D6C" w:rsidRPr="00F3152A">
        <w:rPr>
          <w:i/>
        </w:rPr>
        <w:t>Corporations Act 2001</w:t>
      </w:r>
      <w:r w:rsidR="00CF7D6C">
        <w:rPr>
          <w:i/>
        </w:rPr>
        <w:t xml:space="preserve"> </w:t>
      </w:r>
      <w:r w:rsidR="00CF7D6C" w:rsidRPr="00C1165C">
        <w:t xml:space="preserve">(the </w:t>
      </w:r>
      <w:r w:rsidR="00CF7D6C">
        <w:t xml:space="preserve">Corporations </w:t>
      </w:r>
      <w:r w:rsidR="00CF7D6C" w:rsidRPr="00C1165C">
        <w:t>Act)</w:t>
      </w:r>
      <w:r w:rsidR="00CF7D6C" w:rsidRPr="00C1165C">
        <w:rPr>
          <w:color w:val="000000"/>
          <w:spacing w:val="-1"/>
        </w:rPr>
        <w:t>.</w:t>
      </w:r>
      <w:r>
        <w:rPr>
          <w:color w:val="000000"/>
          <w:spacing w:val="-1"/>
        </w:rPr>
        <w:t xml:space="preserve"> </w:t>
      </w:r>
    </w:p>
    <w:p w:rsidR="005B0E3A" w:rsidRDefault="00CF7D6C" w:rsidP="005B0E3A">
      <w:pPr>
        <w:pStyle w:val="BodyText"/>
        <w:spacing w:line="261" w:lineRule="auto"/>
      </w:pPr>
      <w:r>
        <w:t xml:space="preserve">Subsection </w:t>
      </w:r>
      <w:r w:rsidRPr="00F3152A">
        <w:rPr>
          <w:spacing w:val="-1"/>
        </w:rPr>
        <w:t xml:space="preserve">341(1) </w:t>
      </w:r>
      <w:r>
        <w:rPr>
          <w:color w:val="000000"/>
        </w:rPr>
        <w:t xml:space="preserve">provides that ASIC </w:t>
      </w:r>
      <w:r w:rsidRPr="00C1165C">
        <w:t>may</w:t>
      </w:r>
      <w:r w:rsidRPr="00C1165C">
        <w:rPr>
          <w:spacing w:val="-1"/>
        </w:rPr>
        <w:t xml:space="preserve"> </w:t>
      </w:r>
      <w:r w:rsidRPr="00C1165C">
        <w:t xml:space="preserve">make an order in writing in respect of a specified class of companies, registered schemes or disclosing entities, relieving any of the directors, the companies, registered schemes or disclosing entities themselves, or the auditors of the companies, registered schemes or disclosing entities from all or specified requirements of Parts 2M.2, 2M.3 and 2M.4 (other than Division 4) of the </w:t>
      </w:r>
      <w:r>
        <w:t xml:space="preserve">Corporations </w:t>
      </w:r>
      <w:r w:rsidRPr="00C1165C">
        <w:t>Act.</w:t>
      </w:r>
    </w:p>
    <w:p w:rsidR="005B0E3A" w:rsidRDefault="005B0E3A" w:rsidP="005B0E3A">
      <w:pPr>
        <w:spacing w:before="6" w:line="220" w:lineRule="exact"/>
      </w:pPr>
    </w:p>
    <w:p w:rsidR="005B0E3A" w:rsidRDefault="005B0E3A" w:rsidP="005B0E3A">
      <w:pPr>
        <w:widowControl w:val="0"/>
        <w:numPr>
          <w:ilvl w:val="0"/>
          <w:numId w:val="7"/>
        </w:numPr>
        <w:tabs>
          <w:tab w:val="left" w:pos="1592"/>
        </w:tabs>
        <w:spacing w:before="145" w:after="0"/>
        <w:ind w:left="0" w:firstLine="0"/>
        <w:rPr>
          <w:rFonts w:ascii="Arial" w:eastAsia="Arial" w:hAnsi="Arial" w:cs="Arial"/>
          <w:sz w:val="24"/>
          <w:szCs w:val="24"/>
        </w:rPr>
      </w:pPr>
      <w:bookmarkStart w:id="1" w:name="1._Background"/>
      <w:bookmarkEnd w:id="1"/>
      <w:r>
        <w:rPr>
          <w:rFonts w:ascii="Arial"/>
          <w:b/>
          <w:spacing w:val="-1"/>
          <w:sz w:val="24"/>
        </w:rPr>
        <w:t>Background</w:t>
      </w:r>
    </w:p>
    <w:p w:rsidR="005B0E3A" w:rsidRDefault="005B0E3A" w:rsidP="005B0E3A">
      <w:pPr>
        <w:spacing w:before="4" w:line="220" w:lineRule="exact"/>
      </w:pPr>
    </w:p>
    <w:p w:rsidR="00CF7D6C" w:rsidRDefault="00CF7D6C" w:rsidP="00CF7D6C">
      <w:pPr>
        <w:pStyle w:val="BodyText"/>
      </w:pPr>
      <w:r>
        <w:t xml:space="preserve">Section 314 of the Corporations Act requires a company, </w:t>
      </w:r>
      <w:r w:rsidRPr="008D6801">
        <w:t xml:space="preserve">registered </w:t>
      </w:r>
      <w:r>
        <w:t>m</w:t>
      </w:r>
      <w:r w:rsidRPr="001D3E01">
        <w:t xml:space="preserve">anaged investment </w:t>
      </w:r>
      <w:r w:rsidRPr="008D6801">
        <w:t>scheme</w:t>
      </w:r>
      <w:r>
        <w:t xml:space="preserve"> (registered scheme) or disclosing entity to send to members the financial report and directors’ report for a financial year, and an auditor’s report on the financial report; or a concise report (</w:t>
      </w:r>
      <w:r w:rsidRPr="00285ED2">
        <w:t>s</w:t>
      </w:r>
      <w:r>
        <w:t xml:space="preserve">ection </w:t>
      </w:r>
      <w:r w:rsidRPr="00285ED2">
        <w:t>314</w:t>
      </w:r>
      <w:r>
        <w:t xml:space="preserve"> reports). </w:t>
      </w:r>
    </w:p>
    <w:p w:rsidR="00CF7D6C" w:rsidRPr="001A7E0F" w:rsidRDefault="00CF7D6C" w:rsidP="00CF7D6C">
      <w:pPr>
        <w:pStyle w:val="BodyText"/>
      </w:pPr>
      <w:r>
        <w:t xml:space="preserve">Section 315 of the Corporations Act specifies the deadlines for providing </w:t>
      </w:r>
      <w:r w:rsidRPr="00C25A91">
        <w:t>the</w:t>
      </w:r>
      <w:r w:rsidRPr="001A7E0F">
        <w:t> s</w:t>
      </w:r>
      <w:r>
        <w:t xml:space="preserve">ection </w:t>
      </w:r>
      <w:r w:rsidRPr="001A7E0F">
        <w:t>314</w:t>
      </w:r>
      <w:r w:rsidRPr="00C25A91">
        <w:t xml:space="preserve"> </w:t>
      </w:r>
      <w:r w:rsidRPr="00165779">
        <w:t>reports to members.</w:t>
      </w:r>
      <w:r w:rsidRPr="001A7E0F">
        <w:t xml:space="preserve"> A member can elect not to receive a copy of the reports.</w:t>
      </w:r>
    </w:p>
    <w:p w:rsidR="00CF7D6C" w:rsidRDefault="00CF7D6C" w:rsidP="00CF7D6C">
      <w:pPr>
        <w:pStyle w:val="BodyText"/>
      </w:pPr>
      <w:r w:rsidRPr="001A7E0F">
        <w:t>A hard copy of the s</w:t>
      </w:r>
      <w:r>
        <w:t xml:space="preserve">ection </w:t>
      </w:r>
      <w:r w:rsidRPr="001A7E0F">
        <w:t>314</w:t>
      </w:r>
      <w:r w:rsidRPr="00C25A91">
        <w:t xml:space="preserve"> </w:t>
      </w:r>
      <w:r w:rsidRPr="00165779">
        <w:t>reports</w:t>
      </w:r>
      <w:r>
        <w:t xml:space="preserve"> must be sent to each member</w:t>
      </w:r>
      <w:r w:rsidRPr="006A0365">
        <w:t xml:space="preserve"> </w:t>
      </w:r>
      <w:r>
        <w:t>who has elected to receive the reports, unless the member has elected to receive an electronic copy. The election made by a member is a standing election until the member changes that election.</w:t>
      </w:r>
    </w:p>
    <w:p w:rsidR="00CF7D6C" w:rsidRDefault="00CF7D6C" w:rsidP="00CF7D6C">
      <w:pPr>
        <w:pStyle w:val="BodyText"/>
      </w:pPr>
      <w:r>
        <w:t>Where a member is contactable and does not respond to an election notice from an entity, the entity does not need to send the member a financial report but must make the reports accessible through a website.</w:t>
      </w:r>
    </w:p>
    <w:p w:rsidR="00CF7D6C" w:rsidRDefault="00CF7D6C" w:rsidP="00CF7D6C">
      <w:pPr>
        <w:pStyle w:val="BodyText"/>
      </w:pPr>
      <w:r>
        <w:t xml:space="preserve">For entities with a large number of members, significant costs may be incurred in producing and </w:t>
      </w:r>
      <w:r w:rsidRPr="00285ED2">
        <w:t>distributing</w:t>
      </w:r>
      <w:r w:rsidRPr="00405505">
        <w:t xml:space="preserve"> hard</w:t>
      </w:r>
      <w:r>
        <w:t xml:space="preserve"> copies of the reports</w:t>
      </w:r>
      <w:r w:rsidR="0012472A">
        <w:t xml:space="preserve"> for members who no longer reside at the address shown in the register of members.</w:t>
      </w:r>
    </w:p>
    <w:p w:rsidR="005B0E3A" w:rsidRDefault="005B0E3A" w:rsidP="005B0E3A">
      <w:pPr>
        <w:pStyle w:val="BodyText"/>
        <w:spacing w:before="199"/>
      </w:pPr>
    </w:p>
    <w:p w:rsidR="005B0E3A" w:rsidRDefault="005B0E3A" w:rsidP="005B0E3A">
      <w:pPr>
        <w:spacing w:before="1" w:line="120" w:lineRule="exact"/>
        <w:rPr>
          <w:sz w:val="12"/>
          <w:szCs w:val="12"/>
        </w:rPr>
      </w:pPr>
    </w:p>
    <w:p w:rsidR="005B0E3A" w:rsidRDefault="005B0E3A" w:rsidP="005B0E3A">
      <w:pPr>
        <w:spacing w:line="240" w:lineRule="exact"/>
        <w:rPr>
          <w:sz w:val="24"/>
          <w:szCs w:val="24"/>
        </w:rPr>
      </w:pPr>
    </w:p>
    <w:p w:rsidR="005B0E3A" w:rsidRPr="00CF7D6C" w:rsidRDefault="005B0E3A" w:rsidP="005B0E3A">
      <w:pPr>
        <w:pStyle w:val="Heading3"/>
        <w:keepNext w:val="0"/>
        <w:widowControl w:val="0"/>
        <w:numPr>
          <w:ilvl w:val="0"/>
          <w:numId w:val="7"/>
        </w:numPr>
        <w:tabs>
          <w:tab w:val="left" w:pos="1592"/>
        </w:tabs>
        <w:spacing w:after="0" w:line="240" w:lineRule="auto"/>
        <w:ind w:left="0" w:firstLine="0"/>
        <w:jc w:val="left"/>
        <w:rPr>
          <w:rFonts w:ascii="Arial" w:eastAsia="Arial" w:hAnsi="Arial" w:cs="Arial"/>
          <w:b/>
          <w:bCs/>
          <w:sz w:val="24"/>
          <w:szCs w:val="24"/>
        </w:rPr>
      </w:pPr>
      <w:bookmarkStart w:id="2" w:name="2._Purpose_of_the_class_order_"/>
      <w:bookmarkEnd w:id="2"/>
      <w:r w:rsidRPr="00CF7D6C">
        <w:rPr>
          <w:rFonts w:ascii="Arial" w:hAnsi="Arial" w:cs="Arial"/>
          <w:b/>
          <w:spacing w:val="-1"/>
          <w:sz w:val="24"/>
          <w:szCs w:val="24"/>
        </w:rPr>
        <w:t>Purpose</w:t>
      </w:r>
      <w:r w:rsidRPr="00CF7D6C">
        <w:rPr>
          <w:rFonts w:ascii="Arial" w:hAnsi="Arial" w:cs="Arial"/>
          <w:b/>
          <w:sz w:val="24"/>
          <w:szCs w:val="24"/>
        </w:rPr>
        <w:t xml:space="preserve"> of </w:t>
      </w:r>
      <w:r w:rsidRPr="00CF7D6C">
        <w:rPr>
          <w:rFonts w:ascii="Arial" w:hAnsi="Arial" w:cs="Arial"/>
          <w:b/>
          <w:spacing w:val="-1"/>
          <w:sz w:val="24"/>
          <w:szCs w:val="24"/>
        </w:rPr>
        <w:t>the</w:t>
      </w:r>
      <w:r w:rsidRPr="00CF7D6C">
        <w:rPr>
          <w:rFonts w:ascii="Arial" w:hAnsi="Arial" w:cs="Arial"/>
          <w:b/>
          <w:sz w:val="24"/>
          <w:szCs w:val="24"/>
        </w:rPr>
        <w:t xml:space="preserve"> </w:t>
      </w:r>
      <w:r w:rsidRPr="00CF7D6C">
        <w:rPr>
          <w:rFonts w:ascii="Arial" w:hAnsi="Arial" w:cs="Arial"/>
          <w:b/>
          <w:spacing w:val="-1"/>
          <w:sz w:val="24"/>
          <w:szCs w:val="24"/>
        </w:rPr>
        <w:t>instrument</w:t>
      </w:r>
    </w:p>
    <w:p w:rsidR="00CF7D6C" w:rsidRDefault="00CF7D6C" w:rsidP="00CF7D6C">
      <w:pPr>
        <w:pStyle w:val="BodyText"/>
      </w:pPr>
      <w:r>
        <w:t>The instrument relieves a company, registered scheme or disclosing entity from its obligations under s314 and 315 if members are uncontactable.</w:t>
      </w:r>
    </w:p>
    <w:p w:rsidR="008C3EC5" w:rsidRDefault="008C3EC5" w:rsidP="00CF7D6C">
      <w:pPr>
        <w:pStyle w:val="BodyText"/>
      </w:pPr>
      <w:r>
        <w:t xml:space="preserve">Class Order [CO 98/101] is repealed by Schedule </w:t>
      </w:r>
      <w:r w:rsidR="00B87F68">
        <w:t>2</w:t>
      </w:r>
      <w:r>
        <w:t xml:space="preserve"> to the </w:t>
      </w:r>
      <w:r w:rsidRPr="00F5025B">
        <w:rPr>
          <w:i/>
        </w:rPr>
        <w:t>ASIC Corporations (Amendment and Repeal) Instrument 201</w:t>
      </w:r>
      <w:r w:rsidR="00384F8A">
        <w:rPr>
          <w:i/>
        </w:rPr>
        <w:t>6</w:t>
      </w:r>
      <w:r w:rsidRPr="00F5025B">
        <w:rPr>
          <w:i/>
        </w:rPr>
        <w:t>/</w:t>
      </w:r>
      <w:r w:rsidR="00B87F68">
        <w:rPr>
          <w:i/>
        </w:rPr>
        <w:t>247</w:t>
      </w:r>
      <w:r>
        <w:t>.</w:t>
      </w:r>
    </w:p>
    <w:p w:rsidR="005B0E3A" w:rsidRDefault="005B0E3A" w:rsidP="005B0E3A">
      <w:pPr>
        <w:spacing w:line="240" w:lineRule="exact"/>
        <w:rPr>
          <w:sz w:val="24"/>
          <w:szCs w:val="24"/>
        </w:rPr>
      </w:pPr>
    </w:p>
    <w:p w:rsidR="005B0E3A" w:rsidRPr="008C3EC5"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3" w:name="3._Operation_of_the_class_order_"/>
      <w:bookmarkEnd w:id="3"/>
      <w:r w:rsidRPr="008C3EC5">
        <w:rPr>
          <w:rFonts w:ascii="Arial" w:hAnsi="Arial" w:cs="Arial"/>
          <w:b/>
          <w:spacing w:val="-1"/>
          <w:sz w:val="24"/>
          <w:szCs w:val="24"/>
        </w:rPr>
        <w:t>Operation</w:t>
      </w:r>
      <w:r w:rsidRPr="008C3EC5">
        <w:rPr>
          <w:rFonts w:ascii="Arial" w:hAnsi="Arial" w:cs="Arial"/>
          <w:b/>
          <w:sz w:val="24"/>
          <w:szCs w:val="24"/>
        </w:rPr>
        <w:t xml:space="preserve"> </w:t>
      </w:r>
      <w:r w:rsidRPr="008C3EC5">
        <w:rPr>
          <w:rFonts w:ascii="Arial" w:hAnsi="Arial" w:cs="Arial"/>
          <w:b/>
          <w:spacing w:val="-1"/>
          <w:sz w:val="24"/>
          <w:szCs w:val="24"/>
        </w:rPr>
        <w:t>of</w:t>
      </w:r>
      <w:r w:rsidRPr="008C3EC5">
        <w:rPr>
          <w:rFonts w:ascii="Arial" w:hAnsi="Arial" w:cs="Arial"/>
          <w:b/>
          <w:sz w:val="24"/>
          <w:szCs w:val="24"/>
        </w:rPr>
        <w:t xml:space="preserve"> </w:t>
      </w:r>
      <w:r w:rsidRPr="008C3EC5">
        <w:rPr>
          <w:rFonts w:ascii="Arial" w:hAnsi="Arial" w:cs="Arial"/>
          <w:b/>
          <w:spacing w:val="-1"/>
          <w:sz w:val="24"/>
          <w:szCs w:val="24"/>
        </w:rPr>
        <w:t>the</w:t>
      </w:r>
      <w:r w:rsidRPr="008C3EC5">
        <w:rPr>
          <w:rFonts w:ascii="Arial" w:hAnsi="Arial" w:cs="Arial"/>
          <w:b/>
          <w:sz w:val="24"/>
          <w:szCs w:val="24"/>
        </w:rPr>
        <w:t xml:space="preserve"> instrument</w:t>
      </w:r>
    </w:p>
    <w:p w:rsidR="005B0E3A" w:rsidRDefault="005B0E3A" w:rsidP="005B0E3A">
      <w:pPr>
        <w:spacing w:before="4" w:line="220" w:lineRule="exact"/>
      </w:pPr>
    </w:p>
    <w:p w:rsidR="00F14796" w:rsidRDefault="00BA0683" w:rsidP="00CF7D6C">
      <w:pPr>
        <w:pStyle w:val="BodyText"/>
      </w:pPr>
      <w:r>
        <w:t xml:space="preserve">An entity is relieved from sending a hard copy of the section 314 reports if </w:t>
      </w:r>
      <w:r w:rsidR="00F14796">
        <w:t>the entity:</w:t>
      </w:r>
    </w:p>
    <w:p w:rsidR="00F14796" w:rsidRDefault="00BA0683" w:rsidP="00F14796">
      <w:pPr>
        <w:pStyle w:val="BodyText"/>
        <w:numPr>
          <w:ilvl w:val="0"/>
          <w:numId w:val="17"/>
        </w:numPr>
      </w:pPr>
      <w:r>
        <w:t>has reasonable grounds to believe that the member does not reside at the address shown in the register of members</w:t>
      </w:r>
      <w:r w:rsidR="00F14796">
        <w:t>;</w:t>
      </w:r>
      <w:r>
        <w:t xml:space="preserve"> and</w:t>
      </w:r>
    </w:p>
    <w:p w:rsidR="00BA0683" w:rsidRDefault="00BA0683" w:rsidP="00F14796">
      <w:pPr>
        <w:pStyle w:val="BodyText"/>
        <w:numPr>
          <w:ilvl w:val="0"/>
          <w:numId w:val="17"/>
        </w:numPr>
      </w:pPr>
      <w:r>
        <w:t xml:space="preserve">it has been unable to establish the current address after exercising reasonable diligence. </w:t>
      </w:r>
    </w:p>
    <w:p w:rsidR="00BA0683" w:rsidRDefault="00BA0683" w:rsidP="00CF7D6C">
      <w:pPr>
        <w:pStyle w:val="BodyText"/>
      </w:pPr>
      <w:r>
        <w:t>The entity must send to the address shown in the register of members a notice that the dispatch of the section 314 reports to the member has been suspended but will be resumed on receipt of instructions (including a current address) to do so. The notice must be sent for a period of not less than 6 years from the date the member became uncontactable.</w:t>
      </w:r>
    </w:p>
    <w:p w:rsidR="008C3EC5" w:rsidRDefault="00F14796" w:rsidP="00F14796">
      <w:pPr>
        <w:pStyle w:val="BodyText"/>
      </w:pPr>
      <w:r>
        <w:t xml:space="preserve">The meaning of ‘uncontactable’ and the </w:t>
      </w:r>
      <w:r w:rsidR="00CF7D6C">
        <w:t xml:space="preserve">condition in the instrument to send a notice to the member for a period of not less than </w:t>
      </w:r>
      <w:r>
        <w:t>6</w:t>
      </w:r>
      <w:r w:rsidR="00CF7D6C">
        <w:t xml:space="preserve"> years is consistent with the requirements in s</w:t>
      </w:r>
      <w:r w:rsidR="00BA0683">
        <w:t xml:space="preserve">ection </w:t>
      </w:r>
      <w:r w:rsidR="00CF7D6C">
        <w:t>1343</w:t>
      </w:r>
      <w:r w:rsidR="00BA0683">
        <w:t xml:space="preserve"> of the Corporations Act</w:t>
      </w:r>
      <w:r>
        <w:t xml:space="preserve"> u</w:t>
      </w:r>
      <w:r w:rsidR="00CF7D6C">
        <w:t xml:space="preserve">nder </w:t>
      </w:r>
      <w:r>
        <w:t>which</w:t>
      </w:r>
      <w:r w:rsidR="00CF7D6C">
        <w:t xml:space="preserve"> a company may, after </w:t>
      </w:r>
      <w:r>
        <w:t>6</w:t>
      </w:r>
      <w:r w:rsidR="00CF7D6C">
        <w:t xml:space="preserve"> years, execute a transfer of securities to ASIC on behalf of a security holder if the company</w:t>
      </w:r>
      <w:r>
        <w:t xml:space="preserve"> cannot locate the security holder.</w:t>
      </w:r>
      <w:r w:rsidR="00CF7D6C">
        <w:t xml:space="preserve"> </w:t>
      </w:r>
    </w:p>
    <w:p w:rsidR="005B0E3A" w:rsidRDefault="00CF7D6C" w:rsidP="008C3EC5">
      <w:pPr>
        <w:pStyle w:val="BodyText"/>
        <w:tabs>
          <w:tab w:val="clear" w:pos="680"/>
          <w:tab w:val="left" w:pos="1418"/>
        </w:tabs>
        <w:rPr>
          <w:sz w:val="12"/>
          <w:szCs w:val="12"/>
        </w:rPr>
      </w:pPr>
      <w:r>
        <w:t xml:space="preserve">If a member has not advised the entity of their change of address, or otherwise attempted to contact the entity over a six-year period, it is unlikely that they will be further disadvantaged by the relief provided under the class order. </w:t>
      </w:r>
    </w:p>
    <w:p w:rsidR="005B0E3A" w:rsidRDefault="005B0E3A" w:rsidP="005B0E3A">
      <w:pPr>
        <w:spacing w:line="240" w:lineRule="exact"/>
        <w:rPr>
          <w:sz w:val="24"/>
          <w:szCs w:val="24"/>
        </w:rPr>
      </w:pPr>
    </w:p>
    <w:p w:rsidR="005B0E3A" w:rsidRPr="008C3EC5" w:rsidRDefault="005B0E3A" w:rsidP="005B0E3A">
      <w:pPr>
        <w:pStyle w:val="Heading3"/>
        <w:keepNext w:val="0"/>
        <w:widowControl w:val="0"/>
        <w:numPr>
          <w:ilvl w:val="0"/>
          <w:numId w:val="7"/>
        </w:numPr>
        <w:tabs>
          <w:tab w:val="left" w:pos="1593"/>
        </w:tabs>
        <w:spacing w:after="0" w:line="240" w:lineRule="auto"/>
        <w:ind w:left="0" w:firstLine="0"/>
        <w:jc w:val="left"/>
        <w:rPr>
          <w:rFonts w:ascii="Arial" w:eastAsia="Arial" w:hAnsi="Arial" w:cs="Arial"/>
          <w:b/>
          <w:bCs/>
          <w:sz w:val="24"/>
          <w:szCs w:val="24"/>
        </w:rPr>
      </w:pPr>
      <w:bookmarkStart w:id="4" w:name="4._Documents_incorporated_by_reference"/>
      <w:bookmarkStart w:id="5" w:name="5._Consultation"/>
      <w:bookmarkEnd w:id="4"/>
      <w:bookmarkEnd w:id="5"/>
      <w:r w:rsidRPr="008C3EC5">
        <w:rPr>
          <w:rFonts w:ascii="Arial" w:hAnsi="Arial" w:cs="Arial"/>
          <w:b/>
          <w:sz w:val="24"/>
          <w:szCs w:val="24"/>
        </w:rPr>
        <w:t>Consultation</w:t>
      </w:r>
    </w:p>
    <w:p w:rsidR="005B0E3A" w:rsidRDefault="005B0E3A" w:rsidP="005B0E3A">
      <w:pPr>
        <w:spacing w:before="4" w:line="220" w:lineRule="exact"/>
      </w:pPr>
    </w:p>
    <w:p w:rsidR="008C3EC5" w:rsidRPr="0012472A" w:rsidRDefault="008C3EC5" w:rsidP="008C3EC5">
      <w:pPr>
        <w:pStyle w:val="Bodytextplain"/>
        <w:ind w:left="0"/>
        <w:rPr>
          <w:sz w:val="24"/>
        </w:rPr>
      </w:pPr>
      <w:r w:rsidRPr="0012472A">
        <w:rPr>
          <w:sz w:val="24"/>
        </w:rPr>
        <w:t>ASIC has consulted with stakeholders through Consultation Paper 240 which was issued on 1 October 2015 and was open for comment to 30 October 2015.</w:t>
      </w:r>
    </w:p>
    <w:p w:rsidR="008C3EC5" w:rsidRDefault="00E00A17" w:rsidP="008C3EC5">
      <w:pPr>
        <w:pStyle w:val="Bodytextplain"/>
        <w:ind w:left="0"/>
      </w:pPr>
      <w:r>
        <w:rPr>
          <w:sz w:val="24"/>
          <w:szCs w:val="24"/>
        </w:rPr>
        <w:t>The Office of Best Practice Regulation</w:t>
      </w:r>
      <w:r w:rsidRPr="00501AE6">
        <w:rPr>
          <w:sz w:val="24"/>
          <w:szCs w:val="24"/>
        </w:rPr>
        <w:t xml:space="preserve"> has assessed that a Regulatory Impact Statement is not necessary for this instrument</w:t>
      </w:r>
      <w:r>
        <w:rPr>
          <w:sz w:val="24"/>
          <w:szCs w:val="24"/>
        </w:rPr>
        <w:t>.</w:t>
      </w:r>
    </w:p>
    <w:p w:rsidR="005B0E3A" w:rsidRDefault="005B0E3A" w:rsidP="005B0E3A">
      <w:pPr>
        <w:pStyle w:val="Bodytextplain"/>
        <w:sectPr w:rsidR="005B0E3A" w:rsidSect="00A33EB8">
          <w:headerReference w:type="even" r:id="rId9"/>
          <w:headerReference w:type="default" r:id="rId10"/>
          <w:footerReference w:type="even" r:id="rId11"/>
          <w:footerReference w:type="default" r:id="rId12"/>
          <w:headerReference w:type="first" r:id="rId13"/>
          <w:pgSz w:w="11906" w:h="16838" w:code="9"/>
          <w:pgMar w:top="1644" w:right="1418" w:bottom="1418" w:left="1418" w:header="567" w:footer="567" w:gutter="0"/>
          <w:cols w:space="720"/>
          <w:docGrid w:linePitch="299"/>
        </w:sectPr>
      </w:pPr>
    </w:p>
    <w:p w:rsidR="000076D6" w:rsidRDefault="000076D6">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492760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247F54" w:rsidRDefault="004604DB" w:rsidP="000076D6">
                            <w:pPr>
                              <w:spacing w:before="120" w:after="120"/>
                              <w:jc w:val="center"/>
                              <w:rPr>
                                <w:b/>
                              </w:rPr>
                            </w:pPr>
                            <w:r w:rsidRPr="004604DB">
                              <w:rPr>
                                <w:b/>
                              </w:rPr>
                              <w:t>ASIC Corporations (Uncontactable Members) Instrument 201</w:t>
                            </w:r>
                            <w:r w:rsidR="00384F8A">
                              <w:rPr>
                                <w:b/>
                              </w:rPr>
                              <w:t>6</w:t>
                            </w:r>
                            <w:r w:rsidRPr="004604DB">
                              <w:rPr>
                                <w:b/>
                              </w:rPr>
                              <w:t>/</w:t>
                            </w:r>
                            <w:r w:rsidR="00A3166E">
                              <w:rPr>
                                <w:b/>
                              </w:rPr>
                              <w:t>187</w:t>
                            </w:r>
                            <w:r w:rsidR="000076D6" w:rsidRPr="00247F54">
                              <w:rPr>
                                <w:b/>
                              </w:rPr>
                              <w:t xml:space="preserve"> </w:t>
                            </w:r>
                          </w:p>
                          <w:p w:rsidR="000076D6" w:rsidRPr="00247F54" w:rsidRDefault="000076D6" w:rsidP="000076D6">
                            <w:pPr>
                              <w:spacing w:before="120" w:after="120"/>
                              <w:jc w:val="center"/>
                            </w:pPr>
                          </w:p>
                          <w:p w:rsidR="000076D6" w:rsidRPr="00247F54" w:rsidRDefault="004604DB" w:rsidP="000076D6">
                            <w:pPr>
                              <w:spacing w:before="120" w:after="120"/>
                              <w:jc w:val="center"/>
                            </w:pPr>
                            <w:r w:rsidRPr="00CF7D6C">
                              <w:rPr>
                                <w:i/>
                              </w:rPr>
                              <w:t xml:space="preserve">ASIC Corporations (Uncontactable Members) Instrument </w:t>
                            </w:r>
                            <w:r w:rsidR="00384F8A">
                              <w:rPr>
                                <w:i/>
                              </w:rPr>
                              <w:t>2016</w:t>
                            </w:r>
                            <w:r w:rsidRPr="00CF7D6C">
                              <w:rPr>
                                <w:i/>
                              </w:rPr>
                              <w:t>/</w:t>
                            </w:r>
                            <w:r w:rsidR="00A3166E">
                              <w:rPr>
                                <w:i/>
                              </w:rPr>
                              <w:t>187</w:t>
                            </w:r>
                            <w:r w:rsidR="000076D6">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4604DB" w:rsidP="000076D6">
                            <w:pPr>
                              <w:spacing w:before="120" w:after="120"/>
                            </w:pPr>
                            <w:r>
                              <w:t>The objective of the instrument is to relieve an entity from the obligation to send reports to a member when the member is uncontactable.</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4604DB" w:rsidP="000076D6">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38.8pt;width:418.2pt;height:5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" strokeweight="6pt">
                <v:stroke linestyle="thickBetweenThin"/>
                <v:textbox inset="5mm,,5mm">
                  <w:txbxContent>
                    <w:p w:rsidR="000076D6" w:rsidRPr="00834797" w:rsidRDefault="000076D6" w:rsidP="000076D6">
                      <w:pPr>
                        <w:spacing w:before="360" w:after="120"/>
                        <w:jc w:val="center"/>
                        <w:rPr>
                          <w:b/>
                        </w:rPr>
                      </w:pPr>
                      <w:r w:rsidRPr="00834797">
                        <w:rPr>
                          <w:b/>
                        </w:rPr>
                        <w:t>Statement of Compatibility with Human Rights</w:t>
                      </w:r>
                    </w:p>
                    <w:p w:rsidR="000076D6" w:rsidRPr="00247F54" w:rsidRDefault="000076D6" w:rsidP="000076D6">
                      <w:pPr>
                        <w:spacing w:before="120" w:after="120"/>
                        <w:jc w:val="center"/>
                      </w:pPr>
                      <w:r w:rsidRPr="00247F54">
                        <w:rPr>
                          <w:i/>
                        </w:rPr>
                        <w:t>Prepared in accordance with Part 3 of the Human Rights (Parliamentary Scrutiny) Act 2011</w:t>
                      </w:r>
                    </w:p>
                    <w:p w:rsidR="000076D6" w:rsidRPr="00247F54" w:rsidRDefault="000076D6" w:rsidP="000076D6">
                      <w:pPr>
                        <w:spacing w:before="120" w:after="120"/>
                        <w:jc w:val="center"/>
                      </w:pPr>
                    </w:p>
                    <w:p w:rsidR="000076D6" w:rsidRPr="00247F54" w:rsidRDefault="004604DB" w:rsidP="000076D6">
                      <w:pPr>
                        <w:spacing w:before="120" w:after="120"/>
                        <w:jc w:val="center"/>
                        <w:rPr>
                          <w:b/>
                        </w:rPr>
                      </w:pPr>
                      <w:r w:rsidRPr="004604DB">
                        <w:rPr>
                          <w:b/>
                        </w:rPr>
                        <w:t>ASIC Corporations (Uncontactable Members) Instrument 201</w:t>
                      </w:r>
                      <w:r w:rsidR="00384F8A">
                        <w:rPr>
                          <w:b/>
                        </w:rPr>
                        <w:t>6</w:t>
                      </w:r>
                      <w:r w:rsidRPr="004604DB">
                        <w:rPr>
                          <w:b/>
                        </w:rPr>
                        <w:t>/</w:t>
                      </w:r>
                      <w:r w:rsidR="00A3166E">
                        <w:rPr>
                          <w:b/>
                        </w:rPr>
                        <w:t>187</w:t>
                      </w:r>
                      <w:r w:rsidR="000076D6" w:rsidRPr="00247F54">
                        <w:rPr>
                          <w:b/>
                        </w:rPr>
                        <w:t xml:space="preserve"> </w:t>
                      </w:r>
                    </w:p>
                    <w:p w:rsidR="000076D6" w:rsidRPr="00247F54" w:rsidRDefault="000076D6" w:rsidP="000076D6">
                      <w:pPr>
                        <w:spacing w:before="120" w:after="120"/>
                        <w:jc w:val="center"/>
                      </w:pPr>
                    </w:p>
                    <w:p w:rsidR="000076D6" w:rsidRPr="00247F54" w:rsidRDefault="004604DB" w:rsidP="000076D6">
                      <w:pPr>
                        <w:spacing w:before="120" w:after="120"/>
                        <w:jc w:val="center"/>
                      </w:pPr>
                      <w:r w:rsidRPr="00CF7D6C">
                        <w:rPr>
                          <w:i/>
                        </w:rPr>
                        <w:t xml:space="preserve">ASIC Corporations (Uncontactable Members) Instrument </w:t>
                      </w:r>
                      <w:r w:rsidR="00384F8A">
                        <w:rPr>
                          <w:i/>
                        </w:rPr>
                        <w:t>2016</w:t>
                      </w:r>
                      <w:r w:rsidRPr="00CF7D6C">
                        <w:rPr>
                          <w:i/>
                        </w:rPr>
                        <w:t>/</w:t>
                      </w:r>
                      <w:r w:rsidR="00A3166E">
                        <w:rPr>
                          <w:i/>
                        </w:rPr>
                        <w:t>187</w:t>
                      </w:r>
                      <w:r w:rsidR="000076D6">
                        <w:t xml:space="preserve"> </w:t>
                      </w:r>
                      <w:r w:rsidR="000076D6" w:rsidRPr="00247F54">
                        <w:t xml:space="preserve">is compatible with the human rights and freedoms recognised or declared in the international instruments listed in section 3 of the </w:t>
                      </w:r>
                      <w:r w:rsidR="000076D6" w:rsidRPr="00247F54">
                        <w:rPr>
                          <w:i/>
                        </w:rPr>
                        <w:t>Human Rights (Parliamentary Scrutiny) Act 2011</w:t>
                      </w:r>
                      <w:r w:rsidR="000076D6" w:rsidRPr="00247F54">
                        <w:t>.</w:t>
                      </w:r>
                    </w:p>
                    <w:p w:rsidR="000076D6" w:rsidRPr="00247F54" w:rsidRDefault="000076D6" w:rsidP="000076D6">
                      <w:pPr>
                        <w:spacing w:before="120" w:after="120"/>
                        <w:jc w:val="center"/>
                      </w:pPr>
                    </w:p>
                    <w:p w:rsidR="000076D6" w:rsidRPr="00247F54" w:rsidRDefault="000076D6" w:rsidP="000076D6">
                      <w:pPr>
                        <w:spacing w:before="120" w:after="120"/>
                        <w:jc w:val="both"/>
                        <w:rPr>
                          <w:b/>
                        </w:rPr>
                      </w:pPr>
                      <w:r w:rsidRPr="00247F54">
                        <w:rPr>
                          <w:b/>
                        </w:rPr>
                        <w:t>Overview</w:t>
                      </w:r>
                    </w:p>
                    <w:p w:rsidR="000076D6" w:rsidRPr="00F640B8" w:rsidRDefault="004604DB" w:rsidP="000076D6">
                      <w:pPr>
                        <w:spacing w:before="120" w:after="120"/>
                      </w:pPr>
                      <w:r>
                        <w:t>The objective of the instrument is to relieve an entity from the obligation to send reports to a member when the member is uncontactable.</w:t>
                      </w:r>
                    </w:p>
                    <w:p w:rsidR="000076D6" w:rsidRPr="00883DB6" w:rsidRDefault="000076D6" w:rsidP="000076D6">
                      <w:pPr>
                        <w:spacing w:before="120" w:after="120"/>
                      </w:pPr>
                    </w:p>
                    <w:p w:rsidR="000076D6" w:rsidRPr="00247F54" w:rsidRDefault="000076D6" w:rsidP="000076D6">
                      <w:pPr>
                        <w:spacing w:before="120" w:after="120"/>
                        <w:rPr>
                          <w:b/>
                        </w:rPr>
                      </w:pPr>
                      <w:r w:rsidRPr="00247F54">
                        <w:rPr>
                          <w:b/>
                        </w:rPr>
                        <w:t>Human rights implications</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does not engage any of the applicable rights or freedoms.</w:t>
                      </w:r>
                    </w:p>
                    <w:p w:rsidR="000076D6" w:rsidRPr="00247F54" w:rsidRDefault="000076D6" w:rsidP="000076D6">
                      <w:pPr>
                        <w:spacing w:before="120" w:after="120"/>
                      </w:pPr>
                    </w:p>
                    <w:p w:rsidR="000076D6" w:rsidRPr="00247F54" w:rsidRDefault="000076D6" w:rsidP="000076D6">
                      <w:pPr>
                        <w:spacing w:before="120" w:after="120"/>
                        <w:rPr>
                          <w:b/>
                        </w:rPr>
                      </w:pPr>
                      <w:r w:rsidRPr="00247F54">
                        <w:rPr>
                          <w:b/>
                        </w:rPr>
                        <w:t>Conclusion</w:t>
                      </w:r>
                    </w:p>
                    <w:p w:rsidR="000076D6" w:rsidRPr="00247F54" w:rsidRDefault="000076D6" w:rsidP="000076D6">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0076D6" w:rsidRPr="00E4135E" w:rsidRDefault="000076D6" w:rsidP="000076D6">
                      <w:pPr>
                        <w:spacing w:before="120" w:after="120"/>
                        <w:jc w:val="center"/>
                      </w:pPr>
                    </w:p>
                    <w:p w:rsidR="000076D6" w:rsidRPr="00E4135E" w:rsidRDefault="004604DB" w:rsidP="000076D6">
                      <w:pPr>
                        <w:spacing w:before="120" w:after="120"/>
                        <w:jc w:val="center"/>
                      </w:pPr>
                      <w:r>
                        <w:rPr>
                          <w:b/>
                        </w:rPr>
                        <w:t>Australian Securities and Investments Commission</w:t>
                      </w:r>
                    </w:p>
                  </w:txbxContent>
                </v:textbox>
              </v:rect>
            </w:pict>
          </mc:Fallback>
        </mc:AlternateContent>
      </w:r>
    </w:p>
    <w:sectPr w:rsidR="000076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346" w:rsidRDefault="00A106FA">
      <w:pPr>
        <w:spacing w:after="0"/>
      </w:pPr>
      <w:r>
        <w:separator/>
      </w:r>
    </w:p>
  </w:endnote>
  <w:endnote w:type="continuationSeparator" w:id="0">
    <w:p w:rsidR="00166346" w:rsidRDefault="00A106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BE6D9F">
    <w:pPr>
      <w:pStyle w:val="Footer"/>
      <w:ind w:right="360"/>
    </w:pPr>
  </w:p>
  <w:p w:rsidR="00C27A4B" w:rsidRDefault="00BE6D9F"/>
  <w:p w:rsidR="00C27A4B" w:rsidRDefault="00BE6D9F"/>
  <w:p w:rsidR="00C27A4B" w:rsidRDefault="00BE6D9F"/>
  <w:p w:rsidR="00C27A4B" w:rsidRDefault="00BE6D9F"/>
  <w:p w:rsidR="00C27A4B" w:rsidRDefault="00BE6D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BE6D9F">
    <w:pPr>
      <w:pStyle w:val="Footer"/>
      <w:pBdr>
        <w:top w:val="single" w:sz="4" w:space="1" w:color="117DC7"/>
      </w:pBdr>
      <w:rPr>
        <w:b/>
        <w:color w:val="117DC7"/>
      </w:rPr>
    </w:pPr>
    <w:r>
      <w:rPr>
        <w:noProof/>
        <w:color w:val="117DC7"/>
        <w:sz w:val="20"/>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200.3pt;margin-top:-51.6pt;width:125.1pt;height:27pt;rotation:270;z-index:-251658240;mso-position-horizontal-relative:text;mso-position-vertical-relative:text" fillcolor="silver" stroked="f" strokecolor="silver">
          <v:shadow color="#868686"/>
          <v:textpath style="font-family:&quot;Arial&quot;;font-weight:bold;v-text-kern:t" trim="t" fitpath="t" string="DRAFT"/>
        </v:shape>
      </w:pict>
    </w:r>
    <w:r w:rsidR="005B0E3A">
      <w:rPr>
        <w:noProof/>
        <w:color w:val="117DC7"/>
        <w:sz w:val="20"/>
      </w:rPr>
      <mc:AlternateContent>
        <mc:Choice Requires="wps">
          <w:drawing>
            <wp:anchor distT="0" distB="0" distL="114300" distR="114300" simplePos="0" relativeHeight="251657216" behindDoc="0" locked="1" layoutInCell="1" allowOverlap="1" wp14:anchorId="68800527" wp14:editId="1252A687">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BE6D9F">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5B0E3A"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BE6D9F">
                      <w:rPr>
                        <w:rStyle w:val="PageNumber"/>
                        <w:rFonts w:ascii="Arial" w:hAnsi="Arial" w:cs="Arial"/>
                        <w:noProof/>
                        <w:color w:val="117DC7"/>
                        <w:sz w:val="16"/>
                        <w:szCs w:val="16"/>
                      </w:rPr>
                      <w:t>1</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sidR="005B0E3A">
      <w:rPr>
        <w:color w:val="117DC7"/>
      </w:rPr>
      <w:t>© Australian Securities and Investments Commission</w:t>
    </w:r>
    <w:r w:rsidR="005B0E3A">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346" w:rsidRDefault="00A106FA">
      <w:pPr>
        <w:spacing w:after="0"/>
      </w:pPr>
      <w:r>
        <w:separator/>
      </w:r>
    </w:p>
  </w:footnote>
  <w:footnote w:type="continuationSeparator" w:id="0">
    <w:p w:rsidR="00166346" w:rsidRDefault="00A106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BE6D9F"/>
  <w:p w:rsidR="00C27A4B" w:rsidRDefault="00BE6D9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CF7D6C">
    <w:pPr>
      <w:pStyle w:val="Footer"/>
      <w:pBdr>
        <w:bottom w:val="single" w:sz="4" w:space="1" w:color="117DC7"/>
      </w:pBdr>
      <w:jc w:val="right"/>
      <w:rPr>
        <w:color w:val="117DC7"/>
      </w:rPr>
    </w:pPr>
    <w:r w:rsidRPr="00CF7D6C">
      <w:t>ASIC Corporations (Uncontactable Members) Instrument 201</w:t>
    </w:r>
    <w:r w:rsidR="00384F8A">
      <w:t>6</w:t>
    </w:r>
    <w:r w:rsidRPr="00CF7D6C">
      <w:t>/</w:t>
    </w:r>
    <w:r w:rsidR="00A17A47">
      <w:t>187</w:t>
    </w:r>
  </w:p>
  <w:p w:rsidR="00C27A4B" w:rsidRPr="00CF7D6C" w:rsidRDefault="00BE6D9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5B0E3A">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DC24D7"/>
    <w:multiLevelType w:val="hybridMultilevel"/>
    <w:tmpl w:val="3808FD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8">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0">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1044DCC"/>
    <w:multiLevelType w:val="hybridMultilevel"/>
    <w:tmpl w:val="34D8B7A6"/>
    <w:lvl w:ilvl="0" w:tplc="223E26D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15">
    <w:nsid w:val="75F6275B"/>
    <w:multiLevelType w:val="hybridMultilevel"/>
    <w:tmpl w:val="14EC1D78"/>
    <w:lvl w:ilvl="0" w:tplc="0C090001">
      <w:start w:val="1"/>
      <w:numFmt w:val="bullet"/>
      <w:lvlText w:val=""/>
      <w:lvlJc w:val="left"/>
      <w:pPr>
        <w:ind w:left="1040" w:hanging="360"/>
      </w:pPr>
      <w:rPr>
        <w:rFonts w:ascii="Symbol" w:hAnsi="Symbol" w:hint="default"/>
      </w:rPr>
    </w:lvl>
    <w:lvl w:ilvl="1" w:tplc="0C090003" w:tentative="1">
      <w:start w:val="1"/>
      <w:numFmt w:val="bullet"/>
      <w:lvlText w:val="o"/>
      <w:lvlJc w:val="left"/>
      <w:pPr>
        <w:ind w:left="1760" w:hanging="360"/>
      </w:pPr>
      <w:rPr>
        <w:rFonts w:ascii="Courier New" w:hAnsi="Courier New" w:cs="Courier New" w:hint="default"/>
      </w:rPr>
    </w:lvl>
    <w:lvl w:ilvl="2" w:tplc="0C090005" w:tentative="1">
      <w:start w:val="1"/>
      <w:numFmt w:val="bullet"/>
      <w:lvlText w:val=""/>
      <w:lvlJc w:val="left"/>
      <w:pPr>
        <w:ind w:left="2480" w:hanging="360"/>
      </w:pPr>
      <w:rPr>
        <w:rFonts w:ascii="Wingdings" w:hAnsi="Wingdings" w:hint="default"/>
      </w:rPr>
    </w:lvl>
    <w:lvl w:ilvl="3" w:tplc="0C090001" w:tentative="1">
      <w:start w:val="1"/>
      <w:numFmt w:val="bullet"/>
      <w:lvlText w:val=""/>
      <w:lvlJc w:val="left"/>
      <w:pPr>
        <w:ind w:left="3200" w:hanging="360"/>
      </w:pPr>
      <w:rPr>
        <w:rFonts w:ascii="Symbol" w:hAnsi="Symbol" w:hint="default"/>
      </w:rPr>
    </w:lvl>
    <w:lvl w:ilvl="4" w:tplc="0C090003" w:tentative="1">
      <w:start w:val="1"/>
      <w:numFmt w:val="bullet"/>
      <w:lvlText w:val="o"/>
      <w:lvlJc w:val="left"/>
      <w:pPr>
        <w:ind w:left="3920" w:hanging="360"/>
      </w:pPr>
      <w:rPr>
        <w:rFonts w:ascii="Courier New" w:hAnsi="Courier New" w:cs="Courier New" w:hint="default"/>
      </w:rPr>
    </w:lvl>
    <w:lvl w:ilvl="5" w:tplc="0C090005" w:tentative="1">
      <w:start w:val="1"/>
      <w:numFmt w:val="bullet"/>
      <w:lvlText w:val=""/>
      <w:lvlJc w:val="left"/>
      <w:pPr>
        <w:ind w:left="4640" w:hanging="360"/>
      </w:pPr>
      <w:rPr>
        <w:rFonts w:ascii="Wingdings" w:hAnsi="Wingdings" w:hint="default"/>
      </w:rPr>
    </w:lvl>
    <w:lvl w:ilvl="6" w:tplc="0C090001" w:tentative="1">
      <w:start w:val="1"/>
      <w:numFmt w:val="bullet"/>
      <w:lvlText w:val=""/>
      <w:lvlJc w:val="left"/>
      <w:pPr>
        <w:ind w:left="5360" w:hanging="360"/>
      </w:pPr>
      <w:rPr>
        <w:rFonts w:ascii="Symbol" w:hAnsi="Symbol" w:hint="default"/>
      </w:rPr>
    </w:lvl>
    <w:lvl w:ilvl="7" w:tplc="0C090003" w:tentative="1">
      <w:start w:val="1"/>
      <w:numFmt w:val="bullet"/>
      <w:lvlText w:val="o"/>
      <w:lvlJc w:val="left"/>
      <w:pPr>
        <w:ind w:left="6080" w:hanging="360"/>
      </w:pPr>
      <w:rPr>
        <w:rFonts w:ascii="Courier New" w:hAnsi="Courier New" w:cs="Courier New" w:hint="default"/>
      </w:rPr>
    </w:lvl>
    <w:lvl w:ilvl="8" w:tplc="0C090005" w:tentative="1">
      <w:start w:val="1"/>
      <w:numFmt w:val="bullet"/>
      <w:lvlText w:val=""/>
      <w:lvlJc w:val="left"/>
      <w:pPr>
        <w:ind w:left="6800" w:hanging="360"/>
      </w:pPr>
      <w:rPr>
        <w:rFonts w:ascii="Wingdings" w:hAnsi="Wingdings" w:hint="default"/>
      </w:rPr>
    </w:lvl>
  </w:abstractNum>
  <w:abstractNum w:abstractNumId="16">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6"/>
  </w:num>
  <w:num w:numId="3">
    <w:abstractNumId w:val="10"/>
  </w:num>
  <w:num w:numId="4">
    <w:abstractNumId w:val="14"/>
  </w:num>
  <w:num w:numId="5">
    <w:abstractNumId w:val="6"/>
  </w:num>
  <w:num w:numId="6">
    <w:abstractNumId w:val="5"/>
  </w:num>
  <w:num w:numId="7">
    <w:abstractNumId w:val="9"/>
  </w:num>
  <w:num w:numId="8">
    <w:abstractNumId w:val="3"/>
  </w:num>
  <w:num w:numId="9">
    <w:abstractNumId w:val="2"/>
  </w:num>
  <w:num w:numId="10">
    <w:abstractNumId w:val="0"/>
  </w:num>
  <w:num w:numId="11">
    <w:abstractNumId w:val="8"/>
  </w:num>
  <w:num w:numId="12">
    <w:abstractNumId w:val="13"/>
  </w:num>
  <w:num w:numId="13">
    <w:abstractNumId w:val="11"/>
  </w:num>
  <w:num w:numId="14">
    <w:abstractNumId w:val="7"/>
  </w:num>
  <w:num w:numId="15">
    <w:abstractNumId w:val="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12472A"/>
    <w:rsid w:val="00166346"/>
    <w:rsid w:val="00384F8A"/>
    <w:rsid w:val="004604DB"/>
    <w:rsid w:val="005B0E3A"/>
    <w:rsid w:val="006840BC"/>
    <w:rsid w:val="00852332"/>
    <w:rsid w:val="008C3EC5"/>
    <w:rsid w:val="00A106FA"/>
    <w:rsid w:val="00A17A47"/>
    <w:rsid w:val="00A3166E"/>
    <w:rsid w:val="00AC02C2"/>
    <w:rsid w:val="00B87F68"/>
    <w:rsid w:val="00BA0683"/>
    <w:rsid w:val="00BE6D9F"/>
    <w:rsid w:val="00CF7D6C"/>
    <w:rsid w:val="00E00A17"/>
    <w:rsid w:val="00F147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6CD84-ED6F-4436-A409-90B65E40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F2016L01322ES.doc</Template>
  <TotalTime>0</TotalTime>
  <Pages>3</Pages>
  <Words>630</Words>
  <Characters>3260</Characters>
  <Application>Microsoft Office Word</Application>
  <DocSecurity>0</DocSecurity>
  <Lines>85</Lines>
  <Paragraphs>61</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McLeod, Andrew</cp:lastModifiedBy>
  <cp:revision>2</cp:revision>
  <cp:lastPrinted>2016-01-19T23:34:00Z</cp:lastPrinted>
  <dcterms:created xsi:type="dcterms:W3CDTF">2016-09-16T05:39:00Z</dcterms:created>
  <dcterms:modified xsi:type="dcterms:W3CDTF">2016-09-16T05:39:00Z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ies>
</file>