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410" w:rsidRPr="00707943" w:rsidRDefault="00F11410">
      <w:pPr>
        <w:tabs>
          <w:tab w:val="right" w:pos="9072"/>
        </w:tabs>
        <w:spacing w:before="0" w:line="240" w:lineRule="exact"/>
        <w:ind w:right="91"/>
        <w:rPr>
          <w:b/>
        </w:rPr>
      </w:pPr>
      <w:bookmarkStart w:id="0" w:name="_GoBack"/>
      <w:bookmarkEnd w:id="0"/>
    </w:p>
    <w:p w:rsidR="00F11410" w:rsidRPr="00707943" w:rsidRDefault="00F11410">
      <w:pPr>
        <w:tabs>
          <w:tab w:val="right" w:pos="9072"/>
        </w:tabs>
        <w:spacing w:before="0" w:line="240" w:lineRule="exact"/>
        <w:ind w:right="91"/>
        <w:rPr>
          <w:b/>
        </w:rPr>
      </w:pPr>
    </w:p>
    <w:p w:rsidR="00F11410" w:rsidRPr="00707943" w:rsidRDefault="00F11410">
      <w:pPr>
        <w:spacing w:before="0"/>
        <w:ind w:right="91"/>
        <w:jc w:val="center"/>
      </w:pPr>
      <w:r w:rsidRPr="00707943">
        <w:rPr>
          <w:b/>
          <w:u w:val="single"/>
        </w:rPr>
        <w:t xml:space="preserve">EXPLANATORY </w:t>
      </w:r>
      <w:r w:rsidR="004E25CD">
        <w:rPr>
          <w:b/>
          <w:u w:val="single"/>
        </w:rPr>
        <w:t>STATEMENT</w:t>
      </w:r>
    </w:p>
    <w:p w:rsidR="00F11410" w:rsidRPr="00707943" w:rsidRDefault="00F11410">
      <w:pPr>
        <w:spacing w:before="0"/>
        <w:ind w:right="91"/>
        <w:jc w:val="center"/>
      </w:pPr>
    </w:p>
    <w:p w:rsidR="00F11410" w:rsidRPr="00707943" w:rsidRDefault="00FF7C7B">
      <w:pPr>
        <w:pStyle w:val="Heading6"/>
        <w:spacing w:before="0"/>
      </w:pPr>
      <w:r>
        <w:t>Issued by the Authority of the</w:t>
      </w:r>
      <w:r w:rsidR="00F11410" w:rsidRPr="00707943">
        <w:t xml:space="preserve"> Minister for </w:t>
      </w:r>
      <w:r w:rsidR="00A13C4F" w:rsidRPr="00707943">
        <w:t xml:space="preserve">Infrastructure and </w:t>
      </w:r>
      <w:r w:rsidR="00733625">
        <w:t>Transport</w:t>
      </w:r>
    </w:p>
    <w:p w:rsidR="00F11410" w:rsidRPr="00707943" w:rsidRDefault="00F11410">
      <w:pPr>
        <w:spacing w:before="0"/>
        <w:ind w:right="91"/>
      </w:pPr>
    </w:p>
    <w:p w:rsidR="00017021" w:rsidRPr="00707943" w:rsidRDefault="00017021" w:rsidP="00017021">
      <w:pPr>
        <w:spacing w:before="0"/>
        <w:ind w:left="1695" w:right="91" w:hanging="1695"/>
        <w:rPr>
          <w:i/>
        </w:rPr>
      </w:pPr>
      <w:r w:rsidRPr="00707943">
        <w:t xml:space="preserve">Subject </w:t>
      </w:r>
      <w:r>
        <w:t>–</w:t>
      </w:r>
      <w:r w:rsidRPr="00707943">
        <w:tab/>
      </w:r>
      <w:r w:rsidRPr="00707943">
        <w:rPr>
          <w:i/>
        </w:rPr>
        <w:t xml:space="preserve">Marine Safety (Domestic Commercial Vessel) National Law </w:t>
      </w:r>
      <w:r w:rsidR="006520A7">
        <w:rPr>
          <w:i/>
        </w:rPr>
        <w:br/>
      </w:r>
      <w:r w:rsidRPr="00707943">
        <w:rPr>
          <w:i/>
        </w:rPr>
        <w:t>Act 2012</w:t>
      </w:r>
    </w:p>
    <w:p w:rsidR="00017021" w:rsidRPr="00707943" w:rsidRDefault="00017021" w:rsidP="00017021">
      <w:pPr>
        <w:spacing w:before="0"/>
        <w:ind w:left="1695" w:right="91"/>
      </w:pPr>
    </w:p>
    <w:p w:rsidR="00017021" w:rsidRPr="00707943" w:rsidRDefault="00017021" w:rsidP="00017021">
      <w:pPr>
        <w:spacing w:before="0"/>
        <w:ind w:left="1695" w:right="91"/>
        <w:rPr>
          <w:i/>
        </w:rPr>
      </w:pPr>
      <w:r w:rsidRPr="00707943">
        <w:rPr>
          <w:i/>
        </w:rPr>
        <w:t>Marine Safety (Domestic Commercial Vessel) National Law Amendment (</w:t>
      </w:r>
      <w:r>
        <w:rPr>
          <w:i/>
        </w:rPr>
        <w:t>Cost Recovery) Regulation 2016</w:t>
      </w:r>
    </w:p>
    <w:p w:rsidR="00017021" w:rsidRDefault="00017021" w:rsidP="00017021">
      <w:pPr>
        <w:spacing w:before="0"/>
        <w:ind w:right="91"/>
      </w:pPr>
    </w:p>
    <w:p w:rsidR="000F3C5A" w:rsidRDefault="000F3C5A" w:rsidP="000F3C5A">
      <w:pPr>
        <w:spacing w:before="0"/>
        <w:ind w:right="91"/>
        <w:rPr>
          <w:szCs w:val="24"/>
        </w:rPr>
      </w:pPr>
      <w:r w:rsidRPr="00D51395">
        <w:rPr>
          <w:szCs w:val="24"/>
        </w:rPr>
        <w:t xml:space="preserve">Section 9 of Schedule 1 of the </w:t>
      </w:r>
      <w:r w:rsidRPr="00707943">
        <w:rPr>
          <w:i/>
        </w:rPr>
        <w:t>Marine Safety (Domestic Commercial Vessel) National Law Act 2012</w:t>
      </w:r>
      <w:r w:rsidRPr="00707943">
        <w:t xml:space="preserve"> </w:t>
      </w:r>
      <w:r>
        <w:t xml:space="preserve">(the </w:t>
      </w:r>
      <w:r w:rsidRPr="00D51395">
        <w:rPr>
          <w:szCs w:val="24"/>
        </w:rPr>
        <w:t>Act</w:t>
      </w:r>
      <w:r>
        <w:rPr>
          <w:szCs w:val="24"/>
        </w:rPr>
        <w:t>)</w:t>
      </w:r>
      <w:r w:rsidRPr="00D51395">
        <w:rPr>
          <w:szCs w:val="24"/>
        </w:rPr>
        <w:t xml:space="preserve"> establishes the Australian Maritime Safety Authority (AMSA) as the National Regulator </w:t>
      </w:r>
      <w:r>
        <w:rPr>
          <w:szCs w:val="24"/>
        </w:rPr>
        <w:t>for domestic commercial vessels.</w:t>
      </w:r>
      <w:r w:rsidRPr="00D51395">
        <w:rPr>
          <w:szCs w:val="24"/>
        </w:rPr>
        <w:t xml:space="preserve"> </w:t>
      </w:r>
      <w:r>
        <w:rPr>
          <w:szCs w:val="24"/>
        </w:rPr>
        <w:t xml:space="preserve"> </w:t>
      </w:r>
    </w:p>
    <w:p w:rsidR="000F3C5A" w:rsidRDefault="000F3C5A" w:rsidP="000F3C5A">
      <w:pPr>
        <w:spacing w:before="0"/>
        <w:ind w:right="91"/>
        <w:rPr>
          <w:szCs w:val="24"/>
        </w:rPr>
      </w:pPr>
    </w:p>
    <w:p w:rsidR="000F3C5A" w:rsidRDefault="000F3C5A" w:rsidP="000F3C5A">
      <w:pPr>
        <w:spacing w:before="0"/>
        <w:ind w:right="91"/>
        <w:rPr>
          <w:szCs w:val="24"/>
        </w:rPr>
      </w:pPr>
      <w:r w:rsidRPr="004210EA">
        <w:t>The</w:t>
      </w:r>
      <w:r>
        <w:t xml:space="preserve"> Act</w:t>
      </w:r>
      <w:r w:rsidRPr="00707943">
        <w:t xml:space="preserve"> </w:t>
      </w:r>
      <w:r w:rsidRPr="00D51395">
        <w:rPr>
          <w:szCs w:val="24"/>
        </w:rPr>
        <w:t xml:space="preserve">establishes the cooperative scheme between the Commonwealth, the States and the Northern Territory for </w:t>
      </w:r>
      <w:r>
        <w:rPr>
          <w:szCs w:val="24"/>
        </w:rPr>
        <w:t>the regulation</w:t>
      </w:r>
      <w:r w:rsidRPr="00D51395">
        <w:rPr>
          <w:szCs w:val="24"/>
        </w:rPr>
        <w:t xml:space="preserve"> o</w:t>
      </w:r>
      <w:r>
        <w:rPr>
          <w:szCs w:val="24"/>
        </w:rPr>
        <w:t>f domestic commercial vessels and</w:t>
      </w:r>
      <w:r w:rsidRPr="00551C48">
        <w:t xml:space="preserve"> provides for a single national framework for ensuring the safe operation, design, construction and equipping of domestic commercial vessels.</w:t>
      </w:r>
    </w:p>
    <w:p w:rsidR="000F3C5A" w:rsidRDefault="000F3C5A" w:rsidP="000F3C5A">
      <w:pPr>
        <w:spacing w:before="0"/>
        <w:ind w:right="91"/>
        <w:rPr>
          <w:szCs w:val="24"/>
        </w:rPr>
      </w:pPr>
    </w:p>
    <w:p w:rsidR="000F3C5A" w:rsidRDefault="000F3C5A" w:rsidP="000F3C5A">
      <w:pPr>
        <w:pStyle w:val="subsection"/>
        <w:spacing w:before="0" w:beforeAutospacing="0" w:after="0" w:afterAutospacing="0"/>
      </w:pPr>
      <w:r w:rsidRPr="00D51395">
        <w:t xml:space="preserve">Sub-section 159(1) of the Act provides that the Governor General may make regulations prescribing matters required or permitted by this </w:t>
      </w:r>
      <w:r>
        <w:t>Act</w:t>
      </w:r>
      <w:r w:rsidRPr="00D51395">
        <w:t xml:space="preserve"> to be prescribed or necessary or convenient to be prescribed for carrying out or giving effect to </w:t>
      </w:r>
      <w:r>
        <w:t>the Act</w:t>
      </w:r>
      <w:r w:rsidRPr="00D51395">
        <w:t>.</w:t>
      </w:r>
      <w:r>
        <w:t xml:space="preserve">  </w:t>
      </w:r>
    </w:p>
    <w:p w:rsidR="000F3C5A" w:rsidRDefault="000F3C5A" w:rsidP="000F3C5A">
      <w:pPr>
        <w:pStyle w:val="subsection"/>
        <w:spacing w:before="0" w:beforeAutospacing="0" w:after="0" w:afterAutospacing="0"/>
      </w:pPr>
    </w:p>
    <w:p w:rsidR="000F3C5A" w:rsidRPr="00D51395" w:rsidRDefault="000F3C5A" w:rsidP="000F3C5A">
      <w:pPr>
        <w:pStyle w:val="subsection"/>
        <w:spacing w:before="0" w:beforeAutospacing="0" w:after="0" w:afterAutospacing="0"/>
      </w:pPr>
      <w:r>
        <w:rPr>
          <w:rFonts w:eastAsia="Calibri"/>
          <w:lang w:val="en-GB"/>
        </w:rPr>
        <w:t>Section 150</w:t>
      </w:r>
      <w:r w:rsidR="00B24C3E">
        <w:rPr>
          <w:rFonts w:eastAsia="Calibri"/>
          <w:lang w:val="en-GB"/>
        </w:rPr>
        <w:t>(1)</w:t>
      </w:r>
      <w:r>
        <w:rPr>
          <w:rFonts w:eastAsia="Calibri"/>
          <w:lang w:val="en-GB"/>
        </w:rPr>
        <w:t xml:space="preserve"> </w:t>
      </w:r>
      <w:r w:rsidRPr="0091023C">
        <w:rPr>
          <w:rFonts w:eastAsia="Calibri"/>
          <w:lang w:val="en-GB"/>
        </w:rPr>
        <w:t xml:space="preserve">of the </w:t>
      </w:r>
      <w:r w:rsidR="003272C6">
        <w:rPr>
          <w:rFonts w:eastAsia="Calibri"/>
          <w:lang w:val="en-GB"/>
        </w:rPr>
        <w:t>Act</w:t>
      </w:r>
      <w:r w:rsidRPr="0091023C">
        <w:rPr>
          <w:rFonts w:eastAsia="Calibri"/>
          <w:lang w:val="en-GB"/>
        </w:rPr>
        <w:t xml:space="preserve"> provides that </w:t>
      </w:r>
      <w:r>
        <w:rPr>
          <w:rFonts w:eastAsia="Calibri"/>
          <w:lang w:val="en-GB"/>
        </w:rPr>
        <w:t xml:space="preserve">AMSA </w:t>
      </w:r>
      <w:r w:rsidRPr="0091023C">
        <w:rPr>
          <w:rFonts w:eastAsia="Calibri"/>
          <w:lang w:val="en-GB"/>
        </w:rPr>
        <w:t>may charge such fees as</w:t>
      </w:r>
      <w:r w:rsidR="00FE51EC">
        <w:rPr>
          <w:rFonts w:eastAsia="Calibri"/>
          <w:lang w:val="en-GB"/>
        </w:rPr>
        <w:t xml:space="preserve"> are</w:t>
      </w:r>
      <w:r w:rsidRPr="0091023C">
        <w:rPr>
          <w:rFonts w:eastAsia="Calibri"/>
          <w:lang w:val="en-GB"/>
        </w:rPr>
        <w:t xml:space="preserve"> prescribed by the</w:t>
      </w:r>
      <w:r>
        <w:rPr>
          <w:rFonts w:eastAsia="Calibri"/>
          <w:lang w:val="en-GB"/>
        </w:rPr>
        <w:t xml:space="preserve"> relevant</w:t>
      </w:r>
      <w:r w:rsidRPr="0091023C">
        <w:rPr>
          <w:rFonts w:eastAsia="Calibri"/>
          <w:lang w:val="en-GB"/>
        </w:rPr>
        <w:t xml:space="preserve"> </w:t>
      </w:r>
      <w:r>
        <w:rPr>
          <w:rFonts w:eastAsia="Calibri"/>
          <w:lang w:val="en-GB"/>
        </w:rPr>
        <w:t>R</w:t>
      </w:r>
      <w:r w:rsidRPr="0091023C">
        <w:rPr>
          <w:rFonts w:eastAsia="Calibri"/>
          <w:lang w:val="en-GB"/>
        </w:rPr>
        <w:t>egulation</w:t>
      </w:r>
      <w:r>
        <w:rPr>
          <w:rFonts w:eastAsia="Calibri"/>
          <w:lang w:val="en-GB"/>
        </w:rPr>
        <w:t>s</w:t>
      </w:r>
      <w:r w:rsidRPr="0091023C">
        <w:rPr>
          <w:rFonts w:eastAsia="Calibri"/>
          <w:lang w:val="en-GB"/>
        </w:rPr>
        <w:t xml:space="preserve"> for </w:t>
      </w:r>
      <w:r>
        <w:rPr>
          <w:rFonts w:eastAsia="Calibri"/>
          <w:lang w:val="en-GB"/>
        </w:rPr>
        <w:t>activities</w:t>
      </w:r>
      <w:r w:rsidRPr="0091023C">
        <w:rPr>
          <w:rFonts w:eastAsia="Calibri"/>
          <w:lang w:val="en-GB"/>
        </w:rPr>
        <w:t xml:space="preserve"> </w:t>
      </w:r>
      <w:r>
        <w:rPr>
          <w:rFonts w:eastAsia="Calibri"/>
          <w:lang w:val="en-GB"/>
        </w:rPr>
        <w:t>carried out</w:t>
      </w:r>
      <w:r w:rsidRPr="0091023C">
        <w:rPr>
          <w:rFonts w:eastAsia="Calibri"/>
          <w:lang w:val="en-GB"/>
        </w:rPr>
        <w:t xml:space="preserve"> by </w:t>
      </w:r>
      <w:r>
        <w:rPr>
          <w:rFonts w:eastAsia="Calibri"/>
          <w:lang w:val="en-GB"/>
        </w:rPr>
        <w:t>AMSA</w:t>
      </w:r>
      <w:r w:rsidR="00FE51EC">
        <w:rPr>
          <w:rFonts w:eastAsia="Calibri"/>
          <w:lang w:val="en-GB"/>
        </w:rPr>
        <w:t xml:space="preserve"> under the Act</w:t>
      </w:r>
      <w:r w:rsidRPr="00B874BC">
        <w:t>.</w:t>
      </w:r>
    </w:p>
    <w:p w:rsidR="000F3C5A" w:rsidRDefault="000F3C5A" w:rsidP="000F3C5A">
      <w:pPr>
        <w:spacing w:before="0"/>
        <w:ind w:right="91"/>
        <w:rPr>
          <w:szCs w:val="24"/>
        </w:rPr>
      </w:pPr>
    </w:p>
    <w:p w:rsidR="00976848" w:rsidRPr="00D51395" w:rsidRDefault="00976848" w:rsidP="00976848">
      <w:pPr>
        <w:spacing w:before="0"/>
        <w:ind w:right="91"/>
        <w:rPr>
          <w:szCs w:val="24"/>
        </w:rPr>
      </w:pPr>
      <w:r w:rsidRPr="00D51395">
        <w:rPr>
          <w:szCs w:val="24"/>
        </w:rPr>
        <w:t xml:space="preserve">The </w:t>
      </w:r>
      <w:r w:rsidRPr="00D51395">
        <w:rPr>
          <w:bCs/>
          <w:i/>
          <w:szCs w:val="24"/>
        </w:rPr>
        <w:t>Marine Safety (Domestic Commercial Vessel) National Law Amendment (</w:t>
      </w:r>
      <w:r>
        <w:rPr>
          <w:bCs/>
          <w:i/>
          <w:szCs w:val="24"/>
        </w:rPr>
        <w:t>Cost Recovery</w:t>
      </w:r>
      <w:r w:rsidRPr="00D51395">
        <w:rPr>
          <w:bCs/>
          <w:i/>
          <w:szCs w:val="24"/>
        </w:rPr>
        <w:t>) Regulation 201</w:t>
      </w:r>
      <w:r>
        <w:rPr>
          <w:bCs/>
          <w:i/>
          <w:szCs w:val="24"/>
        </w:rPr>
        <w:t>6</w:t>
      </w:r>
      <w:r w:rsidRPr="00D51395">
        <w:rPr>
          <w:bCs/>
          <w:szCs w:val="24"/>
        </w:rPr>
        <w:t xml:space="preserve"> (the Regulation) amend</w:t>
      </w:r>
      <w:r>
        <w:rPr>
          <w:bCs/>
          <w:szCs w:val="24"/>
        </w:rPr>
        <w:t>s</w:t>
      </w:r>
      <w:r w:rsidRPr="00D51395">
        <w:rPr>
          <w:bCs/>
          <w:szCs w:val="24"/>
        </w:rPr>
        <w:t xml:space="preserve"> the </w:t>
      </w:r>
      <w:r w:rsidRPr="00D51395">
        <w:rPr>
          <w:i/>
          <w:szCs w:val="24"/>
        </w:rPr>
        <w:t xml:space="preserve">Marine Safety (Domestic Commercial Vessel) National Law Regulation 2013 </w:t>
      </w:r>
      <w:r>
        <w:rPr>
          <w:szCs w:val="24"/>
        </w:rPr>
        <w:t>(the Principal Regulation</w:t>
      </w:r>
      <w:r w:rsidRPr="00D51395">
        <w:rPr>
          <w:szCs w:val="24"/>
        </w:rPr>
        <w:t>)</w:t>
      </w:r>
      <w:r>
        <w:rPr>
          <w:szCs w:val="24"/>
        </w:rPr>
        <w:t xml:space="preserve"> </w:t>
      </w:r>
      <w:r w:rsidRPr="0091023C">
        <w:rPr>
          <w:rFonts w:eastAsia="Calibri"/>
          <w:lang w:val="en-GB"/>
        </w:rPr>
        <w:t xml:space="preserve">to prescribe fees for </w:t>
      </w:r>
      <w:r>
        <w:rPr>
          <w:rFonts w:eastAsia="Calibri"/>
          <w:lang w:val="en-GB"/>
        </w:rPr>
        <w:t>activities carried out</w:t>
      </w:r>
      <w:r w:rsidRPr="0091023C">
        <w:rPr>
          <w:rFonts w:eastAsia="Calibri"/>
          <w:lang w:val="en-GB"/>
        </w:rPr>
        <w:t xml:space="preserve"> by </w:t>
      </w:r>
      <w:r>
        <w:rPr>
          <w:rFonts w:eastAsia="Calibri"/>
          <w:lang w:val="en-GB"/>
        </w:rPr>
        <w:t>AMSA</w:t>
      </w:r>
      <w:r w:rsidRPr="0091023C">
        <w:rPr>
          <w:rFonts w:eastAsia="Calibri"/>
          <w:lang w:val="en-GB"/>
        </w:rPr>
        <w:t xml:space="preserve"> under the </w:t>
      </w:r>
      <w:r>
        <w:rPr>
          <w:rFonts w:eastAsia="Calibri"/>
          <w:lang w:val="en-GB"/>
        </w:rPr>
        <w:t>Act</w:t>
      </w:r>
      <w:r w:rsidRPr="00D51395">
        <w:rPr>
          <w:szCs w:val="24"/>
        </w:rPr>
        <w:t>.</w:t>
      </w:r>
    </w:p>
    <w:p w:rsidR="00976848" w:rsidRDefault="00976848" w:rsidP="000F3C5A">
      <w:pPr>
        <w:spacing w:before="0"/>
        <w:ind w:right="91"/>
        <w:rPr>
          <w:szCs w:val="24"/>
        </w:rPr>
      </w:pPr>
    </w:p>
    <w:p w:rsidR="002622EF" w:rsidRPr="00A07559" w:rsidRDefault="002622EF" w:rsidP="002622EF">
      <w:pPr>
        <w:spacing w:before="0"/>
        <w:ind w:right="91"/>
        <w:rPr>
          <w:i/>
          <w:szCs w:val="24"/>
        </w:rPr>
      </w:pPr>
      <w:r>
        <w:rPr>
          <w:i/>
          <w:szCs w:val="24"/>
        </w:rPr>
        <w:t>Fees for accreditation of marine s</w:t>
      </w:r>
      <w:r w:rsidRPr="00A07559">
        <w:rPr>
          <w:i/>
          <w:szCs w:val="24"/>
        </w:rPr>
        <w:t>urveyors</w:t>
      </w:r>
    </w:p>
    <w:p w:rsidR="002622EF" w:rsidRDefault="002622EF" w:rsidP="002622EF">
      <w:pPr>
        <w:spacing w:before="0"/>
        <w:ind w:right="91"/>
      </w:pPr>
      <w:r w:rsidRPr="00551C48">
        <w:t>Vessel surveys</w:t>
      </w:r>
      <w:r>
        <w:t>,</w:t>
      </w:r>
      <w:r w:rsidRPr="00551C48">
        <w:t xml:space="preserve"> </w:t>
      </w:r>
      <w:r>
        <w:t xml:space="preserve">carried out by suitably qualified marine surveyors, </w:t>
      </w:r>
      <w:r w:rsidRPr="00551C48">
        <w:t xml:space="preserve">are a key </w:t>
      </w:r>
      <w:r>
        <w:t xml:space="preserve">regulatory </w:t>
      </w:r>
      <w:r w:rsidRPr="00551C48">
        <w:t xml:space="preserve">tool for </w:t>
      </w:r>
      <w:r>
        <w:t>AMSA.  A rigorous</w:t>
      </w:r>
      <w:r w:rsidRPr="00551C48">
        <w:t xml:space="preserve"> surveyor accreditation scheme is </w:t>
      </w:r>
      <w:r>
        <w:t>required</w:t>
      </w:r>
      <w:r w:rsidRPr="00551C48">
        <w:t xml:space="preserve"> to ensure that accredited</w:t>
      </w:r>
      <w:r>
        <w:t xml:space="preserve"> marine</w:t>
      </w:r>
      <w:r w:rsidRPr="00551C48">
        <w:t xml:space="preserve"> surveyors have </w:t>
      </w:r>
      <w:r>
        <w:t xml:space="preserve">appropriate capabilities, experience and qualifications </w:t>
      </w:r>
      <w:r w:rsidRPr="00551C48">
        <w:t xml:space="preserve">to </w:t>
      </w:r>
      <w:r>
        <w:t>assess</w:t>
      </w:r>
      <w:r w:rsidRPr="00551C48">
        <w:t xml:space="preserve"> </w:t>
      </w:r>
      <w:r>
        <w:t>whether</w:t>
      </w:r>
      <w:r w:rsidRPr="00551C48">
        <w:t xml:space="preserve"> vessels are </w:t>
      </w:r>
      <w:r>
        <w:t xml:space="preserve">designed, </w:t>
      </w:r>
      <w:r w:rsidRPr="00551C48">
        <w:t xml:space="preserve">constructed and maintained in accordance with the </w:t>
      </w:r>
      <w:r>
        <w:t>Act and associated regulatory instruments</w:t>
      </w:r>
      <w:r w:rsidRPr="00551C48">
        <w:t>.</w:t>
      </w:r>
      <w:r>
        <w:t xml:space="preserve"> The Regulation would prescribe fees for assessing applications for accreditation as a marine surveyor, scaled depending on the number of surveying categories applied for, and a fee for renewing accreditations every five (5) years.  </w:t>
      </w:r>
    </w:p>
    <w:p w:rsidR="002622EF" w:rsidRDefault="002622EF" w:rsidP="002622EF">
      <w:pPr>
        <w:pStyle w:val="subsection"/>
        <w:spacing w:before="0" w:beforeAutospacing="0" w:after="0" w:afterAutospacing="0"/>
      </w:pPr>
    </w:p>
    <w:p w:rsidR="002622EF" w:rsidRPr="00E131E0" w:rsidRDefault="002622EF" w:rsidP="002622EF">
      <w:pPr>
        <w:pStyle w:val="subsection"/>
        <w:spacing w:before="0" w:beforeAutospacing="0" w:after="0" w:afterAutospacing="0"/>
        <w:rPr>
          <w:i/>
        </w:rPr>
      </w:pPr>
      <w:r w:rsidRPr="00E131E0">
        <w:rPr>
          <w:i/>
        </w:rPr>
        <w:t xml:space="preserve">Fees for </w:t>
      </w:r>
      <w:r>
        <w:rPr>
          <w:i/>
        </w:rPr>
        <w:t>other s</w:t>
      </w:r>
      <w:r w:rsidRPr="00E131E0">
        <w:rPr>
          <w:i/>
        </w:rPr>
        <w:t xml:space="preserve">ervices </w:t>
      </w:r>
    </w:p>
    <w:p w:rsidR="002622EF" w:rsidRPr="00523E82" w:rsidRDefault="002622EF" w:rsidP="002622EF">
      <w:pPr>
        <w:pStyle w:val="subsection"/>
        <w:spacing w:before="0" w:beforeAutospacing="0" w:after="0" w:afterAutospacing="0"/>
        <w:rPr>
          <w:bCs/>
        </w:rPr>
      </w:pPr>
      <w:r w:rsidRPr="00551C48">
        <w:t>AMSA also provides a range of</w:t>
      </w:r>
      <w:r>
        <w:t xml:space="preserve"> other</w:t>
      </w:r>
      <w:r w:rsidRPr="00551C48">
        <w:t xml:space="preserve"> administrative services including </w:t>
      </w:r>
      <w:r>
        <w:t xml:space="preserve">assessing </w:t>
      </w:r>
      <w:r w:rsidRPr="00551C48">
        <w:t xml:space="preserve">applications for </w:t>
      </w:r>
      <w:r>
        <w:t xml:space="preserve">ad hoc </w:t>
      </w:r>
      <w:r w:rsidRPr="0091023C">
        <w:rPr>
          <w:bCs/>
        </w:rPr>
        <w:t>exemptions</w:t>
      </w:r>
      <w:r>
        <w:rPr>
          <w:bCs/>
        </w:rPr>
        <w:t xml:space="preserve"> from the National Law,</w:t>
      </w:r>
      <w:r w:rsidRPr="0091023C">
        <w:rPr>
          <w:bCs/>
        </w:rPr>
        <w:t xml:space="preserve"> and </w:t>
      </w:r>
      <w:r>
        <w:rPr>
          <w:bCs/>
        </w:rPr>
        <w:t xml:space="preserve">assessing applications for </w:t>
      </w:r>
      <w:r w:rsidRPr="0091023C">
        <w:rPr>
          <w:bCs/>
        </w:rPr>
        <w:t>equivalent means</w:t>
      </w:r>
      <w:r>
        <w:rPr>
          <w:bCs/>
        </w:rPr>
        <w:t xml:space="preserve"> of compliance</w:t>
      </w:r>
      <w:r w:rsidRPr="0091023C">
        <w:rPr>
          <w:bCs/>
        </w:rPr>
        <w:t xml:space="preserve"> </w:t>
      </w:r>
      <w:r>
        <w:rPr>
          <w:bCs/>
        </w:rPr>
        <w:t xml:space="preserve">with standards prescribed for the National Law. </w:t>
      </w:r>
      <w:r>
        <w:t xml:space="preserve">The fees for assessing applications for other administrative services will vary depending on the complexity of the application. The Regulation would prescribe an hourly rate for assessing these applications with the fee payable being notified to the applicant after AMSA receives the application.   </w:t>
      </w:r>
    </w:p>
    <w:p w:rsidR="002622EF" w:rsidRPr="00D51395" w:rsidRDefault="002622EF" w:rsidP="002622EF">
      <w:pPr>
        <w:pStyle w:val="LDMinuteParagraph"/>
        <w:numPr>
          <w:ilvl w:val="0"/>
          <w:numId w:val="0"/>
        </w:numPr>
        <w:spacing w:after="0"/>
        <w:rPr>
          <w:szCs w:val="24"/>
        </w:rPr>
      </w:pPr>
      <w:r>
        <w:rPr>
          <w:szCs w:val="24"/>
        </w:rPr>
        <w:lastRenderedPageBreak/>
        <w:t xml:space="preserve">A draft of the Regulation was not circulated for public comment because the decision to cost recover for these services was announced as a revenue measure in the Government’s 2016-17 Budget Paper No. 2 and maritime industry stakeholders were notified following the announcement.  In consultation with the Department of Finance and in accordance with the cost recovery implementation statement (CRIS) guidelines, a CRIS will be published prior to the Regulation coming into force.  </w:t>
      </w:r>
      <w:r>
        <w:rPr>
          <w:szCs w:val="24"/>
        </w:rPr>
        <w:br/>
      </w:r>
      <w:r w:rsidRPr="008F62ED">
        <w:rPr>
          <w:szCs w:val="24"/>
        </w:rPr>
        <w:t xml:space="preserve">In developing the Regulation, AMSA consulted with </w:t>
      </w:r>
      <w:r>
        <w:rPr>
          <w:szCs w:val="24"/>
        </w:rPr>
        <w:t xml:space="preserve">the Office of Best Practice Regulation and was advised that the Regulation is likely to have a minor regulatory impact and required a short-form Regulation Impact Statement </w:t>
      </w:r>
      <w:r w:rsidRPr="00B27B20">
        <w:t xml:space="preserve">(ID </w:t>
      </w:r>
      <w:r>
        <w:t>2016/20165</w:t>
      </w:r>
      <w:r w:rsidRPr="00B27B20">
        <w:t>)</w:t>
      </w:r>
      <w:r w:rsidRPr="00D51395">
        <w:rPr>
          <w:szCs w:val="24"/>
        </w:rPr>
        <w:t xml:space="preserve">.  </w:t>
      </w:r>
    </w:p>
    <w:p w:rsidR="00017021" w:rsidRPr="00D51395" w:rsidRDefault="00017021" w:rsidP="000F3C5A">
      <w:pPr>
        <w:spacing w:before="0"/>
        <w:ind w:right="91"/>
        <w:rPr>
          <w:szCs w:val="24"/>
        </w:rPr>
      </w:pPr>
      <w:r w:rsidRPr="00D51395">
        <w:rPr>
          <w:szCs w:val="24"/>
        </w:rPr>
        <w:tab/>
      </w:r>
      <w:r w:rsidRPr="00D51395">
        <w:rPr>
          <w:szCs w:val="24"/>
        </w:rPr>
        <w:tab/>
      </w:r>
    </w:p>
    <w:p w:rsidR="00017021" w:rsidRPr="00D51395" w:rsidRDefault="00017021" w:rsidP="00017021">
      <w:pPr>
        <w:tabs>
          <w:tab w:val="left" w:pos="6521"/>
        </w:tabs>
        <w:spacing w:before="0"/>
        <w:ind w:right="91"/>
        <w:rPr>
          <w:szCs w:val="24"/>
        </w:rPr>
      </w:pPr>
      <w:r w:rsidRPr="00D51395">
        <w:rPr>
          <w:szCs w:val="24"/>
        </w:rPr>
        <w:t xml:space="preserve">Details of the Regulation are set out in the </w:t>
      </w:r>
      <w:r w:rsidRPr="00D51395">
        <w:rPr>
          <w:szCs w:val="24"/>
          <w:u w:val="single"/>
        </w:rPr>
        <w:t>Attachment</w:t>
      </w:r>
      <w:r w:rsidRPr="00D51395">
        <w:rPr>
          <w:szCs w:val="24"/>
        </w:rPr>
        <w:t>.</w:t>
      </w:r>
    </w:p>
    <w:p w:rsidR="00017021" w:rsidRPr="00D51395" w:rsidRDefault="00017021" w:rsidP="00017021">
      <w:pPr>
        <w:tabs>
          <w:tab w:val="left" w:pos="6521"/>
        </w:tabs>
        <w:spacing w:before="0"/>
        <w:ind w:right="91"/>
        <w:rPr>
          <w:szCs w:val="24"/>
        </w:rPr>
      </w:pPr>
    </w:p>
    <w:p w:rsidR="00017021" w:rsidRPr="00D51395" w:rsidRDefault="00017021" w:rsidP="00017021">
      <w:pPr>
        <w:tabs>
          <w:tab w:val="left" w:pos="6521"/>
        </w:tabs>
        <w:spacing w:before="0"/>
        <w:ind w:right="91"/>
        <w:rPr>
          <w:szCs w:val="24"/>
        </w:rPr>
      </w:pPr>
      <w:r w:rsidRPr="00D51395">
        <w:rPr>
          <w:szCs w:val="24"/>
        </w:rPr>
        <w:t xml:space="preserve">The Regulation is a legislative instrument for the purposes of </w:t>
      </w:r>
      <w:r w:rsidR="00F5738F">
        <w:rPr>
          <w:szCs w:val="24"/>
        </w:rPr>
        <w:br/>
      </w:r>
      <w:r w:rsidRPr="00D51395">
        <w:rPr>
          <w:szCs w:val="24"/>
        </w:rPr>
        <w:t xml:space="preserve">the </w:t>
      </w:r>
      <w:r w:rsidR="00F5738F">
        <w:rPr>
          <w:i/>
          <w:szCs w:val="24"/>
        </w:rPr>
        <w:t>Legislation</w:t>
      </w:r>
      <w:r w:rsidRPr="00D51395">
        <w:rPr>
          <w:i/>
          <w:szCs w:val="24"/>
        </w:rPr>
        <w:t xml:space="preserve"> Act 2003</w:t>
      </w:r>
      <w:r w:rsidRPr="00D51395">
        <w:rPr>
          <w:szCs w:val="24"/>
        </w:rPr>
        <w:t xml:space="preserve">. </w:t>
      </w:r>
    </w:p>
    <w:p w:rsidR="00017021" w:rsidRPr="00D51395" w:rsidRDefault="00017021" w:rsidP="00017021">
      <w:pPr>
        <w:tabs>
          <w:tab w:val="left" w:pos="6521"/>
        </w:tabs>
        <w:spacing w:before="0"/>
        <w:ind w:right="91"/>
        <w:rPr>
          <w:szCs w:val="24"/>
        </w:rPr>
      </w:pPr>
    </w:p>
    <w:p w:rsidR="00017021" w:rsidRPr="00D51395" w:rsidRDefault="00017021" w:rsidP="00017021">
      <w:pPr>
        <w:spacing w:before="0"/>
        <w:ind w:right="91"/>
        <w:rPr>
          <w:szCs w:val="24"/>
        </w:rPr>
      </w:pPr>
      <w:r w:rsidRPr="00D51395">
        <w:rPr>
          <w:szCs w:val="24"/>
        </w:rPr>
        <w:t>The Regulation commence</w:t>
      </w:r>
      <w:r w:rsidR="00C85CDE">
        <w:rPr>
          <w:szCs w:val="24"/>
        </w:rPr>
        <w:t>s</w:t>
      </w:r>
      <w:r w:rsidRPr="00D51395">
        <w:rPr>
          <w:szCs w:val="24"/>
        </w:rPr>
        <w:t xml:space="preserve"> </w:t>
      </w:r>
      <w:r w:rsidR="002622EF">
        <w:rPr>
          <w:szCs w:val="24"/>
        </w:rPr>
        <w:t>the later of 1 September 2016 and the day after the instrument is signed</w:t>
      </w:r>
      <w:r w:rsidRPr="00D51395">
        <w:rPr>
          <w:szCs w:val="24"/>
        </w:rPr>
        <w:t>.</w:t>
      </w:r>
    </w:p>
    <w:p w:rsidR="00017021" w:rsidRDefault="00017021" w:rsidP="00A13C4F">
      <w:pPr>
        <w:spacing w:before="0"/>
        <w:ind w:left="1695" w:right="91" w:hanging="1695"/>
      </w:pPr>
    </w:p>
    <w:p w:rsidR="00017021" w:rsidRDefault="00017021" w:rsidP="00A13C4F">
      <w:pPr>
        <w:spacing w:before="0"/>
        <w:ind w:left="1695" w:right="91" w:hanging="1695"/>
      </w:pPr>
    </w:p>
    <w:p w:rsidR="00017021" w:rsidRDefault="00017021" w:rsidP="00A13C4F">
      <w:pPr>
        <w:spacing w:before="0"/>
        <w:ind w:left="1695" w:right="91" w:hanging="1695"/>
      </w:pPr>
    </w:p>
    <w:p w:rsidR="00C85CDE" w:rsidRDefault="00C85CDE">
      <w:pPr>
        <w:spacing w:before="0"/>
        <w:rPr>
          <w:b/>
          <w:sz w:val="28"/>
          <w:szCs w:val="28"/>
        </w:rPr>
      </w:pPr>
      <w:r>
        <w:rPr>
          <w:b/>
          <w:sz w:val="28"/>
          <w:szCs w:val="28"/>
        </w:rPr>
        <w:br w:type="page"/>
      </w:r>
    </w:p>
    <w:p w:rsidR="00467E17" w:rsidRDefault="00467E17">
      <w:pPr>
        <w:spacing w:before="0"/>
      </w:pPr>
    </w:p>
    <w:p w:rsidR="00F11410" w:rsidRPr="00707943" w:rsidRDefault="00F11410" w:rsidP="00467E17">
      <w:pPr>
        <w:spacing w:before="0"/>
        <w:ind w:right="91"/>
        <w:jc w:val="right"/>
        <w:rPr>
          <w:u w:val="single"/>
        </w:rPr>
      </w:pPr>
      <w:r w:rsidRPr="00707943">
        <w:rPr>
          <w:b/>
          <w:u w:val="single"/>
        </w:rPr>
        <w:t>ATTACHMENT</w:t>
      </w:r>
    </w:p>
    <w:p w:rsidR="00F11410" w:rsidRPr="00707943" w:rsidRDefault="00F11410">
      <w:pPr>
        <w:spacing w:before="0"/>
        <w:ind w:right="91"/>
        <w:jc w:val="right"/>
        <w:rPr>
          <w:b/>
          <w:u w:val="single"/>
        </w:rPr>
      </w:pPr>
    </w:p>
    <w:p w:rsidR="00EF236B" w:rsidRPr="00227783" w:rsidRDefault="00EF236B" w:rsidP="00EF236B">
      <w:pPr>
        <w:spacing w:before="0"/>
        <w:ind w:right="91"/>
        <w:rPr>
          <w:b/>
          <w:szCs w:val="24"/>
          <w:u w:val="single"/>
        </w:rPr>
      </w:pPr>
      <w:r w:rsidRPr="00B27B20">
        <w:rPr>
          <w:b/>
          <w:szCs w:val="24"/>
          <w:u w:val="single"/>
        </w:rPr>
        <w:t xml:space="preserve">Details of the proposed </w:t>
      </w:r>
      <w:r w:rsidRPr="00B27B20">
        <w:rPr>
          <w:b/>
          <w:i/>
          <w:szCs w:val="24"/>
          <w:u w:val="single"/>
        </w:rPr>
        <w:t>Marine Safety (Domestic Commercial Vessel) National Law Amendment (</w:t>
      </w:r>
      <w:r w:rsidR="00C85CDE">
        <w:rPr>
          <w:b/>
          <w:i/>
          <w:szCs w:val="24"/>
          <w:u w:val="single"/>
        </w:rPr>
        <w:t>Cost Recovery) Regulation 2016</w:t>
      </w:r>
    </w:p>
    <w:p w:rsidR="00EF236B" w:rsidRPr="00B27B20" w:rsidRDefault="00EF236B" w:rsidP="00EF236B">
      <w:pPr>
        <w:spacing w:before="0"/>
        <w:ind w:right="91"/>
        <w:rPr>
          <w:szCs w:val="24"/>
          <w:u w:val="single"/>
        </w:rPr>
      </w:pPr>
    </w:p>
    <w:p w:rsidR="00EF236B" w:rsidRPr="00B27B20" w:rsidRDefault="00EF236B" w:rsidP="00EF236B">
      <w:pPr>
        <w:spacing w:before="0"/>
        <w:ind w:right="91"/>
        <w:rPr>
          <w:b/>
          <w:szCs w:val="24"/>
        </w:rPr>
      </w:pPr>
      <w:r w:rsidRPr="00B27B20">
        <w:rPr>
          <w:b/>
          <w:szCs w:val="24"/>
        </w:rPr>
        <w:t xml:space="preserve">Legislative Authority </w:t>
      </w:r>
    </w:p>
    <w:p w:rsidR="00EF236B" w:rsidRPr="00B27B20" w:rsidRDefault="00EF236B" w:rsidP="00EF236B">
      <w:pPr>
        <w:spacing w:before="0"/>
        <w:ind w:right="91"/>
        <w:rPr>
          <w:szCs w:val="24"/>
          <w:u w:val="single"/>
        </w:rPr>
      </w:pPr>
    </w:p>
    <w:p w:rsidR="00C85CDE" w:rsidRPr="00B27B20" w:rsidRDefault="00C85CDE" w:rsidP="00C85CDE">
      <w:pPr>
        <w:spacing w:before="0"/>
        <w:ind w:right="91"/>
        <w:rPr>
          <w:szCs w:val="24"/>
        </w:rPr>
      </w:pPr>
      <w:r w:rsidRPr="0091023C">
        <w:rPr>
          <w:rFonts w:eastAsia="Calibri"/>
          <w:lang w:val="en-GB"/>
        </w:rPr>
        <w:t xml:space="preserve">Section 150(1) of Schedule 1 of the </w:t>
      </w:r>
      <w:r w:rsidRPr="00707943">
        <w:rPr>
          <w:i/>
        </w:rPr>
        <w:t>Marine Safety (Domestic Commercial Vessel) National Law Act 2012</w:t>
      </w:r>
      <w:r>
        <w:t xml:space="preserve"> (the Act) </w:t>
      </w:r>
      <w:r w:rsidRPr="0091023C">
        <w:rPr>
          <w:rFonts w:eastAsia="Calibri"/>
          <w:lang w:val="en-GB"/>
        </w:rPr>
        <w:t xml:space="preserve">provides that </w:t>
      </w:r>
      <w:r>
        <w:rPr>
          <w:rFonts w:eastAsia="Calibri"/>
          <w:lang w:val="en-GB"/>
        </w:rPr>
        <w:t xml:space="preserve">the </w:t>
      </w:r>
      <w:r w:rsidRPr="00D51395">
        <w:rPr>
          <w:szCs w:val="24"/>
        </w:rPr>
        <w:t>Australian Maritime Safety Authority (AMSA</w:t>
      </w:r>
      <w:r>
        <w:rPr>
          <w:szCs w:val="24"/>
        </w:rPr>
        <w:t>)</w:t>
      </w:r>
      <w:r w:rsidRPr="0091023C">
        <w:rPr>
          <w:rFonts w:eastAsia="Calibri"/>
          <w:lang w:val="en-GB"/>
        </w:rPr>
        <w:t xml:space="preserve"> may charge such fees as prescribed by the</w:t>
      </w:r>
      <w:r>
        <w:rPr>
          <w:rFonts w:eastAsia="Calibri"/>
          <w:lang w:val="en-GB"/>
        </w:rPr>
        <w:t xml:space="preserve"> relevant</w:t>
      </w:r>
      <w:r w:rsidRPr="0091023C">
        <w:rPr>
          <w:rFonts w:eastAsia="Calibri"/>
          <w:lang w:val="en-GB"/>
        </w:rPr>
        <w:t xml:space="preserve"> </w:t>
      </w:r>
      <w:r>
        <w:rPr>
          <w:rFonts w:eastAsia="Calibri"/>
          <w:lang w:val="en-GB"/>
        </w:rPr>
        <w:t>R</w:t>
      </w:r>
      <w:r w:rsidRPr="0091023C">
        <w:rPr>
          <w:rFonts w:eastAsia="Calibri"/>
          <w:lang w:val="en-GB"/>
        </w:rPr>
        <w:t>egulation</w:t>
      </w:r>
      <w:r>
        <w:rPr>
          <w:rFonts w:eastAsia="Calibri"/>
          <w:lang w:val="en-GB"/>
        </w:rPr>
        <w:t>s</w:t>
      </w:r>
      <w:r w:rsidRPr="0091023C">
        <w:rPr>
          <w:rFonts w:eastAsia="Calibri"/>
          <w:lang w:val="en-GB"/>
        </w:rPr>
        <w:t xml:space="preserve"> for </w:t>
      </w:r>
      <w:r>
        <w:rPr>
          <w:rFonts w:eastAsia="Calibri"/>
          <w:lang w:val="en-GB"/>
        </w:rPr>
        <w:t>activities</w:t>
      </w:r>
      <w:r w:rsidRPr="0091023C">
        <w:rPr>
          <w:rFonts w:eastAsia="Calibri"/>
          <w:lang w:val="en-GB"/>
        </w:rPr>
        <w:t xml:space="preserve"> </w:t>
      </w:r>
      <w:r>
        <w:rPr>
          <w:rFonts w:eastAsia="Calibri"/>
          <w:lang w:val="en-GB"/>
        </w:rPr>
        <w:t>carried out</w:t>
      </w:r>
      <w:r w:rsidRPr="0091023C">
        <w:rPr>
          <w:rFonts w:eastAsia="Calibri"/>
          <w:lang w:val="en-GB"/>
        </w:rPr>
        <w:t xml:space="preserve"> by </w:t>
      </w:r>
      <w:r>
        <w:rPr>
          <w:rFonts w:eastAsia="Calibri"/>
          <w:lang w:val="en-GB"/>
        </w:rPr>
        <w:t>AMSA</w:t>
      </w:r>
      <w:r w:rsidRPr="00B874BC">
        <w:t>.</w:t>
      </w:r>
      <w:r>
        <w:t xml:space="preserve">  Sub-section 159(1)</w:t>
      </w:r>
      <w:r w:rsidRPr="00707943">
        <w:t xml:space="preserve"> of the</w:t>
      </w:r>
      <w:r>
        <w:t xml:space="preserve"> Act</w:t>
      </w:r>
      <w:r w:rsidRPr="00707943">
        <w:t xml:space="preserve"> provides that the Governor</w:t>
      </w:r>
      <w:r w:rsidRPr="00707943">
        <w:noBreakHyphen/>
        <w:t>General may make regulations</w:t>
      </w:r>
      <w:r>
        <w:t>.</w:t>
      </w:r>
    </w:p>
    <w:p w:rsidR="008479D7" w:rsidRDefault="008479D7" w:rsidP="00EF236B">
      <w:pPr>
        <w:spacing w:before="0"/>
        <w:ind w:right="91"/>
        <w:rPr>
          <w:szCs w:val="24"/>
        </w:rPr>
      </w:pPr>
    </w:p>
    <w:p w:rsidR="00EF236B" w:rsidRPr="00B27B20" w:rsidRDefault="00EF236B" w:rsidP="00EF236B">
      <w:pPr>
        <w:spacing w:before="0"/>
        <w:ind w:right="91"/>
        <w:rPr>
          <w:b/>
          <w:szCs w:val="24"/>
        </w:rPr>
      </w:pPr>
      <w:r w:rsidRPr="00B27B20">
        <w:rPr>
          <w:b/>
          <w:szCs w:val="24"/>
        </w:rPr>
        <w:t>Purpose</w:t>
      </w:r>
    </w:p>
    <w:p w:rsidR="00EF236B" w:rsidRPr="00B27B20" w:rsidRDefault="00EF236B" w:rsidP="00EF236B">
      <w:pPr>
        <w:spacing w:before="0"/>
        <w:ind w:right="91"/>
        <w:rPr>
          <w:szCs w:val="24"/>
        </w:rPr>
      </w:pPr>
    </w:p>
    <w:p w:rsidR="00EF236B" w:rsidRDefault="00EF236B" w:rsidP="00EF236B">
      <w:pPr>
        <w:spacing w:before="0"/>
        <w:ind w:right="91"/>
        <w:rPr>
          <w:color w:val="0D0D0D" w:themeColor="text1" w:themeTint="F2"/>
          <w:szCs w:val="24"/>
        </w:rPr>
      </w:pPr>
      <w:r w:rsidRPr="00B27B20">
        <w:rPr>
          <w:szCs w:val="24"/>
        </w:rPr>
        <w:t xml:space="preserve">The </w:t>
      </w:r>
      <w:r w:rsidR="00C85CDE" w:rsidRPr="00D51395">
        <w:rPr>
          <w:i/>
          <w:szCs w:val="24"/>
        </w:rPr>
        <w:t>Marine Safety (Domestic Commercial Vessel) National Law Amendment (</w:t>
      </w:r>
      <w:r w:rsidR="00C85CDE">
        <w:rPr>
          <w:i/>
          <w:szCs w:val="24"/>
        </w:rPr>
        <w:t>Cost Recovery) Regulation 2016</w:t>
      </w:r>
      <w:r w:rsidR="00C85CDE" w:rsidRPr="00D51395">
        <w:rPr>
          <w:szCs w:val="24"/>
        </w:rPr>
        <w:t xml:space="preserve"> (the Regulation)</w:t>
      </w:r>
      <w:r w:rsidR="00C85CDE">
        <w:rPr>
          <w:szCs w:val="24"/>
        </w:rPr>
        <w:t xml:space="preserve"> </w:t>
      </w:r>
      <w:r w:rsidRPr="00B27B20">
        <w:rPr>
          <w:szCs w:val="24"/>
        </w:rPr>
        <w:t>amend</w:t>
      </w:r>
      <w:r>
        <w:rPr>
          <w:szCs w:val="24"/>
        </w:rPr>
        <w:t>s</w:t>
      </w:r>
      <w:r w:rsidRPr="00B27B20">
        <w:rPr>
          <w:szCs w:val="24"/>
        </w:rPr>
        <w:t xml:space="preserve"> the </w:t>
      </w:r>
      <w:r w:rsidR="00341C08">
        <w:rPr>
          <w:szCs w:val="24"/>
        </w:rPr>
        <w:t xml:space="preserve">Principal </w:t>
      </w:r>
      <w:r w:rsidRPr="00B27B20">
        <w:rPr>
          <w:szCs w:val="24"/>
        </w:rPr>
        <w:t xml:space="preserve">Regulations to </w:t>
      </w:r>
      <w:r w:rsidR="00C85CDE" w:rsidRPr="0091023C">
        <w:rPr>
          <w:rFonts w:eastAsia="Calibri"/>
          <w:lang w:val="en-GB"/>
        </w:rPr>
        <w:t xml:space="preserve">prescribe </w:t>
      </w:r>
      <w:r w:rsidR="00C85CDE">
        <w:rPr>
          <w:rFonts w:eastAsia="Calibri"/>
          <w:lang w:val="en-GB"/>
        </w:rPr>
        <w:t>a schedule of</w:t>
      </w:r>
      <w:r w:rsidR="00C85CDE" w:rsidRPr="0091023C">
        <w:rPr>
          <w:rFonts w:eastAsia="Calibri"/>
          <w:lang w:val="en-GB"/>
        </w:rPr>
        <w:t xml:space="preserve"> fees for </w:t>
      </w:r>
      <w:r w:rsidR="00C85CDE">
        <w:rPr>
          <w:rFonts w:eastAsia="Calibri"/>
          <w:lang w:val="en-GB"/>
        </w:rPr>
        <w:t>activities carried out</w:t>
      </w:r>
      <w:r w:rsidR="00C85CDE" w:rsidRPr="0091023C">
        <w:rPr>
          <w:rFonts w:eastAsia="Calibri"/>
          <w:lang w:val="en-GB"/>
        </w:rPr>
        <w:t xml:space="preserve"> by </w:t>
      </w:r>
      <w:r w:rsidR="00C85CDE">
        <w:rPr>
          <w:rFonts w:eastAsia="Calibri"/>
          <w:lang w:val="en-GB"/>
        </w:rPr>
        <w:t>AMSA</w:t>
      </w:r>
      <w:r w:rsidR="00C85CDE" w:rsidRPr="0091023C">
        <w:rPr>
          <w:rFonts w:eastAsia="Calibri"/>
          <w:lang w:val="en-GB"/>
        </w:rPr>
        <w:t xml:space="preserve"> under the </w:t>
      </w:r>
      <w:r w:rsidR="00C85CDE">
        <w:rPr>
          <w:rFonts w:eastAsia="Calibri"/>
          <w:lang w:val="en-GB"/>
        </w:rPr>
        <w:t>Act, in support of an associated fee for service framework</w:t>
      </w:r>
      <w:r w:rsidRPr="00B27B20">
        <w:rPr>
          <w:color w:val="0D0D0D" w:themeColor="text1" w:themeTint="F2"/>
          <w:szCs w:val="24"/>
        </w:rPr>
        <w:t>.</w:t>
      </w:r>
    </w:p>
    <w:p w:rsidR="00EF236B" w:rsidRPr="00B27B20" w:rsidRDefault="00EF236B" w:rsidP="00EF236B">
      <w:pPr>
        <w:spacing w:before="0"/>
        <w:ind w:right="91"/>
        <w:rPr>
          <w:szCs w:val="24"/>
          <w:u w:val="single"/>
        </w:rPr>
      </w:pPr>
    </w:p>
    <w:p w:rsidR="00EF236B" w:rsidRDefault="00EF236B" w:rsidP="00EF236B">
      <w:pPr>
        <w:spacing w:before="0"/>
        <w:ind w:right="91"/>
        <w:rPr>
          <w:b/>
          <w:szCs w:val="24"/>
        </w:rPr>
      </w:pPr>
      <w:r w:rsidRPr="00B27B20">
        <w:rPr>
          <w:b/>
          <w:szCs w:val="24"/>
        </w:rPr>
        <w:t>Public consultation</w:t>
      </w:r>
    </w:p>
    <w:p w:rsidR="00EF236B" w:rsidRPr="00B27B20" w:rsidRDefault="00EF236B" w:rsidP="00EF236B">
      <w:pPr>
        <w:spacing w:before="0"/>
        <w:ind w:right="91"/>
        <w:rPr>
          <w:b/>
          <w:szCs w:val="24"/>
        </w:rPr>
      </w:pPr>
    </w:p>
    <w:p w:rsidR="00EF236B" w:rsidRPr="00B27B20" w:rsidRDefault="00D33C83" w:rsidP="00EF236B">
      <w:pPr>
        <w:spacing w:before="0"/>
        <w:rPr>
          <w:szCs w:val="24"/>
        </w:rPr>
      </w:pPr>
      <w:r>
        <w:rPr>
          <w:szCs w:val="24"/>
        </w:rPr>
        <w:t xml:space="preserve">A draft of the Regulation was not circulated for public comment because the decision to cost recover to fund the National System for Domestic Commercial Vessel Safety from 1 July 2017 was announced as a revenue measure in the Government’s 2016-17 Budget Paper No. 2 and maritime industry stakeholders were notified following the announcement.  In consultation with the Department of Finance and in accordance with the cost recovery implementation statement (CRIS) guidelines, a CRIS will be published prior to the Regulation coming into force on 1 September 2016.  </w:t>
      </w:r>
      <w:r w:rsidRPr="008F62ED">
        <w:rPr>
          <w:szCs w:val="24"/>
        </w:rPr>
        <w:t xml:space="preserve">In developing the Regulation, AMSA consulted with </w:t>
      </w:r>
      <w:r>
        <w:rPr>
          <w:szCs w:val="24"/>
        </w:rPr>
        <w:t xml:space="preserve">the Office of Best Practice Regulation and was advised that the Regulation is likely to have a minor regulatory impact and required a short-form Regulation Impact Statement </w:t>
      </w:r>
      <w:r w:rsidRPr="00B27B20">
        <w:t xml:space="preserve">(ID </w:t>
      </w:r>
      <w:r w:rsidR="006520A7">
        <w:t>2016/20165</w:t>
      </w:r>
      <w:r w:rsidRPr="00B27B20">
        <w:t>)</w:t>
      </w:r>
      <w:r w:rsidRPr="00D51395">
        <w:rPr>
          <w:szCs w:val="24"/>
        </w:rPr>
        <w:t>.</w:t>
      </w:r>
      <w:r w:rsidR="007509DF">
        <w:rPr>
          <w:szCs w:val="24"/>
        </w:rPr>
        <w:t xml:space="preserve"> </w:t>
      </w:r>
    </w:p>
    <w:p w:rsidR="00EF236B" w:rsidRPr="00B27B20" w:rsidRDefault="00EF236B" w:rsidP="00EF236B">
      <w:pPr>
        <w:spacing w:before="0"/>
        <w:ind w:right="91"/>
        <w:rPr>
          <w:b/>
          <w:szCs w:val="24"/>
        </w:rPr>
      </w:pPr>
    </w:p>
    <w:p w:rsidR="00EF236B" w:rsidRDefault="00EF236B" w:rsidP="00EF236B">
      <w:pPr>
        <w:spacing w:before="0"/>
        <w:ind w:right="91"/>
        <w:rPr>
          <w:b/>
          <w:szCs w:val="24"/>
        </w:rPr>
      </w:pPr>
      <w:r w:rsidRPr="00B27B20">
        <w:rPr>
          <w:b/>
          <w:szCs w:val="24"/>
        </w:rPr>
        <w:t>Regulatory Impact Analysis</w:t>
      </w:r>
    </w:p>
    <w:p w:rsidR="00EF236B" w:rsidRPr="00B27B20" w:rsidRDefault="00EF236B" w:rsidP="00EF236B">
      <w:pPr>
        <w:spacing w:before="0"/>
        <w:ind w:right="91"/>
        <w:rPr>
          <w:b/>
          <w:szCs w:val="24"/>
        </w:rPr>
      </w:pPr>
    </w:p>
    <w:p w:rsidR="00EF236B" w:rsidRPr="00B27B20" w:rsidRDefault="00EF236B" w:rsidP="00EF236B">
      <w:pPr>
        <w:pStyle w:val="BodyText1"/>
        <w:spacing w:before="0"/>
        <w:rPr>
          <w:lang w:val="en-AU"/>
        </w:rPr>
      </w:pPr>
      <w:r w:rsidRPr="00B27B20">
        <w:rPr>
          <w:lang w:val="en-AU"/>
        </w:rPr>
        <w:t xml:space="preserve">The </w:t>
      </w:r>
      <w:r w:rsidRPr="00B27B20">
        <w:t xml:space="preserve">Office of Best Practice Regulation was consulted and </w:t>
      </w:r>
      <w:r w:rsidRPr="00B27B20">
        <w:rPr>
          <w:color w:val="0D0D0D"/>
        </w:rPr>
        <w:t xml:space="preserve">advised that </w:t>
      </w:r>
      <w:r w:rsidR="00C85CDE">
        <w:rPr>
          <w:color w:val="0D0D0D"/>
          <w:lang w:val="en-AU"/>
        </w:rPr>
        <w:t xml:space="preserve">the </w:t>
      </w:r>
      <w:r w:rsidRPr="002B561E">
        <w:t>Regulation</w:t>
      </w:r>
      <w:r>
        <w:rPr>
          <w:color w:val="0D0D0D"/>
          <w:lang w:val="en-AU"/>
        </w:rPr>
        <w:t xml:space="preserve"> </w:t>
      </w:r>
      <w:r w:rsidRPr="00B27B20">
        <w:rPr>
          <w:color w:val="0D0D0D"/>
        </w:rPr>
        <w:t>has a minor regulatory impact on business, individuals and community organisations and require</w:t>
      </w:r>
      <w:r w:rsidR="00ED3ABF">
        <w:rPr>
          <w:color w:val="0D0D0D"/>
          <w:lang w:val="en-AU"/>
        </w:rPr>
        <w:t>s</w:t>
      </w:r>
      <w:r w:rsidRPr="00B27B20">
        <w:rPr>
          <w:color w:val="0D0D0D"/>
        </w:rPr>
        <w:t xml:space="preserve"> a </w:t>
      </w:r>
      <w:r w:rsidR="00ED3ABF">
        <w:rPr>
          <w:color w:val="0D0D0D"/>
          <w:lang w:val="en-AU"/>
        </w:rPr>
        <w:t xml:space="preserve">short–form </w:t>
      </w:r>
      <w:r w:rsidRPr="00B27B20">
        <w:rPr>
          <w:color w:val="0D0D0D"/>
        </w:rPr>
        <w:t>R</w:t>
      </w:r>
      <w:r w:rsidRPr="00B27B20">
        <w:rPr>
          <w:color w:val="0D0D0D"/>
          <w:lang w:val="en-AU"/>
        </w:rPr>
        <w:t xml:space="preserve">egulation </w:t>
      </w:r>
      <w:r w:rsidRPr="00B27B20">
        <w:rPr>
          <w:color w:val="0D0D0D"/>
        </w:rPr>
        <w:t>I</w:t>
      </w:r>
      <w:r w:rsidRPr="00B27B20">
        <w:rPr>
          <w:color w:val="0D0D0D"/>
          <w:lang w:val="en-AU"/>
        </w:rPr>
        <w:t xml:space="preserve">mpact </w:t>
      </w:r>
      <w:r w:rsidRPr="00B27B20">
        <w:rPr>
          <w:color w:val="0D0D0D"/>
        </w:rPr>
        <w:t>S</w:t>
      </w:r>
      <w:r w:rsidRPr="00B27B20">
        <w:rPr>
          <w:color w:val="0D0D0D"/>
          <w:lang w:val="en-AU"/>
        </w:rPr>
        <w:t>tatement</w:t>
      </w:r>
      <w:r w:rsidRPr="00B27B20">
        <w:rPr>
          <w:color w:val="0D0D0D"/>
        </w:rPr>
        <w:t xml:space="preserve"> </w:t>
      </w:r>
      <w:r w:rsidRPr="00B27B20">
        <w:t xml:space="preserve">(ID </w:t>
      </w:r>
      <w:r w:rsidR="00ED3ABF">
        <w:rPr>
          <w:lang w:val="en-AU"/>
        </w:rPr>
        <w:t>2016</w:t>
      </w:r>
      <w:r w:rsidR="00080DA3">
        <w:rPr>
          <w:lang w:val="en-AU"/>
        </w:rPr>
        <w:t>/</w:t>
      </w:r>
      <w:r w:rsidR="006520A7">
        <w:rPr>
          <w:lang w:val="en-AU"/>
        </w:rPr>
        <w:t>20165</w:t>
      </w:r>
      <w:r w:rsidRPr="00B27B20">
        <w:t xml:space="preserve">). </w:t>
      </w:r>
    </w:p>
    <w:p w:rsidR="00EF236B" w:rsidRPr="00B27B20" w:rsidRDefault="00EF236B" w:rsidP="00EF236B">
      <w:pPr>
        <w:spacing w:before="0"/>
        <w:ind w:right="91"/>
        <w:rPr>
          <w:szCs w:val="24"/>
          <w:u w:val="single"/>
        </w:rPr>
      </w:pPr>
    </w:p>
    <w:p w:rsidR="00EF236B" w:rsidRDefault="00EF236B" w:rsidP="00EF236B">
      <w:pPr>
        <w:pStyle w:val="BodyText1"/>
        <w:spacing w:before="0"/>
        <w:rPr>
          <w:b/>
          <w:lang w:val="en-AU"/>
        </w:rPr>
      </w:pPr>
      <w:r w:rsidRPr="00B27B20">
        <w:rPr>
          <w:b/>
        </w:rPr>
        <w:t>Disallowance of Regulation</w:t>
      </w:r>
    </w:p>
    <w:p w:rsidR="00EF236B" w:rsidRPr="00B27B20" w:rsidRDefault="00EF236B" w:rsidP="00EF236B">
      <w:pPr>
        <w:pStyle w:val="BodyText1"/>
        <w:spacing w:before="0"/>
        <w:rPr>
          <w:lang w:val="en-AU"/>
        </w:rPr>
      </w:pPr>
    </w:p>
    <w:p w:rsidR="00EF236B" w:rsidRPr="00B27B20" w:rsidRDefault="00EF236B" w:rsidP="00EF236B">
      <w:pPr>
        <w:pStyle w:val="BodyText1"/>
        <w:spacing w:before="0"/>
        <w:rPr>
          <w:lang w:val="en-AU"/>
        </w:rPr>
      </w:pPr>
      <w:r w:rsidRPr="00B27B20">
        <w:t xml:space="preserve">The Regulation is a disallowable legislative instrument for the purposes of the </w:t>
      </w:r>
      <w:r w:rsidRPr="00B27B20">
        <w:rPr>
          <w:i/>
        </w:rPr>
        <w:t>Legislative Instruments Act 2003</w:t>
      </w:r>
      <w:r w:rsidRPr="00B27B20">
        <w:rPr>
          <w:i/>
          <w:lang w:val="en-AU"/>
        </w:rPr>
        <w:t>.</w:t>
      </w:r>
    </w:p>
    <w:p w:rsidR="007D5CE1" w:rsidRDefault="007D5CE1">
      <w:pPr>
        <w:spacing w:before="0"/>
        <w:rPr>
          <w:b/>
        </w:rPr>
      </w:pPr>
    </w:p>
    <w:p w:rsidR="00EF236B" w:rsidRPr="002777B3" w:rsidRDefault="00EF236B" w:rsidP="002777B3">
      <w:pPr>
        <w:spacing w:before="0"/>
        <w:rPr>
          <w:i/>
        </w:rPr>
      </w:pPr>
      <w:r w:rsidRPr="002777B3">
        <w:rPr>
          <w:b/>
        </w:rPr>
        <w:t xml:space="preserve">Documents incorporated by reference </w:t>
      </w:r>
    </w:p>
    <w:p w:rsidR="00EF236B" w:rsidRPr="00B27B20" w:rsidRDefault="00EF236B" w:rsidP="00EF236B">
      <w:pPr>
        <w:pStyle w:val="Heading4noTC"/>
        <w:spacing w:before="0" w:after="0"/>
        <w:rPr>
          <w:i w:val="0"/>
        </w:rPr>
      </w:pPr>
    </w:p>
    <w:p w:rsidR="00341C08" w:rsidRDefault="008F2ADA">
      <w:pPr>
        <w:spacing w:before="0"/>
        <w:rPr>
          <w:b/>
          <w:szCs w:val="24"/>
        </w:rPr>
      </w:pPr>
      <w:r>
        <w:t xml:space="preserve">The Regulation does not incorporate any </w:t>
      </w:r>
      <w:r w:rsidR="00080DA3">
        <w:t xml:space="preserve">documents </w:t>
      </w:r>
      <w:r>
        <w:t>by reference.</w:t>
      </w:r>
    </w:p>
    <w:p w:rsidR="0035356A" w:rsidRDefault="0035356A" w:rsidP="00EF236B">
      <w:pPr>
        <w:spacing w:before="0"/>
        <w:ind w:right="91"/>
        <w:rPr>
          <w:b/>
          <w:szCs w:val="24"/>
        </w:rPr>
      </w:pPr>
    </w:p>
    <w:p w:rsidR="006520A7" w:rsidRDefault="006520A7">
      <w:pPr>
        <w:spacing w:before="0"/>
        <w:rPr>
          <w:b/>
          <w:szCs w:val="24"/>
        </w:rPr>
      </w:pPr>
      <w:r>
        <w:rPr>
          <w:b/>
          <w:szCs w:val="24"/>
        </w:rPr>
        <w:br w:type="page"/>
      </w:r>
    </w:p>
    <w:p w:rsidR="00EF236B" w:rsidRPr="00B27B20" w:rsidRDefault="00EF236B" w:rsidP="00EF236B">
      <w:pPr>
        <w:spacing w:before="0"/>
        <w:ind w:right="91"/>
        <w:rPr>
          <w:b/>
          <w:szCs w:val="24"/>
        </w:rPr>
      </w:pPr>
      <w:r w:rsidRPr="00B27B20">
        <w:rPr>
          <w:b/>
          <w:szCs w:val="24"/>
        </w:rPr>
        <w:lastRenderedPageBreak/>
        <w:t>Details of the Amendment Regulation</w:t>
      </w:r>
    </w:p>
    <w:p w:rsidR="00EF236B" w:rsidRPr="00B27B20" w:rsidRDefault="00EF236B" w:rsidP="00EF236B">
      <w:pPr>
        <w:spacing w:before="0"/>
        <w:ind w:right="91"/>
        <w:rPr>
          <w:szCs w:val="24"/>
          <w:u w:val="single"/>
        </w:rPr>
      </w:pPr>
    </w:p>
    <w:p w:rsidR="00F943B4" w:rsidRPr="00F943B4" w:rsidRDefault="00F943B4" w:rsidP="00F943B4">
      <w:pPr>
        <w:spacing w:before="0" w:after="120"/>
        <w:ind w:right="91"/>
        <w:outlineLvl w:val="3"/>
        <w:rPr>
          <w:szCs w:val="24"/>
          <w:u w:val="single"/>
        </w:rPr>
      </w:pPr>
      <w:r w:rsidRPr="00F943B4">
        <w:rPr>
          <w:szCs w:val="24"/>
          <w:u w:val="single"/>
        </w:rPr>
        <w:t>Section 1 – Name of Regulation</w:t>
      </w:r>
    </w:p>
    <w:p w:rsidR="00F943B4" w:rsidRPr="00F943B4" w:rsidRDefault="00F943B4" w:rsidP="00F943B4">
      <w:pPr>
        <w:spacing w:before="0"/>
        <w:ind w:right="91"/>
        <w:rPr>
          <w:i/>
          <w:szCs w:val="24"/>
        </w:rPr>
      </w:pPr>
      <w:r w:rsidRPr="00F943B4">
        <w:rPr>
          <w:szCs w:val="24"/>
        </w:rPr>
        <w:t>Section 1 sets out that the title of the Regulation is the</w:t>
      </w:r>
      <w:r w:rsidRPr="00F943B4">
        <w:rPr>
          <w:i/>
          <w:szCs w:val="24"/>
        </w:rPr>
        <w:t xml:space="preserve"> Marine Safety (Domestic Commercial Vessel) National Law Amendment (Cost Recovery) Regulation 2016</w:t>
      </w:r>
      <w:r w:rsidRPr="00F943B4">
        <w:rPr>
          <w:szCs w:val="24"/>
        </w:rPr>
        <w:t xml:space="preserve"> </w:t>
      </w:r>
      <w:r>
        <w:rPr>
          <w:szCs w:val="24"/>
        </w:rPr>
        <w:br/>
      </w:r>
      <w:r w:rsidRPr="00F943B4">
        <w:rPr>
          <w:szCs w:val="24"/>
        </w:rPr>
        <w:t>(the Regulation).</w:t>
      </w:r>
    </w:p>
    <w:p w:rsidR="00F943B4" w:rsidRPr="00F943B4" w:rsidRDefault="00F943B4" w:rsidP="00F943B4">
      <w:pPr>
        <w:spacing w:before="0"/>
        <w:ind w:right="91"/>
        <w:rPr>
          <w:szCs w:val="24"/>
        </w:rPr>
      </w:pPr>
    </w:p>
    <w:p w:rsidR="00F943B4" w:rsidRPr="00F943B4" w:rsidRDefault="00F943B4" w:rsidP="00F943B4">
      <w:pPr>
        <w:spacing w:before="0" w:after="120"/>
        <w:ind w:right="91"/>
        <w:outlineLvl w:val="3"/>
        <w:rPr>
          <w:szCs w:val="24"/>
          <w:u w:val="single"/>
        </w:rPr>
      </w:pPr>
      <w:r w:rsidRPr="00F943B4">
        <w:rPr>
          <w:szCs w:val="24"/>
          <w:u w:val="single"/>
        </w:rPr>
        <w:t>Section 2 – Commencement</w:t>
      </w:r>
    </w:p>
    <w:p w:rsidR="00F943B4" w:rsidRPr="00F943B4" w:rsidRDefault="00F943B4" w:rsidP="00F943B4">
      <w:pPr>
        <w:spacing w:before="0"/>
        <w:ind w:right="91"/>
        <w:rPr>
          <w:szCs w:val="24"/>
        </w:rPr>
      </w:pPr>
      <w:r w:rsidRPr="00F943B4">
        <w:rPr>
          <w:szCs w:val="24"/>
        </w:rPr>
        <w:t>Section 2 provides that the Regulation commences on the later of 1 September 2016 and the day after the instrument is signed.</w:t>
      </w:r>
    </w:p>
    <w:p w:rsidR="00F943B4" w:rsidRPr="00F943B4" w:rsidRDefault="00F943B4" w:rsidP="00F943B4">
      <w:pPr>
        <w:spacing w:before="0"/>
        <w:ind w:right="91"/>
        <w:rPr>
          <w:szCs w:val="24"/>
          <w:u w:val="single"/>
        </w:rPr>
      </w:pPr>
    </w:p>
    <w:p w:rsidR="00F943B4" w:rsidRPr="00F943B4" w:rsidRDefault="00F943B4" w:rsidP="00F943B4">
      <w:pPr>
        <w:spacing w:before="0" w:after="120"/>
        <w:ind w:right="91"/>
        <w:outlineLvl w:val="3"/>
        <w:rPr>
          <w:szCs w:val="24"/>
          <w:u w:val="single"/>
        </w:rPr>
      </w:pPr>
      <w:r w:rsidRPr="00F943B4">
        <w:rPr>
          <w:szCs w:val="24"/>
          <w:u w:val="single"/>
        </w:rPr>
        <w:t>Section 3 – Authority</w:t>
      </w:r>
    </w:p>
    <w:p w:rsidR="00F943B4" w:rsidRPr="00F943B4" w:rsidRDefault="00F943B4" w:rsidP="00F943B4">
      <w:pPr>
        <w:spacing w:before="0"/>
        <w:ind w:right="91"/>
        <w:rPr>
          <w:szCs w:val="24"/>
          <w:u w:val="single"/>
        </w:rPr>
      </w:pPr>
      <w:r w:rsidRPr="00F943B4">
        <w:rPr>
          <w:szCs w:val="24"/>
        </w:rPr>
        <w:t xml:space="preserve">Section 3 states the authority under which the regulation is made; the </w:t>
      </w:r>
      <w:r w:rsidRPr="00F943B4">
        <w:rPr>
          <w:i/>
          <w:szCs w:val="24"/>
        </w:rPr>
        <w:t>Marine Safety (Domestic Commercial Vessel) National Law Act 2012</w:t>
      </w:r>
      <w:r w:rsidRPr="00F943B4">
        <w:rPr>
          <w:szCs w:val="24"/>
        </w:rPr>
        <w:t xml:space="preserve"> (the Act)</w:t>
      </w:r>
      <w:r w:rsidRPr="00F943B4">
        <w:rPr>
          <w:i/>
          <w:szCs w:val="24"/>
        </w:rPr>
        <w:t>.</w:t>
      </w:r>
    </w:p>
    <w:p w:rsidR="00F943B4" w:rsidRPr="00F943B4" w:rsidRDefault="00F943B4" w:rsidP="00F943B4">
      <w:pPr>
        <w:spacing w:before="0"/>
        <w:ind w:right="91"/>
        <w:rPr>
          <w:szCs w:val="24"/>
          <w:u w:val="single"/>
        </w:rPr>
      </w:pPr>
    </w:p>
    <w:p w:rsidR="00F943B4" w:rsidRPr="00F943B4" w:rsidRDefault="00F943B4" w:rsidP="00F943B4">
      <w:pPr>
        <w:spacing w:before="0" w:after="120"/>
        <w:ind w:right="91"/>
        <w:outlineLvl w:val="3"/>
        <w:rPr>
          <w:szCs w:val="24"/>
          <w:u w:val="single"/>
        </w:rPr>
      </w:pPr>
      <w:r w:rsidRPr="00F943B4">
        <w:rPr>
          <w:szCs w:val="24"/>
          <w:u w:val="single"/>
        </w:rPr>
        <w:t>Section 4 – Schedules</w:t>
      </w:r>
    </w:p>
    <w:p w:rsidR="00F943B4" w:rsidRPr="00F943B4" w:rsidRDefault="00F943B4" w:rsidP="00F943B4">
      <w:pPr>
        <w:spacing w:before="0"/>
        <w:ind w:right="91"/>
        <w:rPr>
          <w:szCs w:val="24"/>
        </w:rPr>
      </w:pPr>
      <w:r w:rsidRPr="00F943B4">
        <w:rPr>
          <w:szCs w:val="24"/>
        </w:rPr>
        <w:t>Section 4 provides for the amendments mentioned in the Schedule.</w:t>
      </w:r>
    </w:p>
    <w:p w:rsidR="00F943B4" w:rsidRPr="00F943B4" w:rsidRDefault="00F943B4" w:rsidP="00F943B4">
      <w:pPr>
        <w:spacing w:before="0"/>
        <w:ind w:right="91"/>
        <w:rPr>
          <w:szCs w:val="24"/>
          <w:u w:val="single"/>
        </w:rPr>
      </w:pPr>
    </w:p>
    <w:p w:rsidR="00F943B4" w:rsidRPr="00F943B4" w:rsidRDefault="00F943B4" w:rsidP="00F943B4">
      <w:pPr>
        <w:spacing w:before="0" w:after="120"/>
        <w:ind w:right="91"/>
        <w:outlineLvl w:val="3"/>
        <w:rPr>
          <w:szCs w:val="24"/>
          <w:u w:val="single"/>
        </w:rPr>
      </w:pPr>
      <w:r w:rsidRPr="00F943B4">
        <w:rPr>
          <w:szCs w:val="24"/>
          <w:u w:val="single"/>
        </w:rPr>
        <w:t xml:space="preserve">Schedule 1 – Amendments to the </w:t>
      </w:r>
      <w:r w:rsidRPr="00F943B4">
        <w:rPr>
          <w:i/>
          <w:szCs w:val="24"/>
          <w:u w:val="single"/>
        </w:rPr>
        <w:t>Marine Safety (Domestic Commercial Vessel) National Law Regulation 2013</w:t>
      </w:r>
      <w:r w:rsidRPr="00F943B4">
        <w:rPr>
          <w:szCs w:val="24"/>
          <w:u w:val="single"/>
        </w:rPr>
        <w:t xml:space="preserve"> (the Principal Regulations)</w:t>
      </w:r>
    </w:p>
    <w:p w:rsidR="00F943B4" w:rsidRPr="00F943B4" w:rsidRDefault="00F943B4" w:rsidP="00F943B4">
      <w:pPr>
        <w:spacing w:after="120"/>
        <w:ind w:right="91"/>
        <w:rPr>
          <w:b/>
          <w:szCs w:val="24"/>
        </w:rPr>
      </w:pPr>
      <w:r w:rsidRPr="00F943B4">
        <w:rPr>
          <w:b/>
          <w:szCs w:val="24"/>
        </w:rPr>
        <w:t>Item 1</w:t>
      </w:r>
    </w:p>
    <w:p w:rsidR="00F943B4" w:rsidRPr="00F943B4" w:rsidRDefault="00F943B4" w:rsidP="00F943B4">
      <w:pPr>
        <w:spacing w:before="0"/>
        <w:ind w:right="91"/>
        <w:rPr>
          <w:szCs w:val="24"/>
        </w:rPr>
      </w:pPr>
      <w:r w:rsidRPr="00F943B4">
        <w:rPr>
          <w:szCs w:val="24"/>
        </w:rPr>
        <w:t>The Regulation adds that an application for accreditation to perform the role of marine surveyor in one or more categories of surveying must be accompanied by the applicable application fee prescribed by subsection 50(1).</w:t>
      </w:r>
    </w:p>
    <w:p w:rsidR="00F943B4" w:rsidRPr="00F943B4" w:rsidRDefault="00F943B4" w:rsidP="00F943B4">
      <w:pPr>
        <w:spacing w:after="120"/>
        <w:ind w:right="91"/>
        <w:rPr>
          <w:b/>
          <w:szCs w:val="24"/>
        </w:rPr>
      </w:pPr>
      <w:r w:rsidRPr="00F943B4">
        <w:rPr>
          <w:b/>
          <w:szCs w:val="24"/>
        </w:rPr>
        <w:t>Item 2</w:t>
      </w:r>
    </w:p>
    <w:p w:rsidR="00F943B4" w:rsidRPr="00F943B4" w:rsidRDefault="00F943B4" w:rsidP="00F943B4">
      <w:pPr>
        <w:spacing w:before="0"/>
        <w:ind w:right="91"/>
        <w:rPr>
          <w:color w:val="0D0D0D" w:themeColor="text1" w:themeTint="F2"/>
          <w:szCs w:val="24"/>
        </w:rPr>
      </w:pPr>
      <w:r w:rsidRPr="00F943B4">
        <w:rPr>
          <w:szCs w:val="24"/>
        </w:rPr>
        <w:t xml:space="preserve">The Regulation </w:t>
      </w:r>
      <w:r w:rsidRPr="00F943B4">
        <w:rPr>
          <w:color w:val="0D0D0D" w:themeColor="text1" w:themeTint="F2"/>
          <w:szCs w:val="24"/>
        </w:rPr>
        <w:t xml:space="preserve">repeals subsection 28(2) of the Principal Regulations and substitute that an application for renewal of accreditation must </w:t>
      </w:r>
      <w:r w:rsidRPr="00F943B4">
        <w:t>be accompanied by the application fee prescribed by subsection 50(2).</w:t>
      </w:r>
    </w:p>
    <w:p w:rsidR="00F943B4" w:rsidRPr="00F943B4" w:rsidRDefault="00F943B4" w:rsidP="00F943B4">
      <w:pPr>
        <w:spacing w:after="120"/>
        <w:ind w:right="91"/>
        <w:rPr>
          <w:b/>
          <w:szCs w:val="24"/>
        </w:rPr>
      </w:pPr>
      <w:r w:rsidRPr="00F943B4">
        <w:rPr>
          <w:b/>
          <w:szCs w:val="24"/>
        </w:rPr>
        <w:t>Item 4</w:t>
      </w:r>
    </w:p>
    <w:p w:rsidR="00F943B4" w:rsidRPr="00F943B4" w:rsidRDefault="00F943B4" w:rsidP="00F943B4">
      <w:pPr>
        <w:spacing w:before="0"/>
        <w:ind w:right="91"/>
        <w:rPr>
          <w:szCs w:val="24"/>
        </w:rPr>
      </w:pPr>
      <w:r w:rsidRPr="00F943B4">
        <w:rPr>
          <w:szCs w:val="24"/>
        </w:rPr>
        <w:t>The Regulation prescribes fees for accreditation as a marine surveyor and fees for other services including processing applications for exemption from the Act, equivalent means of compliance with requirements of the Act and for any other eligible service provided by the National Regulator.</w:t>
      </w:r>
    </w:p>
    <w:p w:rsidR="00F943B4" w:rsidRPr="00F943B4" w:rsidRDefault="00F943B4" w:rsidP="00F943B4">
      <w:pPr>
        <w:spacing w:before="0"/>
        <w:ind w:right="91"/>
        <w:rPr>
          <w:szCs w:val="24"/>
        </w:rPr>
      </w:pPr>
    </w:p>
    <w:p w:rsidR="00222038" w:rsidRPr="00B27B20" w:rsidRDefault="00222038" w:rsidP="006520A7">
      <w:pPr>
        <w:spacing w:after="120"/>
        <w:ind w:right="91"/>
        <w:rPr>
          <w:szCs w:val="24"/>
        </w:rPr>
      </w:pPr>
    </w:p>
    <w:sectPr w:rsidR="00222038" w:rsidRPr="00B27B20">
      <w:footerReference w:type="default" r:id="rId11"/>
      <w:footerReference w:type="first" r:id="rId12"/>
      <w:pgSz w:w="11907" w:h="16840" w:code="9"/>
      <w:pgMar w:top="1134"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99A" w:rsidRDefault="0079599A">
      <w:r>
        <w:separator/>
      </w:r>
    </w:p>
  </w:endnote>
  <w:endnote w:type="continuationSeparator" w:id="0">
    <w:p w:rsidR="0079599A" w:rsidRDefault="0079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61E" w:rsidRDefault="0052761E">
    <w:pPr>
      <w:pStyle w:val="Footer"/>
      <w:framePr w:wrap="around" w:vAnchor="text" w:hAnchor="margin" w:xAlign="center" w:y="1"/>
    </w:pPr>
    <w:r>
      <w:fldChar w:fldCharType="begin"/>
    </w:r>
    <w:r>
      <w:instrText xml:space="preserve">PAGE  </w:instrText>
    </w:r>
    <w:r>
      <w:fldChar w:fldCharType="separate"/>
    </w:r>
    <w:r w:rsidR="00671EC1">
      <w:rPr>
        <w:noProof/>
      </w:rPr>
      <w:t>4</w:t>
    </w:r>
    <w:r>
      <w:rPr>
        <w:noProof/>
      </w:rPr>
      <w:fldChar w:fldCharType="end"/>
    </w:r>
  </w:p>
  <w:p w:rsidR="0052761E" w:rsidRDefault="00527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61E" w:rsidRDefault="0052761E">
    <w:pPr>
      <w:pStyle w:val="Footer"/>
      <w:framePr w:wrap="around" w:vAnchor="text" w:hAnchor="margin" w:xAlign="center" w:y="1"/>
    </w:pPr>
    <w:r>
      <w:fldChar w:fldCharType="begin"/>
    </w:r>
    <w:r>
      <w:instrText xml:space="preserve">PAGE  </w:instrText>
    </w:r>
    <w:r>
      <w:fldChar w:fldCharType="separate"/>
    </w:r>
    <w:r w:rsidR="00E57833">
      <w:rPr>
        <w:noProof/>
      </w:rPr>
      <w:t>2</w:t>
    </w:r>
    <w:r>
      <w:rPr>
        <w:noProof/>
      </w:rPr>
      <w:fldChar w:fldCharType="end"/>
    </w:r>
  </w:p>
  <w:p w:rsidR="0052761E" w:rsidRDefault="0052761E">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99A" w:rsidRDefault="0079599A">
      <w:r>
        <w:separator/>
      </w:r>
    </w:p>
  </w:footnote>
  <w:footnote w:type="continuationSeparator" w:id="0">
    <w:p w:rsidR="0079599A" w:rsidRDefault="00795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BA0"/>
    <w:multiLevelType w:val="hybridMultilevel"/>
    <w:tmpl w:val="10FCF59E"/>
    <w:lvl w:ilvl="0" w:tplc="0C09000F">
      <w:start w:val="1"/>
      <w:numFmt w:val="decimal"/>
      <w:lvlText w:val="%1."/>
      <w:lvlJc w:val="left"/>
      <w:pPr>
        <w:ind w:left="720" w:hanging="360"/>
      </w:pPr>
    </w:lvl>
    <w:lvl w:ilvl="1" w:tplc="06625302">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0B5771"/>
    <w:multiLevelType w:val="hybridMultilevel"/>
    <w:tmpl w:val="B7EECF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7B2687"/>
    <w:multiLevelType w:val="hybridMultilevel"/>
    <w:tmpl w:val="7884E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93431"/>
    <w:multiLevelType w:val="hybridMultilevel"/>
    <w:tmpl w:val="8B3A9544"/>
    <w:lvl w:ilvl="0" w:tplc="BF3AA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0E7ECE"/>
    <w:multiLevelType w:val="hybridMultilevel"/>
    <w:tmpl w:val="F252E7CE"/>
    <w:lvl w:ilvl="0" w:tplc="4BA08CA4">
      <w:start w:val="3"/>
      <w:numFmt w:val="lowerRoman"/>
      <w:lvlText w:val="(%1)"/>
      <w:lvlJc w:val="left"/>
      <w:pPr>
        <w:tabs>
          <w:tab w:val="num" w:pos="1931"/>
        </w:tabs>
        <w:ind w:left="1931" w:hanging="72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5" w15:restartNumberingAfterBreak="0">
    <w:nsid w:val="183F68B1"/>
    <w:multiLevelType w:val="hybridMultilevel"/>
    <w:tmpl w:val="FD02CBEC"/>
    <w:lvl w:ilvl="0" w:tplc="0C09000F">
      <w:start w:val="1"/>
      <w:numFmt w:val="decimal"/>
      <w:lvlText w:val="%1."/>
      <w:lvlJc w:val="left"/>
      <w:pPr>
        <w:ind w:left="720" w:hanging="360"/>
      </w:pPr>
    </w:lvl>
    <w:lvl w:ilvl="1" w:tplc="06625302">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6365A9"/>
    <w:multiLevelType w:val="hybridMultilevel"/>
    <w:tmpl w:val="860C073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6E2EF5"/>
    <w:multiLevelType w:val="hybridMultilevel"/>
    <w:tmpl w:val="15E41B30"/>
    <w:lvl w:ilvl="0" w:tplc="4600DD6A">
      <w:start w:val="1"/>
      <w:numFmt w:val="decimal"/>
      <w:pStyle w:val="LDMinuteParagraph"/>
      <w:lvlText w:val="%1."/>
      <w:lvlJc w:val="left"/>
      <w:pPr>
        <w:tabs>
          <w:tab w:val="num" w:pos="0"/>
        </w:tabs>
        <w:ind w:left="0" w:firstLine="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8" w15:restartNumberingAfterBreak="0">
    <w:nsid w:val="2E286546"/>
    <w:multiLevelType w:val="hybridMultilevel"/>
    <w:tmpl w:val="07CC8F3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319A1C76"/>
    <w:multiLevelType w:val="hybridMultilevel"/>
    <w:tmpl w:val="388CC3A6"/>
    <w:lvl w:ilvl="0" w:tplc="F9C20F68">
      <w:start w:val="1"/>
      <w:numFmt w:val="bullet"/>
      <w:lvlText w:val="-"/>
      <w:lvlJc w:val="left"/>
      <w:pPr>
        <w:tabs>
          <w:tab w:val="num" w:pos="360"/>
        </w:tabs>
        <w:ind w:left="360" w:hanging="360"/>
      </w:pPr>
      <w:rPr>
        <w:rFonts w:ascii="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1"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2" w15:restartNumberingAfterBreak="0">
    <w:nsid w:val="3E685B66"/>
    <w:multiLevelType w:val="hybridMultilevel"/>
    <w:tmpl w:val="65BC494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4" w15:restartNumberingAfterBreak="0">
    <w:nsid w:val="41807D8B"/>
    <w:multiLevelType w:val="hybridMultilevel"/>
    <w:tmpl w:val="3B4AE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EE611F"/>
    <w:multiLevelType w:val="hybridMultilevel"/>
    <w:tmpl w:val="390CD2AA"/>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44393E"/>
    <w:multiLevelType w:val="hybridMultilevel"/>
    <w:tmpl w:val="79F2AAE0"/>
    <w:lvl w:ilvl="0" w:tplc="1368F598">
      <w:start w:val="1"/>
      <w:numFmt w:val="lowerRoman"/>
      <w:lvlText w:val="(%1)"/>
      <w:lvlJc w:val="left"/>
      <w:pPr>
        <w:tabs>
          <w:tab w:val="num" w:pos="1636"/>
        </w:tabs>
        <w:ind w:left="1636" w:hanging="425"/>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7" w15:restartNumberingAfterBreak="0">
    <w:nsid w:val="55DD54CC"/>
    <w:multiLevelType w:val="hybridMultilevel"/>
    <w:tmpl w:val="A47EE5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325F09"/>
    <w:multiLevelType w:val="hybridMultilevel"/>
    <w:tmpl w:val="41EC5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2E1C7B"/>
    <w:multiLevelType w:val="hybridMultilevel"/>
    <w:tmpl w:val="90AE0FE4"/>
    <w:lvl w:ilvl="0" w:tplc="1532A108">
      <w:start w:val="1"/>
      <w:numFmt w:val="bullet"/>
      <w:pStyle w:val="Dotpoint1"/>
      <w:lvlText w:val=""/>
      <w:lvlJc w:val="left"/>
      <w:pPr>
        <w:ind w:left="360" w:hanging="360"/>
      </w:pPr>
      <w:rPr>
        <w:rFonts w:ascii="Symbol" w:hAnsi="Symbol" w:hint="default"/>
        <w:sz w:val="16"/>
      </w:rPr>
    </w:lvl>
    <w:lvl w:ilvl="1" w:tplc="E06C3BFC">
      <w:start w:val="1"/>
      <w:numFmt w:val="bullet"/>
      <w:pStyle w:val="Dashpoint1"/>
      <w:lvlText w:val="­"/>
      <w:lvlJc w:val="left"/>
      <w:pPr>
        <w:ind w:left="1080" w:hanging="360"/>
      </w:pPr>
      <w:rPr>
        <w:rFonts w:ascii="Courier New" w:hAnsi="Courier New" w:cs="Times New Roman" w:hint="default"/>
        <w:sz w:val="16"/>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676A1516"/>
    <w:multiLevelType w:val="hybridMultilevel"/>
    <w:tmpl w:val="496C0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EC0797A"/>
    <w:multiLevelType w:val="hybridMultilevel"/>
    <w:tmpl w:val="409024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6E7733"/>
    <w:multiLevelType w:val="hybridMultilevel"/>
    <w:tmpl w:val="B0F07FE2"/>
    <w:lvl w:ilvl="0" w:tplc="1368F598">
      <w:start w:val="1"/>
      <w:numFmt w:val="lowerRoman"/>
      <w:lvlText w:val="(%1)"/>
      <w:lvlJc w:val="left"/>
      <w:pPr>
        <w:tabs>
          <w:tab w:val="num" w:pos="1276"/>
        </w:tabs>
        <w:ind w:left="1276" w:hanging="425"/>
      </w:pPr>
      <w:rPr>
        <w:rFonts w:hint="default"/>
      </w:rPr>
    </w:lvl>
    <w:lvl w:ilvl="1" w:tplc="0C090019" w:tentative="1">
      <w:start w:val="1"/>
      <w:numFmt w:val="lowerLetter"/>
      <w:lvlText w:val="%2."/>
      <w:lvlJc w:val="left"/>
      <w:pPr>
        <w:tabs>
          <w:tab w:val="num" w:pos="900"/>
        </w:tabs>
        <w:ind w:left="900" w:hanging="360"/>
      </w:pPr>
    </w:lvl>
    <w:lvl w:ilvl="2" w:tplc="0C09001B" w:tentative="1">
      <w:start w:val="1"/>
      <w:numFmt w:val="lowerRoman"/>
      <w:lvlText w:val="%3."/>
      <w:lvlJc w:val="right"/>
      <w:pPr>
        <w:tabs>
          <w:tab w:val="num" w:pos="1620"/>
        </w:tabs>
        <w:ind w:left="1620" w:hanging="180"/>
      </w:pPr>
    </w:lvl>
    <w:lvl w:ilvl="3" w:tplc="0C09000F" w:tentative="1">
      <w:start w:val="1"/>
      <w:numFmt w:val="decimal"/>
      <w:lvlText w:val="%4."/>
      <w:lvlJc w:val="left"/>
      <w:pPr>
        <w:tabs>
          <w:tab w:val="num" w:pos="2340"/>
        </w:tabs>
        <w:ind w:left="2340" w:hanging="360"/>
      </w:pPr>
    </w:lvl>
    <w:lvl w:ilvl="4" w:tplc="0C090019" w:tentative="1">
      <w:start w:val="1"/>
      <w:numFmt w:val="lowerLetter"/>
      <w:lvlText w:val="%5."/>
      <w:lvlJc w:val="left"/>
      <w:pPr>
        <w:tabs>
          <w:tab w:val="num" w:pos="3060"/>
        </w:tabs>
        <w:ind w:left="3060" w:hanging="360"/>
      </w:pPr>
    </w:lvl>
    <w:lvl w:ilvl="5" w:tplc="0C09001B" w:tentative="1">
      <w:start w:val="1"/>
      <w:numFmt w:val="lowerRoman"/>
      <w:lvlText w:val="%6."/>
      <w:lvlJc w:val="right"/>
      <w:pPr>
        <w:tabs>
          <w:tab w:val="num" w:pos="3780"/>
        </w:tabs>
        <w:ind w:left="3780" w:hanging="180"/>
      </w:pPr>
    </w:lvl>
    <w:lvl w:ilvl="6" w:tplc="0C09000F" w:tentative="1">
      <w:start w:val="1"/>
      <w:numFmt w:val="decimal"/>
      <w:lvlText w:val="%7."/>
      <w:lvlJc w:val="left"/>
      <w:pPr>
        <w:tabs>
          <w:tab w:val="num" w:pos="4500"/>
        </w:tabs>
        <w:ind w:left="4500" w:hanging="360"/>
      </w:pPr>
    </w:lvl>
    <w:lvl w:ilvl="7" w:tplc="0C090019" w:tentative="1">
      <w:start w:val="1"/>
      <w:numFmt w:val="lowerLetter"/>
      <w:lvlText w:val="%8."/>
      <w:lvlJc w:val="left"/>
      <w:pPr>
        <w:tabs>
          <w:tab w:val="num" w:pos="5220"/>
        </w:tabs>
        <w:ind w:left="5220" w:hanging="360"/>
      </w:pPr>
    </w:lvl>
    <w:lvl w:ilvl="8" w:tplc="0C09001B" w:tentative="1">
      <w:start w:val="1"/>
      <w:numFmt w:val="lowerRoman"/>
      <w:lvlText w:val="%9."/>
      <w:lvlJc w:val="right"/>
      <w:pPr>
        <w:tabs>
          <w:tab w:val="num" w:pos="5940"/>
        </w:tabs>
        <w:ind w:left="5940" w:hanging="180"/>
      </w:pPr>
    </w:lvl>
  </w:abstractNum>
  <w:abstractNum w:abstractNumId="24" w15:restartNumberingAfterBreak="0">
    <w:nsid w:val="7C8E18FA"/>
    <w:multiLevelType w:val="hybridMultilevel"/>
    <w:tmpl w:val="BDACF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26"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1423"/>
        </w:tabs>
        <w:ind w:left="1423"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1"/>
  </w:num>
  <w:num w:numId="3">
    <w:abstractNumId w:val="25"/>
  </w:num>
  <w:num w:numId="4">
    <w:abstractNumId w:val="9"/>
  </w:num>
  <w:num w:numId="5">
    <w:abstractNumId w:val="13"/>
  </w:num>
  <w:num w:numId="6">
    <w:abstractNumId w:val="23"/>
  </w:num>
  <w:num w:numId="7">
    <w:abstractNumId w:val="16"/>
  </w:num>
  <w:num w:numId="8">
    <w:abstractNumId w:val="26"/>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4"/>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0"/>
  </w:num>
  <w:num w:numId="29">
    <w:abstractNumId w:val="1"/>
  </w:num>
  <w:num w:numId="30">
    <w:abstractNumId w:val="6"/>
  </w:num>
  <w:num w:numId="31">
    <w:abstractNumId w:val="12"/>
  </w:num>
  <w:num w:numId="32">
    <w:abstractNumId w:val="8"/>
  </w:num>
  <w:num w:numId="33">
    <w:abstractNumId w:val="24"/>
  </w:num>
  <w:num w:numId="34">
    <w:abstractNumId w:val="15"/>
  </w:num>
  <w:num w:numId="35">
    <w:abstractNumId w:val="2"/>
  </w:num>
  <w:num w:numId="36">
    <w:abstractNumId w:val="20"/>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8"/>
  </w:num>
  <w:num w:numId="41">
    <w:abstractNumId w:val="22"/>
  </w:num>
  <w:num w:numId="42">
    <w:abstractNumId w:val="17"/>
  </w:num>
  <w:num w:numId="43">
    <w:abstractNumId w:val="5"/>
  </w:num>
  <w:num w:numId="44">
    <w:abstractNumId w:val="0"/>
  </w:num>
  <w:num w:numId="45">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AU"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851"/>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F5"/>
    <w:rsid w:val="00001530"/>
    <w:rsid w:val="0001171C"/>
    <w:rsid w:val="00017021"/>
    <w:rsid w:val="00034823"/>
    <w:rsid w:val="00050969"/>
    <w:rsid w:val="00060256"/>
    <w:rsid w:val="00061D24"/>
    <w:rsid w:val="00070CA8"/>
    <w:rsid w:val="00073BE5"/>
    <w:rsid w:val="000807E5"/>
    <w:rsid w:val="00080B5C"/>
    <w:rsid w:val="00080DA3"/>
    <w:rsid w:val="00085028"/>
    <w:rsid w:val="00086247"/>
    <w:rsid w:val="000874DC"/>
    <w:rsid w:val="00091455"/>
    <w:rsid w:val="00091F91"/>
    <w:rsid w:val="00094E41"/>
    <w:rsid w:val="000B7AAE"/>
    <w:rsid w:val="000D0066"/>
    <w:rsid w:val="000D6384"/>
    <w:rsid w:val="000E3E85"/>
    <w:rsid w:val="000E4E97"/>
    <w:rsid w:val="000F3C5A"/>
    <w:rsid w:val="00124AB0"/>
    <w:rsid w:val="00132C92"/>
    <w:rsid w:val="00142A7B"/>
    <w:rsid w:val="001508ED"/>
    <w:rsid w:val="00162FCB"/>
    <w:rsid w:val="00167FF5"/>
    <w:rsid w:val="00172B1F"/>
    <w:rsid w:val="00191C04"/>
    <w:rsid w:val="001948F7"/>
    <w:rsid w:val="001B16E7"/>
    <w:rsid w:val="001B3537"/>
    <w:rsid w:val="001C49AB"/>
    <w:rsid w:val="001E6B07"/>
    <w:rsid w:val="001E6D2E"/>
    <w:rsid w:val="001F72F3"/>
    <w:rsid w:val="00207055"/>
    <w:rsid w:val="00217F11"/>
    <w:rsid w:val="00222038"/>
    <w:rsid w:val="00227783"/>
    <w:rsid w:val="0024389C"/>
    <w:rsid w:val="002612D7"/>
    <w:rsid w:val="00261662"/>
    <w:rsid w:val="002622EF"/>
    <w:rsid w:val="00272140"/>
    <w:rsid w:val="002777B3"/>
    <w:rsid w:val="0028099A"/>
    <w:rsid w:val="00281F63"/>
    <w:rsid w:val="00290ADF"/>
    <w:rsid w:val="002910E0"/>
    <w:rsid w:val="0029304B"/>
    <w:rsid w:val="00294D65"/>
    <w:rsid w:val="002967A4"/>
    <w:rsid w:val="00297859"/>
    <w:rsid w:val="002A1069"/>
    <w:rsid w:val="002A1A08"/>
    <w:rsid w:val="002C1B08"/>
    <w:rsid w:val="002C6352"/>
    <w:rsid w:val="002F548D"/>
    <w:rsid w:val="00304321"/>
    <w:rsid w:val="003128D0"/>
    <w:rsid w:val="003272C6"/>
    <w:rsid w:val="00333F94"/>
    <w:rsid w:val="00341C08"/>
    <w:rsid w:val="00342A37"/>
    <w:rsid w:val="00343EB3"/>
    <w:rsid w:val="0035356A"/>
    <w:rsid w:val="00360AD1"/>
    <w:rsid w:val="003626A6"/>
    <w:rsid w:val="00383B00"/>
    <w:rsid w:val="00386DCE"/>
    <w:rsid w:val="003A01EA"/>
    <w:rsid w:val="003A6060"/>
    <w:rsid w:val="003B6A85"/>
    <w:rsid w:val="003D4512"/>
    <w:rsid w:val="003D74C5"/>
    <w:rsid w:val="003F17A9"/>
    <w:rsid w:val="003F1B71"/>
    <w:rsid w:val="003F3738"/>
    <w:rsid w:val="003F7DDD"/>
    <w:rsid w:val="004210EA"/>
    <w:rsid w:val="004503A5"/>
    <w:rsid w:val="00466475"/>
    <w:rsid w:val="004669BD"/>
    <w:rsid w:val="0046758A"/>
    <w:rsid w:val="00467E17"/>
    <w:rsid w:val="00471F26"/>
    <w:rsid w:val="00476C34"/>
    <w:rsid w:val="004814A4"/>
    <w:rsid w:val="00484060"/>
    <w:rsid w:val="004A093B"/>
    <w:rsid w:val="004B0594"/>
    <w:rsid w:val="004B420D"/>
    <w:rsid w:val="004B748C"/>
    <w:rsid w:val="004B7EE0"/>
    <w:rsid w:val="004D73ED"/>
    <w:rsid w:val="004D7A09"/>
    <w:rsid w:val="004D7A96"/>
    <w:rsid w:val="004E0333"/>
    <w:rsid w:val="004E25CD"/>
    <w:rsid w:val="004E25FD"/>
    <w:rsid w:val="004E594F"/>
    <w:rsid w:val="004E6063"/>
    <w:rsid w:val="004E6560"/>
    <w:rsid w:val="0050590E"/>
    <w:rsid w:val="00505E8E"/>
    <w:rsid w:val="00506750"/>
    <w:rsid w:val="00507DC4"/>
    <w:rsid w:val="00510711"/>
    <w:rsid w:val="005237D1"/>
    <w:rsid w:val="0052761E"/>
    <w:rsid w:val="00527F73"/>
    <w:rsid w:val="00546E49"/>
    <w:rsid w:val="00554F10"/>
    <w:rsid w:val="00557BF0"/>
    <w:rsid w:val="00575EE0"/>
    <w:rsid w:val="005855C6"/>
    <w:rsid w:val="00592D98"/>
    <w:rsid w:val="005A15D2"/>
    <w:rsid w:val="005A6452"/>
    <w:rsid w:val="005D6949"/>
    <w:rsid w:val="005E2846"/>
    <w:rsid w:val="005F2DBC"/>
    <w:rsid w:val="00622AC2"/>
    <w:rsid w:val="006463B9"/>
    <w:rsid w:val="006520A7"/>
    <w:rsid w:val="00665BEE"/>
    <w:rsid w:val="00671EC1"/>
    <w:rsid w:val="006730DE"/>
    <w:rsid w:val="0067319B"/>
    <w:rsid w:val="00686990"/>
    <w:rsid w:val="006D73AC"/>
    <w:rsid w:val="006E4036"/>
    <w:rsid w:val="006F0312"/>
    <w:rsid w:val="00702499"/>
    <w:rsid w:val="00707943"/>
    <w:rsid w:val="00720140"/>
    <w:rsid w:val="00733625"/>
    <w:rsid w:val="00736728"/>
    <w:rsid w:val="007509DF"/>
    <w:rsid w:val="007575BE"/>
    <w:rsid w:val="007659E6"/>
    <w:rsid w:val="007701AB"/>
    <w:rsid w:val="0079599A"/>
    <w:rsid w:val="007A3C42"/>
    <w:rsid w:val="007A61E8"/>
    <w:rsid w:val="007B4B06"/>
    <w:rsid w:val="007D5A1A"/>
    <w:rsid w:val="007D5CE1"/>
    <w:rsid w:val="007E2854"/>
    <w:rsid w:val="0080735C"/>
    <w:rsid w:val="00817BA0"/>
    <w:rsid w:val="00831350"/>
    <w:rsid w:val="0084345A"/>
    <w:rsid w:val="008479D7"/>
    <w:rsid w:val="008609B1"/>
    <w:rsid w:val="00877BB2"/>
    <w:rsid w:val="00877C52"/>
    <w:rsid w:val="008B1D1F"/>
    <w:rsid w:val="008D3C96"/>
    <w:rsid w:val="008D6885"/>
    <w:rsid w:val="008E4088"/>
    <w:rsid w:val="008E4B20"/>
    <w:rsid w:val="008F2ADA"/>
    <w:rsid w:val="008F4973"/>
    <w:rsid w:val="008F73B6"/>
    <w:rsid w:val="0090783F"/>
    <w:rsid w:val="009135AE"/>
    <w:rsid w:val="009241D3"/>
    <w:rsid w:val="009275CC"/>
    <w:rsid w:val="00941CA8"/>
    <w:rsid w:val="00943CEF"/>
    <w:rsid w:val="00976848"/>
    <w:rsid w:val="009830FB"/>
    <w:rsid w:val="009A1178"/>
    <w:rsid w:val="009A491B"/>
    <w:rsid w:val="009B7E47"/>
    <w:rsid w:val="009D4C69"/>
    <w:rsid w:val="009D7A4F"/>
    <w:rsid w:val="00A03019"/>
    <w:rsid w:val="00A062F2"/>
    <w:rsid w:val="00A063C1"/>
    <w:rsid w:val="00A10BD0"/>
    <w:rsid w:val="00A13C4F"/>
    <w:rsid w:val="00A20129"/>
    <w:rsid w:val="00A22D21"/>
    <w:rsid w:val="00A279AD"/>
    <w:rsid w:val="00A35B07"/>
    <w:rsid w:val="00A36B0F"/>
    <w:rsid w:val="00A432F5"/>
    <w:rsid w:val="00A44DA2"/>
    <w:rsid w:val="00A4583D"/>
    <w:rsid w:val="00A50F4C"/>
    <w:rsid w:val="00A51617"/>
    <w:rsid w:val="00A5389C"/>
    <w:rsid w:val="00A64DA9"/>
    <w:rsid w:val="00A659E0"/>
    <w:rsid w:val="00A67045"/>
    <w:rsid w:val="00A7725B"/>
    <w:rsid w:val="00A93E92"/>
    <w:rsid w:val="00AB032E"/>
    <w:rsid w:val="00AB49A1"/>
    <w:rsid w:val="00AC0D62"/>
    <w:rsid w:val="00B1162A"/>
    <w:rsid w:val="00B240B6"/>
    <w:rsid w:val="00B24C3E"/>
    <w:rsid w:val="00B25FA7"/>
    <w:rsid w:val="00B27B20"/>
    <w:rsid w:val="00B308A2"/>
    <w:rsid w:val="00B35AFD"/>
    <w:rsid w:val="00B432BF"/>
    <w:rsid w:val="00B5023C"/>
    <w:rsid w:val="00B51F05"/>
    <w:rsid w:val="00B53D6B"/>
    <w:rsid w:val="00B6146F"/>
    <w:rsid w:val="00B7644C"/>
    <w:rsid w:val="00B87F11"/>
    <w:rsid w:val="00BC3CDF"/>
    <w:rsid w:val="00BE06E2"/>
    <w:rsid w:val="00C11E93"/>
    <w:rsid w:val="00C318DF"/>
    <w:rsid w:val="00C52A62"/>
    <w:rsid w:val="00C53D58"/>
    <w:rsid w:val="00C54A8B"/>
    <w:rsid w:val="00C62EFA"/>
    <w:rsid w:val="00C8466A"/>
    <w:rsid w:val="00C85CDE"/>
    <w:rsid w:val="00CB6F5D"/>
    <w:rsid w:val="00CD0BD2"/>
    <w:rsid w:val="00CE419C"/>
    <w:rsid w:val="00CE4517"/>
    <w:rsid w:val="00CE6591"/>
    <w:rsid w:val="00D04018"/>
    <w:rsid w:val="00D108E2"/>
    <w:rsid w:val="00D1215B"/>
    <w:rsid w:val="00D137AB"/>
    <w:rsid w:val="00D33C83"/>
    <w:rsid w:val="00D4768E"/>
    <w:rsid w:val="00D62FDD"/>
    <w:rsid w:val="00D76DA5"/>
    <w:rsid w:val="00D7723B"/>
    <w:rsid w:val="00D77742"/>
    <w:rsid w:val="00D90AA6"/>
    <w:rsid w:val="00DA5BA0"/>
    <w:rsid w:val="00DC0867"/>
    <w:rsid w:val="00DC1A75"/>
    <w:rsid w:val="00DD7BAD"/>
    <w:rsid w:val="00DD7D1B"/>
    <w:rsid w:val="00DE37CD"/>
    <w:rsid w:val="00E03CD2"/>
    <w:rsid w:val="00E11A6A"/>
    <w:rsid w:val="00E22CA3"/>
    <w:rsid w:val="00E51BE9"/>
    <w:rsid w:val="00E528E0"/>
    <w:rsid w:val="00E535DD"/>
    <w:rsid w:val="00E57833"/>
    <w:rsid w:val="00E6729E"/>
    <w:rsid w:val="00E67D7B"/>
    <w:rsid w:val="00E73E1E"/>
    <w:rsid w:val="00E7744E"/>
    <w:rsid w:val="00E8158E"/>
    <w:rsid w:val="00E820B6"/>
    <w:rsid w:val="00E84040"/>
    <w:rsid w:val="00E92F35"/>
    <w:rsid w:val="00E97EB7"/>
    <w:rsid w:val="00EA2852"/>
    <w:rsid w:val="00EA3965"/>
    <w:rsid w:val="00ED21C7"/>
    <w:rsid w:val="00ED3ABF"/>
    <w:rsid w:val="00EE344A"/>
    <w:rsid w:val="00EF1775"/>
    <w:rsid w:val="00EF236B"/>
    <w:rsid w:val="00EF4DF6"/>
    <w:rsid w:val="00F11410"/>
    <w:rsid w:val="00F1372B"/>
    <w:rsid w:val="00F33E00"/>
    <w:rsid w:val="00F36ABF"/>
    <w:rsid w:val="00F45210"/>
    <w:rsid w:val="00F4563E"/>
    <w:rsid w:val="00F5738F"/>
    <w:rsid w:val="00F64735"/>
    <w:rsid w:val="00F719A3"/>
    <w:rsid w:val="00F748B2"/>
    <w:rsid w:val="00F817AC"/>
    <w:rsid w:val="00F86651"/>
    <w:rsid w:val="00F929ED"/>
    <w:rsid w:val="00F92FE8"/>
    <w:rsid w:val="00F943B4"/>
    <w:rsid w:val="00F95C4A"/>
    <w:rsid w:val="00FA6E35"/>
    <w:rsid w:val="00FB7EB7"/>
    <w:rsid w:val="00FC1DE0"/>
    <w:rsid w:val="00FC5F06"/>
    <w:rsid w:val="00FD2AA3"/>
    <w:rsid w:val="00FD3ED9"/>
    <w:rsid w:val="00FE51EC"/>
    <w:rsid w:val="00FF7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552B1E73-2D4C-4E15-95F8-5FD0E85A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68E"/>
    <w:pPr>
      <w:spacing w:before="240"/>
    </w:pPr>
    <w:rPr>
      <w:sz w:val="24"/>
    </w:rPr>
  </w:style>
  <w:style w:type="paragraph" w:styleId="Heading1">
    <w:name w:val="heading 1"/>
    <w:basedOn w:val="Normal"/>
    <w:next w:val="Normal"/>
    <w:qFormat/>
    <w:pPr>
      <w:keepNext/>
      <w:numPr>
        <w:numId w:val="8"/>
      </w:numPr>
      <w:spacing w:before="0"/>
      <w:outlineLvl w:val="0"/>
    </w:pPr>
    <w:rPr>
      <w:b/>
      <w:caps/>
    </w:rPr>
  </w:style>
  <w:style w:type="paragraph" w:styleId="Heading2">
    <w:name w:val="heading 2"/>
    <w:basedOn w:val="Normal"/>
    <w:next w:val="Normal"/>
    <w:qFormat/>
    <w:pPr>
      <w:keepNext/>
      <w:numPr>
        <w:ilvl w:val="1"/>
        <w:numId w:val="8"/>
      </w:numPr>
      <w:tabs>
        <w:tab w:val="clear" w:pos="1423"/>
        <w:tab w:val="num" w:pos="855"/>
      </w:tabs>
      <w:spacing w:before="360" w:after="60"/>
      <w:ind w:left="855"/>
      <w:outlineLvl w:val="1"/>
    </w:pPr>
    <w:rPr>
      <w:b/>
    </w:rPr>
  </w:style>
  <w:style w:type="paragraph" w:styleId="Heading3">
    <w:name w:val="heading 3"/>
    <w:basedOn w:val="Normal"/>
    <w:next w:val="Normal"/>
    <w:qFormat/>
    <w:pPr>
      <w:keepNext/>
      <w:tabs>
        <w:tab w:val="left" w:pos="720"/>
      </w:tabs>
      <w:spacing w:before="360" w:after="120"/>
      <w:ind w:left="720" w:hanging="720"/>
      <w:outlineLvl w:val="2"/>
    </w:pPr>
    <w:rPr>
      <w:b/>
      <w:i/>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HB-Table-dotpoint">
    <w:name w:val="HB - Table - dot point"/>
    <w:basedOn w:val="Normal"/>
    <w:pPr>
      <w:numPr>
        <w:numId w:val="28"/>
      </w:numPr>
      <w:tabs>
        <w:tab w:val="clear" w:pos="720"/>
        <w:tab w:val="num" w:pos="567"/>
      </w:tabs>
      <w:spacing w:before="120" w:after="120"/>
      <w:ind w:left="567" w:hanging="425"/>
    </w:pPr>
  </w:style>
  <w:style w:type="paragraph" w:customStyle="1" w:styleId="Appendix">
    <w:name w:val="Appendix"/>
    <w:basedOn w:val="Normal"/>
    <w:link w:val="AppendixCharChar"/>
    <w:pPr>
      <w:spacing w:before="0"/>
      <w:jc w:val="right"/>
    </w:pPr>
    <w:rPr>
      <w:b/>
    </w:rPr>
  </w:style>
  <w:style w:type="character" w:customStyle="1" w:styleId="AppendixCharChar">
    <w:name w:val="Appendix Char Char"/>
    <w:basedOn w:val="DefaultParagraphFont"/>
    <w:link w:val="Appendix"/>
    <w:rPr>
      <w:b/>
      <w:sz w:val="24"/>
      <w:lang w:val="en-AU" w:eastAsia="en-AU" w:bidi="ar-SA"/>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semiHidden/>
    <w:pPr>
      <w:tabs>
        <w:tab w:val="left" w:pos="284"/>
        <w:tab w:val="right" w:leader="dot" w:pos="8303"/>
      </w:tabs>
      <w:spacing w:before="120" w:after="120"/>
      <w:ind w:left="284" w:hanging="284"/>
    </w:pPr>
    <w:rPr>
      <w:b/>
      <w:szCs w:val="24"/>
    </w:rPr>
  </w:style>
  <w:style w:type="paragraph" w:styleId="TOC2">
    <w:name w:val="toc 2"/>
    <w:basedOn w:val="Normal"/>
    <w:next w:val="Normal"/>
    <w:semiHidden/>
    <w:pPr>
      <w:spacing w:before="120" w:after="120"/>
      <w:ind w:left="240"/>
    </w:pPr>
    <w:rPr>
      <w:szCs w:val="24"/>
    </w:rPr>
  </w:style>
  <w:style w:type="paragraph" w:styleId="TOC3">
    <w:name w:val="toc 3"/>
    <w:basedOn w:val="Normal"/>
    <w:next w:val="Normal"/>
    <w:semiHidden/>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basedOn w:val="DefaultParagraphFont"/>
    <w:link w:val="HB-Paragraph-unnumbered"/>
    <w:rPr>
      <w:sz w:val="24"/>
      <w:lang w:val="en-AU" w:eastAsia="en-AU" w:bidi="ar-SA"/>
    </w:rPr>
  </w:style>
  <w:style w:type="paragraph" w:customStyle="1" w:styleId="HB-Paragraph-unnumbered">
    <w:name w:val="HB - Paragraph - unnumbered"/>
    <w:basedOn w:val="Normal"/>
    <w:link w:val="HB-Paragraph-unnumberedCharChar"/>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link w:val="HB-ParagraphCharChar"/>
    <w:pPr>
      <w:numPr>
        <w:ilvl w:val="2"/>
        <w:numId w:val="8"/>
      </w:numPr>
      <w:spacing w:before="120" w:after="120"/>
    </w:pPr>
  </w:style>
  <w:style w:type="character" w:customStyle="1" w:styleId="HB-ParagraphCharChar">
    <w:name w:val="HB - Paragraph Char Char"/>
    <w:basedOn w:val="DefaultParagraphFont"/>
    <w:link w:val="HB-Paragraph"/>
    <w:rPr>
      <w:sz w:val="24"/>
      <w:lang w:val="en-AU" w:eastAsia="en-AU" w:bidi="ar-SA"/>
    </w:rPr>
  </w:style>
  <w:style w:type="paragraph" w:customStyle="1" w:styleId="HB-Paragraph-alphpoint">
    <w:name w:val="HB - Paragraph - alph point"/>
    <w:basedOn w:val="Normal"/>
    <w:pPr>
      <w:numPr>
        <w:numId w:val="5"/>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basedOn w:val="DefaultParagraphFont"/>
    <w:rPr>
      <w:color w:val="0000FF"/>
      <w:u w:val="single"/>
    </w:rPr>
  </w:style>
  <w:style w:type="paragraph" w:styleId="Title">
    <w:name w:val="Title"/>
    <w:basedOn w:val="Normal"/>
    <w:qFormat/>
    <w:pPr>
      <w:spacing w:before="0"/>
      <w:jc w:val="center"/>
    </w:pPr>
    <w:rPr>
      <w:b/>
      <w:sz w:val="36"/>
    </w:rPr>
  </w:style>
  <w:style w:type="paragraph" w:customStyle="1" w:styleId="HB-Table-Subpoint">
    <w:name w:val="HB - Table - Subpoint"/>
    <w:basedOn w:val="Normal"/>
    <w:pPr>
      <w:numPr>
        <w:numId w:val="3"/>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rPr>
      <w:szCs w:val="24"/>
    </w:rPr>
  </w:style>
  <w:style w:type="character" w:styleId="Strong">
    <w:name w:val="Strong"/>
    <w:basedOn w:val="DefaultParagraphFont"/>
    <w:qFormat/>
    <w:rPr>
      <w:b/>
      <w:bCs/>
    </w:rPr>
  </w:style>
  <w:style w:type="paragraph" w:styleId="ListParagraph">
    <w:name w:val="List Paragraph"/>
    <w:basedOn w:val="Normal"/>
    <w:uiPriority w:val="34"/>
    <w:qFormat/>
    <w:rsid w:val="00506750"/>
    <w:pPr>
      <w:ind w:left="720"/>
      <w:contextualSpacing/>
    </w:pPr>
  </w:style>
  <w:style w:type="paragraph" w:customStyle="1" w:styleId="LDAmendHeading">
    <w:name w:val="LDAmendHeading"/>
    <w:basedOn w:val="Normal"/>
    <w:next w:val="Normal"/>
    <w:rsid w:val="004A093B"/>
    <w:pPr>
      <w:keepNext/>
      <w:spacing w:before="180" w:after="60"/>
      <w:ind w:left="720" w:hanging="720"/>
    </w:pPr>
    <w:rPr>
      <w:rFonts w:ascii="Arial" w:hAnsi="Arial"/>
      <w:b/>
      <w:szCs w:val="24"/>
      <w:lang w:eastAsia="en-US"/>
    </w:rPr>
  </w:style>
  <w:style w:type="paragraph" w:customStyle="1" w:styleId="LDP1a">
    <w:name w:val="LDP1(a)"/>
    <w:basedOn w:val="Normal"/>
    <w:rsid w:val="004A093B"/>
    <w:pPr>
      <w:tabs>
        <w:tab w:val="left" w:pos="1191"/>
      </w:tabs>
      <w:spacing w:before="60" w:after="60"/>
      <w:ind w:left="1191" w:hanging="454"/>
    </w:pPr>
    <w:rPr>
      <w:szCs w:val="24"/>
      <w:lang w:eastAsia="en-US"/>
    </w:rPr>
  </w:style>
  <w:style w:type="paragraph" w:customStyle="1" w:styleId="LDMinuteParagraph">
    <w:name w:val="LDMinuteParagraph"/>
    <w:basedOn w:val="Normal"/>
    <w:rsid w:val="004A093B"/>
    <w:pPr>
      <w:numPr>
        <w:numId w:val="38"/>
      </w:numPr>
      <w:tabs>
        <w:tab w:val="left" w:pos="360"/>
      </w:tabs>
      <w:overflowPunct w:val="0"/>
      <w:autoSpaceDE w:val="0"/>
      <w:autoSpaceDN w:val="0"/>
      <w:adjustRightInd w:val="0"/>
      <w:spacing w:before="0" w:after="120"/>
    </w:pPr>
    <w:rPr>
      <w:lang w:eastAsia="en-US"/>
    </w:rPr>
  </w:style>
  <w:style w:type="character" w:styleId="CommentReference">
    <w:name w:val="annotation reference"/>
    <w:basedOn w:val="DefaultParagraphFont"/>
    <w:rsid w:val="004A093B"/>
    <w:rPr>
      <w:sz w:val="16"/>
      <w:szCs w:val="16"/>
    </w:rPr>
  </w:style>
  <w:style w:type="paragraph" w:styleId="CommentText">
    <w:name w:val="annotation text"/>
    <w:basedOn w:val="Normal"/>
    <w:link w:val="CommentTextChar"/>
    <w:rsid w:val="004A093B"/>
    <w:rPr>
      <w:sz w:val="20"/>
    </w:rPr>
  </w:style>
  <w:style w:type="character" w:customStyle="1" w:styleId="CommentTextChar">
    <w:name w:val="Comment Text Char"/>
    <w:basedOn w:val="DefaultParagraphFont"/>
    <w:link w:val="CommentText"/>
    <w:rsid w:val="004A093B"/>
  </w:style>
  <w:style w:type="paragraph" w:styleId="CommentSubject">
    <w:name w:val="annotation subject"/>
    <w:basedOn w:val="CommentText"/>
    <w:next w:val="CommentText"/>
    <w:link w:val="CommentSubjectChar"/>
    <w:rsid w:val="004A093B"/>
    <w:rPr>
      <w:b/>
      <w:bCs/>
    </w:rPr>
  </w:style>
  <w:style w:type="character" w:customStyle="1" w:styleId="CommentSubjectChar">
    <w:name w:val="Comment Subject Char"/>
    <w:basedOn w:val="CommentTextChar"/>
    <w:link w:val="CommentSubject"/>
    <w:rsid w:val="004A093B"/>
    <w:rPr>
      <w:b/>
      <w:bCs/>
    </w:rPr>
  </w:style>
  <w:style w:type="character" w:customStyle="1" w:styleId="BodytextChar">
    <w:name w:val="Body text Char"/>
    <w:link w:val="BodyText1"/>
    <w:locked/>
    <w:rsid w:val="006F0312"/>
    <w:rPr>
      <w:sz w:val="24"/>
      <w:szCs w:val="24"/>
      <w:lang w:val="x-none" w:eastAsia="x-none"/>
    </w:rPr>
  </w:style>
  <w:style w:type="paragraph" w:customStyle="1" w:styleId="BodyText1">
    <w:name w:val="Body Text1"/>
    <w:basedOn w:val="ListParagraph"/>
    <w:link w:val="BodytextChar"/>
    <w:qFormat/>
    <w:rsid w:val="006F0312"/>
    <w:pPr>
      <w:spacing w:before="120"/>
      <w:ind w:left="0"/>
      <w:contextualSpacing w:val="0"/>
    </w:pPr>
    <w:rPr>
      <w:szCs w:val="24"/>
      <w:lang w:val="x-none" w:eastAsia="x-none"/>
    </w:rPr>
  </w:style>
  <w:style w:type="character" w:customStyle="1" w:styleId="Dotpoint1Char">
    <w:name w:val="Dot point 1 Char"/>
    <w:link w:val="Dotpoint1"/>
    <w:locked/>
    <w:rsid w:val="006F0312"/>
    <w:rPr>
      <w:sz w:val="24"/>
      <w:szCs w:val="24"/>
      <w:lang w:val="x-none" w:eastAsia="x-none"/>
    </w:rPr>
  </w:style>
  <w:style w:type="paragraph" w:customStyle="1" w:styleId="Dotpoint1">
    <w:name w:val="Dot point 1"/>
    <w:basedOn w:val="Normal"/>
    <w:link w:val="Dotpoint1Char"/>
    <w:qFormat/>
    <w:rsid w:val="006F0312"/>
    <w:pPr>
      <w:numPr>
        <w:numId w:val="39"/>
      </w:numPr>
      <w:tabs>
        <w:tab w:val="left" w:pos="284"/>
      </w:tabs>
      <w:autoSpaceDE w:val="0"/>
      <w:autoSpaceDN w:val="0"/>
      <w:spacing w:before="60"/>
      <w:ind w:left="284" w:hanging="284"/>
    </w:pPr>
    <w:rPr>
      <w:szCs w:val="24"/>
      <w:lang w:val="x-none" w:eastAsia="x-none"/>
    </w:rPr>
  </w:style>
  <w:style w:type="paragraph" w:customStyle="1" w:styleId="Dashpoint1">
    <w:name w:val="Dash point 1"/>
    <w:basedOn w:val="Dotpoint1"/>
    <w:rsid w:val="006F0312"/>
    <w:pPr>
      <w:numPr>
        <w:ilvl w:val="1"/>
      </w:numPr>
      <w:tabs>
        <w:tab w:val="clear" w:pos="284"/>
        <w:tab w:val="num" w:pos="360"/>
        <w:tab w:val="left" w:pos="709"/>
      </w:tabs>
      <w:ind w:left="720" w:hanging="720"/>
    </w:pPr>
  </w:style>
  <w:style w:type="character" w:customStyle="1" w:styleId="Heading3noTCChar">
    <w:name w:val="Heading 3_no_TC Char"/>
    <w:link w:val="Heading3noTC"/>
    <w:locked/>
    <w:rsid w:val="006F0312"/>
    <w:rPr>
      <w:b/>
      <w:bCs/>
      <w:sz w:val="28"/>
      <w:szCs w:val="26"/>
    </w:rPr>
  </w:style>
  <w:style w:type="paragraph" w:customStyle="1" w:styleId="Heading3noTC">
    <w:name w:val="Heading_3_no_TC"/>
    <w:link w:val="Heading3noTCChar"/>
    <w:qFormat/>
    <w:rsid w:val="006F0312"/>
    <w:pPr>
      <w:spacing w:before="360" w:after="60"/>
    </w:pPr>
    <w:rPr>
      <w:b/>
      <w:bCs/>
      <w:sz w:val="28"/>
      <w:szCs w:val="26"/>
    </w:rPr>
  </w:style>
  <w:style w:type="character" w:customStyle="1" w:styleId="Heading4noTCChar">
    <w:name w:val="Heading_4_no_TC Char"/>
    <w:link w:val="Heading4noTC"/>
    <w:locked/>
    <w:rsid w:val="006F0312"/>
    <w:rPr>
      <w:b/>
      <w:i/>
      <w:sz w:val="24"/>
      <w:szCs w:val="24"/>
    </w:rPr>
  </w:style>
  <w:style w:type="paragraph" w:customStyle="1" w:styleId="Heading4noTC">
    <w:name w:val="Heading_4_no_TC"/>
    <w:link w:val="Heading4noTCChar"/>
    <w:qFormat/>
    <w:rsid w:val="006F0312"/>
    <w:pPr>
      <w:keepNext/>
      <w:spacing w:before="240" w:after="120"/>
    </w:pPr>
    <w:rPr>
      <w:b/>
      <w:i/>
      <w:sz w:val="24"/>
      <w:szCs w:val="24"/>
    </w:rPr>
  </w:style>
  <w:style w:type="paragraph" w:customStyle="1" w:styleId="Default">
    <w:name w:val="Default"/>
    <w:rsid w:val="00124AB0"/>
    <w:pPr>
      <w:autoSpaceDE w:val="0"/>
      <w:autoSpaceDN w:val="0"/>
      <w:adjustRightInd w:val="0"/>
    </w:pPr>
    <w:rPr>
      <w:color w:val="000000"/>
      <w:sz w:val="24"/>
      <w:szCs w:val="24"/>
    </w:rPr>
  </w:style>
  <w:style w:type="paragraph" w:customStyle="1" w:styleId="BodyTextLevel1">
    <w:name w:val="Body Text Level 1"/>
    <w:basedOn w:val="Normal"/>
    <w:link w:val="BodyTextLevel1Char"/>
    <w:rsid w:val="00094E41"/>
    <w:pPr>
      <w:spacing w:before="0"/>
    </w:pPr>
    <w:rPr>
      <w:rFonts w:ascii="Arial" w:hAnsi="Arial"/>
      <w:sz w:val="22"/>
    </w:rPr>
  </w:style>
  <w:style w:type="character" w:customStyle="1" w:styleId="BodyTextLevel1Char">
    <w:name w:val="Body Text Level 1 Char"/>
    <w:link w:val="BodyTextLevel1"/>
    <w:rsid w:val="00094E41"/>
    <w:rPr>
      <w:rFonts w:ascii="Arial" w:hAnsi="Arial"/>
      <w:sz w:val="22"/>
    </w:rPr>
  </w:style>
  <w:style w:type="paragraph" w:customStyle="1" w:styleId="subsection">
    <w:name w:val="subsection"/>
    <w:aliases w:val="ss"/>
    <w:basedOn w:val="Normal"/>
    <w:link w:val="subsectionChar"/>
    <w:rsid w:val="00557BF0"/>
    <w:pPr>
      <w:spacing w:before="100" w:beforeAutospacing="1" w:after="100" w:afterAutospacing="1"/>
    </w:pPr>
    <w:rPr>
      <w:szCs w:val="24"/>
    </w:rPr>
  </w:style>
  <w:style w:type="character" w:customStyle="1" w:styleId="subsectionChar">
    <w:name w:val="subsection Char"/>
    <w:aliases w:val="ss Char"/>
    <w:link w:val="subsection"/>
    <w:rsid w:val="000170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35807">
      <w:bodyDiv w:val="1"/>
      <w:marLeft w:val="0"/>
      <w:marRight w:val="0"/>
      <w:marTop w:val="0"/>
      <w:marBottom w:val="0"/>
      <w:divBdr>
        <w:top w:val="none" w:sz="0" w:space="0" w:color="auto"/>
        <w:left w:val="none" w:sz="0" w:space="0" w:color="auto"/>
        <w:bottom w:val="none" w:sz="0" w:space="0" w:color="auto"/>
        <w:right w:val="none" w:sz="0" w:space="0" w:color="auto"/>
      </w:divBdr>
    </w:div>
    <w:div w:id="507251526">
      <w:bodyDiv w:val="1"/>
      <w:marLeft w:val="0"/>
      <w:marRight w:val="0"/>
      <w:marTop w:val="0"/>
      <w:marBottom w:val="0"/>
      <w:divBdr>
        <w:top w:val="none" w:sz="0" w:space="0" w:color="auto"/>
        <w:left w:val="none" w:sz="0" w:space="0" w:color="auto"/>
        <w:bottom w:val="none" w:sz="0" w:space="0" w:color="auto"/>
        <w:right w:val="none" w:sz="0" w:space="0" w:color="auto"/>
      </w:divBdr>
    </w:div>
    <w:div w:id="804128065">
      <w:bodyDiv w:val="1"/>
      <w:marLeft w:val="0"/>
      <w:marRight w:val="0"/>
      <w:marTop w:val="0"/>
      <w:marBottom w:val="0"/>
      <w:divBdr>
        <w:top w:val="none" w:sz="0" w:space="0" w:color="auto"/>
        <w:left w:val="none" w:sz="0" w:space="0" w:color="auto"/>
        <w:bottom w:val="none" w:sz="0" w:space="0" w:color="auto"/>
        <w:right w:val="none" w:sz="0" w:space="0" w:color="auto"/>
      </w:divBdr>
    </w:div>
    <w:div w:id="940599916">
      <w:bodyDiv w:val="1"/>
      <w:marLeft w:val="0"/>
      <w:marRight w:val="0"/>
      <w:marTop w:val="0"/>
      <w:marBottom w:val="0"/>
      <w:divBdr>
        <w:top w:val="none" w:sz="0" w:space="0" w:color="auto"/>
        <w:left w:val="none" w:sz="0" w:space="0" w:color="auto"/>
        <w:bottom w:val="none" w:sz="0" w:space="0" w:color="auto"/>
        <w:right w:val="none" w:sz="0" w:space="0" w:color="auto"/>
      </w:divBdr>
    </w:div>
    <w:div w:id="1120033924">
      <w:bodyDiv w:val="1"/>
      <w:marLeft w:val="0"/>
      <w:marRight w:val="0"/>
      <w:marTop w:val="0"/>
      <w:marBottom w:val="0"/>
      <w:divBdr>
        <w:top w:val="none" w:sz="0" w:space="0" w:color="auto"/>
        <w:left w:val="none" w:sz="0" w:space="0" w:color="auto"/>
        <w:bottom w:val="none" w:sz="0" w:space="0" w:color="auto"/>
        <w:right w:val="none" w:sz="0" w:space="0" w:color="auto"/>
      </w:divBdr>
    </w:div>
    <w:div w:id="1961951347">
      <w:bodyDiv w:val="1"/>
      <w:marLeft w:val="0"/>
      <w:marRight w:val="0"/>
      <w:marTop w:val="0"/>
      <w:marBottom w:val="0"/>
      <w:divBdr>
        <w:top w:val="none" w:sz="0" w:space="0" w:color="auto"/>
        <w:left w:val="none" w:sz="0" w:space="0" w:color="auto"/>
        <w:bottom w:val="none" w:sz="0" w:space="0" w:color="auto"/>
        <w:right w:val="none" w:sz="0" w:space="0" w:color="auto"/>
      </w:divBdr>
    </w:div>
    <w:div w:id="19964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ebTemplates\EXCO\EM%20for%20Regula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Visibility xmlns="632b93b1-198b-4b08-ba60-6d485e604954">Public</DocumentVisibility>
    <FormTemplateGroup xmlns="632b93b1-198b-4b08-ba60-6d485e604954">Governance - MPS Forms and Templates</FormTemplateGroup>
    <FormTemplateType xmlns="632b93b1-198b-4b08-ba60-6d485e604954">Explanatory Memorandum for Regulations Template - Federal Executive Council</FormTemplateType>
    <DocumentDescription xmlns="632b93b1-198b-4b08-ba60-6d485e604954">Example - EM for Regulations - Appendix E3</DocumentDescription>
    <DocumentType xmlns="632b93b1-198b-4b08-ba60-6d485e604954">Explanatory Memorandum for Regulations Template - Federal Executive Council</DocumentType>
    <InformationGroup xmlns="632b93b1-198b-4b08-ba60-6d485e604954">Governance - MPS Forms and Templates</InformationGroup>
    <DisplayOnHomepage xmlns="632b93b1-198b-4b08-ba60-6d485e604954">false</DisplayOnHomepage>
    <InternalReviewDate xmlns="632b93b1-198b-4b08-ba60-6d485e604954" xsi:nil="true"/>
    <Page xmlns="632b93b1-198b-4b08-ba60-6d485e604954">
      <Value>6</Value>
    </Page>
    <ReferenceMaterialGroup xmlns="632b93b1-198b-4b08-ba60-6d485e604954" xsi:nil="true"/>
    <ReferenceMaterialType xmlns="632b93b1-198b-4b08-ba60-6d485e6049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orms and Templates" ma:contentTypeID="0x0101008A60356912BF4A33A0A46206C8AA59D8006728BBF92693C047B80858C8F23AEB06" ma:contentTypeVersion="7" ma:contentTypeDescription="" ma:contentTypeScope="" ma:versionID="152ecbec938a81f6f577d95a3db419c9">
  <xsd:schema xmlns:xsd="http://www.w3.org/2001/XMLSchema" xmlns:xs="http://www.w3.org/2001/XMLSchema" xmlns:p="http://schemas.microsoft.com/office/2006/metadata/properties" xmlns:ns1="632b93b1-198b-4b08-ba60-6d485e604954" targetNamespace="http://schemas.microsoft.com/office/2006/metadata/properties" ma:root="true" ma:fieldsID="fe71c5f6d925287cf51a16eb6de7e4c9" ns1:_="">
    <xsd:import namespace="632b93b1-198b-4b08-ba60-6d485e604954"/>
    <xsd:element name="properties">
      <xsd:complexType>
        <xsd:sequence>
          <xsd:element name="documentManagement">
            <xsd:complexType>
              <xsd:all>
                <xsd:element ref="ns1:FormTemplateGroup"/>
                <xsd:element ref="ns1:FormTemplateType"/>
                <xsd:element ref="ns1:DocumentDescription" minOccurs="0"/>
                <xsd:element ref="ns1:DocumentVisibility"/>
                <xsd:element ref="ns1:DisplayOnHomepage" minOccurs="0"/>
                <xsd:element ref="ns1:InternalReviewDate" minOccurs="0"/>
                <xsd:element ref="ns1:DocumentType" minOccurs="0"/>
                <xsd:element ref="ns1:InformationGroup" minOccurs="0"/>
                <xsd:element ref="ns1:Page" minOccurs="0"/>
                <xsd:element ref="ns1:ReferenceMaterialGroup" minOccurs="0"/>
                <xsd:element ref="ns1:ReferenceMaterial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b93b1-198b-4b08-ba60-6d485e604954" elementFormDefault="qualified">
    <xsd:import namespace="http://schemas.microsoft.com/office/2006/documentManagement/types"/>
    <xsd:import namespace="http://schemas.microsoft.com/office/infopath/2007/PartnerControls"/>
    <xsd:element name="FormTemplateGroup" ma:index="0" ma:displayName="Form and Template Group" ma:internalName="FormTemplateGroup">
      <xsd:simpleType>
        <xsd:restriction base="dms:Unknown"/>
      </xsd:simpleType>
    </xsd:element>
    <xsd:element name="FormTemplateType" ma:index="1" ma:displayName="Form and Template Type" ma:internalName="FormTemplateType">
      <xsd:simpleType>
        <xsd:restriction base="dms:Unknown"/>
      </xsd:simpleType>
    </xsd:element>
    <xsd:element name="DocumentDescription" ma:index="4" nillable="true" ma:displayName="Document Description" ma:description="Brief summary of document (&amp;lt;90 characters), its purpose and whom it might be of most relevance." ma:internalName="DocumentDescription">
      <xsd:simpleType>
        <xsd:restriction base="dms:Text">
          <xsd:maxLength value="90"/>
        </xsd:restriction>
      </xsd:simpleType>
    </xsd:element>
    <xsd:element name="DocumentVisibility" ma:index="5" ma:displayName="Document Visibility" ma:default="Public" ma:description="Set the visibility of this document. Public allows everyone to view, private restricts to only this site viewers." ma:format="RadioButtons" ma:internalName="DocumentVisibility">
      <xsd:simpleType>
        <xsd:restriction base="dms:Choice">
          <xsd:enumeration value="Private"/>
          <xsd:enumeration value="Public"/>
        </xsd:restriction>
      </xsd:simpleType>
    </xsd:element>
    <xsd:element name="DisplayOnHomepage" ma:index="6" nillable="true" ma:displayName="Display on Homepage" ma:default="0" ma:internalName="DisplayOnHomepage">
      <xsd:simpleType>
        <xsd:restriction base="dms:Boolean"/>
      </xsd:simpleType>
    </xsd:element>
    <xsd:element name="InternalReviewDate" ma:index="7" nillable="true" ma:displayName="Internal Review Date" ma:format="DateOnly" ma:internalName="InternalReviewDate">
      <xsd:simpleType>
        <xsd:restriction base="dms:DateTime"/>
      </xsd:simpleType>
    </xsd:element>
    <xsd:element name="DocumentType" ma:index="14" nillable="true" ma:displayName="Document Type" ma:internalName="DocumentType">
      <xsd:simpleType>
        <xsd:restriction base="dms:Text"/>
      </xsd:simpleType>
    </xsd:element>
    <xsd:element name="InformationGroup" ma:index="15" nillable="true" ma:displayName="Information Group" ma:internalName="InformationGroup">
      <xsd:simpleType>
        <xsd:restriction base="dms:Text"/>
      </xsd:simpleType>
    </xsd:element>
    <xsd:element name="Page" ma:index="16" nillable="true" ma:displayName="Page" ma:list="{5a83dd47-6d04-4df0-b459-958d29b6493f}" ma:internalName="Page" ma:showField="Title">
      <xsd:complexType>
        <xsd:complexContent>
          <xsd:extension base="dms:MultiChoiceLookup">
            <xsd:sequence>
              <xsd:element name="Value" type="dms:Lookup" maxOccurs="unbounded" minOccurs="0" nillable="true"/>
            </xsd:sequence>
          </xsd:extension>
        </xsd:complexContent>
      </xsd:complexType>
    </xsd:element>
    <xsd:element name="ReferenceMaterialGroup" ma:index="17" nillable="true" ma:displayName="Reference Material Group" ma:internalName="ReferenceMaterialGroup">
      <xsd:simpleType>
        <xsd:restriction base="dms:Unknown"/>
      </xsd:simpleType>
    </xsd:element>
    <xsd:element name="ReferenceMaterialType" ma:index="18" nillable="true" ma:displayName="Reference Material Type" ma:internalName="ReferenceMaterialTyp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588D7-EB77-477B-B88D-6B264AB896EE}">
  <ds:schemaRefs>
    <ds:schemaRef ds:uri="http://purl.org/dc/dcmitype/"/>
    <ds:schemaRef ds:uri="632b93b1-198b-4b08-ba60-6d485e604954"/>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89D185A5-6C85-4FC5-A7CD-0F3C1487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b93b1-198b-4b08-ba60-6d485e604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CD180-F53F-4214-B2BA-C21EE611F52D}">
  <ds:schemaRefs>
    <ds:schemaRef ds:uri="http://schemas.microsoft.com/sharepoint/v3/contenttype/forms"/>
  </ds:schemaRefs>
</ds:datastoreItem>
</file>

<file path=customXml/itemProps4.xml><?xml version="1.0" encoding="utf-8"?>
<ds:datastoreItem xmlns:ds="http://schemas.openxmlformats.org/officeDocument/2006/customXml" ds:itemID="{A6BBBEBC-78AD-4B91-8F9B-C30EED4D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for Regulations</Template>
  <TotalTime>2</TotalTime>
  <Pages>4</Pages>
  <Words>1085</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Example - Explanatory Memorandum for Regulations - Appendix E3</vt:lpstr>
    </vt:vector>
  </TitlesOfParts>
  <Company>Dept. Prime Minister &amp; Cabinet</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 Explanatory Memorandum for Regulations - Appendix E3</dc:title>
  <dc:creator>Belen Lamond</dc:creator>
  <cp:lastModifiedBy>Bluck George</cp:lastModifiedBy>
  <cp:revision>6</cp:revision>
  <cp:lastPrinted>2014-11-25T01:27:00Z</cp:lastPrinted>
  <dcterms:created xsi:type="dcterms:W3CDTF">2016-08-02T00:05:00Z</dcterms:created>
  <dcterms:modified xsi:type="dcterms:W3CDTF">2016-08-03T00:35:00Z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0x0101008A60356912BF4A33A0A46206C8AA59D8006728BBF92693C047B80858C8F23AEB06</vt:lpwstr>
  </property>
  <property fmtid="{D5CDD505-2E9C-101B-9397-08002B2CF9AE}" pid="3" name="Guideline Group">
    <vt:lpwstr>Governance - MPS Guideline</vt:lpwstr>
  </property>
  <property fmtid="{D5CDD505-2E9C-101B-9397-08002B2CF9AE}" pid="4" name="Guideline Type">
    <vt:lpwstr>Federal Executive Handbook (2005)</vt:lpwstr>
  </property>
  <property fmtid="{D5CDD505-2E9C-101B-9397-08002B2CF9AE}" pid="5" name="GuidelineGroup">
    <vt:lpwstr>Governance - MPS Guideline</vt:lpwstr>
  </property>
  <property fmtid="{D5CDD505-2E9C-101B-9397-08002B2CF9AE}" pid="6" name="PolicyGroup">
    <vt:lpwstr/>
  </property>
  <property fmtid="{D5CDD505-2E9C-101B-9397-08002B2CF9AE}" pid="7" name="ProcedureGroup">
    <vt:lpwstr/>
  </property>
  <property fmtid="{D5CDD505-2E9C-101B-9397-08002B2CF9AE}" pid="8" name="xd_ProgID">
    <vt:lpwstr/>
  </property>
  <property fmtid="{D5CDD505-2E9C-101B-9397-08002B2CF9AE}" pid="9" name="Internal Review Date">
    <vt:lpwstr>2012-09-28T13:19:45Z</vt:lpwstr>
  </property>
  <property fmtid="{D5CDD505-2E9C-101B-9397-08002B2CF9AE}" pid="10" name="ReferenceMaterialType">
    <vt:lpwstr/>
  </property>
  <property fmtid="{D5CDD505-2E9C-101B-9397-08002B2CF9AE}" pid="11" name="TemplateUrl">
    <vt:lpwstr/>
  </property>
  <property fmtid="{D5CDD505-2E9C-101B-9397-08002B2CF9AE}" pid="12" name="ReferenceMaterialGroup">
    <vt:lpwstr/>
  </property>
  <property fmtid="{D5CDD505-2E9C-101B-9397-08002B2CF9AE}" pid="13" name="GuidelineType">
    <vt:lpwstr>Federal Executive Handbook (2005)</vt:lpwstr>
  </property>
  <property fmtid="{D5CDD505-2E9C-101B-9397-08002B2CF9AE}" pid="14" name="PolicyType">
    <vt:lpwstr/>
  </property>
  <property fmtid="{D5CDD505-2E9C-101B-9397-08002B2CF9AE}" pid="15" name="ProcedureType">
    <vt:lpwstr/>
  </property>
  <property fmtid="{D5CDD505-2E9C-101B-9397-08002B2CF9AE}" pid="16" name="{DFC8691F-2432-4741-B780-3CAE3235A612}">
    <vt:lpwstr>&lt;?xml version="1.0" encoding="utf-16"?&gt;_x000d_
&lt;SPS2003FileSourceXmlGenerator xmlns:xsi="http://www.w3.org/2001/XMLSchema-instance" xmlns:xsd="http://www.w3.org/2001/XMLSchema"&gt;_x000d_
  &lt;SourceInfoStoreType&gt;SPS2007&lt;/SourceInfoStoreType&gt;_x000d_
  &lt;ParentListUid&gt;23fcc658-5a</vt:lpwstr>
  </property>
</Properties>
</file>