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rsidTr="00A22E0D">
        <w:tc>
          <w:tcPr>
            <w:tcW w:w="4661" w:type="dxa"/>
          </w:tcPr>
          <w:p w:rsidR="00090A6F" w:rsidRPr="0000292B" w:rsidRDefault="00364B30">
            <w:pPr>
              <w:pStyle w:val="CoverStandard"/>
            </w:pPr>
            <w:bookmarkStart w:id="0" w:name="_GoBack"/>
            <w:bookmarkEnd w:id="0"/>
            <w:r>
              <w:t>AASB</w:t>
            </w:r>
            <w:r w:rsidR="00831497">
              <w:t xml:space="preserve"> Standard</w:t>
            </w:r>
          </w:p>
        </w:tc>
        <w:tc>
          <w:tcPr>
            <w:tcW w:w="4661" w:type="dxa"/>
          </w:tcPr>
          <w:p w:rsidR="00090A6F" w:rsidRPr="0000292B" w:rsidRDefault="00831497">
            <w:pPr>
              <w:pStyle w:val="CoverNumber"/>
            </w:pPr>
            <w:r>
              <w:t>AASB</w:t>
            </w:r>
            <w:r w:rsidR="00090A6F" w:rsidRPr="0000292B">
              <w:t xml:space="preserve"> </w:t>
            </w:r>
            <w:bookmarkStart w:id="1" w:name="DocNo"/>
            <w:r w:rsidR="001F12A7">
              <w:t>2016-5</w:t>
            </w:r>
            <w:bookmarkEnd w:id="1"/>
          </w:p>
          <w:p w:rsidR="00090A6F" w:rsidRPr="0000292B" w:rsidRDefault="00777857">
            <w:pPr>
              <w:pStyle w:val="CoverDate"/>
            </w:pPr>
            <w:bookmarkStart w:id="2" w:name="DocDate"/>
            <w:r>
              <w:t>July 2016</w:t>
            </w:r>
            <w:bookmarkEnd w:id="2"/>
          </w:p>
        </w:tc>
      </w:tr>
    </w:tbl>
    <w:p w:rsidR="00090A6F" w:rsidRPr="0000292B" w:rsidRDefault="002F37D0" w:rsidP="004355CC">
      <w:pPr>
        <w:pStyle w:val="CoverTitle"/>
        <w:jc w:val="left"/>
      </w:pPr>
      <w:bookmarkStart w:id="3" w:name="DocTitle"/>
      <w:r>
        <w:t>Amendments to Australian Accounting Standards – Classification and Measurement of Share-based Payment Transactions</w:t>
      </w:r>
      <w:bookmarkEnd w:id="3"/>
    </w:p>
    <w:p w:rsidR="00C5022C" w:rsidRPr="00C5022C" w:rsidRDefault="002B7803" w:rsidP="00C5022C">
      <w:pPr>
        <w:pStyle w:val="CoverSubtitle"/>
      </w:pPr>
      <w:r>
        <w:t>[</w:t>
      </w:r>
      <w:bookmarkStart w:id="4" w:name="AmendingNos"/>
      <w:r w:rsidR="00777857">
        <w:t>AASB 2</w:t>
      </w:r>
      <w:bookmarkEnd w:id="4"/>
      <w:r>
        <w:t>]</w:t>
      </w:r>
    </w:p>
    <w:p w:rsidR="00737714" w:rsidRPr="0000292B" w:rsidRDefault="00737714" w:rsidP="00737714"/>
    <w:p w:rsidR="00090A6F" w:rsidRPr="0000292B" w:rsidRDefault="008B643A">
      <w:pPr>
        <w:sectPr w:rsidR="00090A6F" w:rsidRPr="0000292B" w:rsidSect="00D74C6A">
          <w:pgSz w:w="11907" w:h="16840" w:code="9"/>
          <w:pgMar w:top="1418" w:right="1418" w:bottom="1418" w:left="1418" w:header="709" w:footer="709" w:gutter="0"/>
          <w:paperSrc w:first="7" w:other="7"/>
          <w:cols w:space="720"/>
        </w:sectPr>
      </w:pPr>
      <w:r>
        <w:rPr>
          <w:noProof/>
          <w:lang w:eastAsia="en-AU"/>
        </w:rPr>
        <w:drawing>
          <wp:anchor distT="0" distB="0" distL="114300" distR="114300" simplePos="0" relativeHeight="251657728" behindDoc="0" locked="1" layoutInCell="1" allowOverlap="1" wp14:anchorId="3CAF5F37" wp14:editId="2EE49247">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rsidR="00895809" w:rsidRPr="0000292B" w:rsidRDefault="00895809" w:rsidP="00895809">
      <w:r w:rsidRPr="0000292B">
        <w:t>Australian Accounting Standards Board</w:t>
      </w:r>
    </w:p>
    <w:p w:rsidR="00895809" w:rsidRPr="0000292B" w:rsidRDefault="00895809" w:rsidP="00895809">
      <w:r>
        <w:t>PO Box 204</w:t>
      </w:r>
    </w:p>
    <w:p w:rsidR="00895809" w:rsidRPr="0000292B" w:rsidRDefault="00895809" w:rsidP="00895809">
      <w:r>
        <w:t>Collins Street West</w:t>
      </w:r>
    </w:p>
    <w:p w:rsidR="00895809" w:rsidRPr="0000292B" w:rsidRDefault="00895809" w:rsidP="00895809">
      <w:r>
        <w:t>Victoria   8007</w:t>
      </w:r>
    </w:p>
    <w:p w:rsidR="00895809" w:rsidRDefault="00895809" w:rsidP="00895809">
      <w:pPr>
        <w:pStyle w:val="CoverContact"/>
        <w:spacing w:after="200"/>
      </w:pPr>
      <w:r w:rsidRPr="0000292B">
        <w:t>AUSTRALIA</w:t>
      </w:r>
    </w:p>
    <w:p w:rsidR="00737714" w:rsidRDefault="00DB00CD" w:rsidP="00B82F15">
      <w:pPr>
        <w:pStyle w:val="CoverContact"/>
      </w:pPr>
      <w:r w:rsidRPr="00C5022C">
        <w:t>Phone:</w:t>
      </w:r>
      <w:r w:rsidRPr="00C5022C">
        <w:tab/>
        <w:t>(03) 9617 7637</w:t>
      </w:r>
    </w:p>
    <w:p w:rsidR="00E96D45" w:rsidRDefault="00DB00CD" w:rsidP="00DB00CD">
      <w:pPr>
        <w:pStyle w:val="CoverContact"/>
      </w:pPr>
      <w:r>
        <w:t>E-mail:</w:t>
      </w:r>
      <w:r>
        <w:tab/>
        <w:t>publications@aasb.gov</w:t>
      </w:r>
      <w:r w:rsidRPr="00C5022C">
        <w:t>.au</w:t>
      </w:r>
    </w:p>
    <w:p w:rsidR="00E96D45" w:rsidRPr="00E96D45" w:rsidRDefault="00DB00CD" w:rsidP="00DB00CD">
      <w:pPr>
        <w:pStyle w:val="CoverContact"/>
        <w:spacing w:after="240"/>
      </w:pPr>
      <w:r>
        <w:t>Website:</w:t>
      </w:r>
      <w:r>
        <w:tab/>
        <w:t>www.aasb.gov.au</w:t>
      </w:r>
    </w:p>
    <w:p w:rsidR="00090A6F" w:rsidRPr="0000292B" w:rsidRDefault="00090A6F" w:rsidP="00F13C5A">
      <w:pPr>
        <w:pStyle w:val="Heading1"/>
      </w:pPr>
      <w:r w:rsidRPr="0000292B">
        <w:t xml:space="preserve">Other </w:t>
      </w:r>
      <w:r w:rsidR="005655CE" w:rsidRPr="0000292B">
        <w:t>enquiries</w:t>
      </w:r>
    </w:p>
    <w:p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rsidR="00090A6F" w:rsidRPr="0000292B" w:rsidRDefault="00923261">
      <w:pPr>
        <w:pStyle w:val="CoverContact"/>
      </w:pPr>
      <w:r>
        <w:t>E-mail:</w:t>
      </w:r>
      <w:r>
        <w:tab/>
        <w:t>standard@aasb.gov</w:t>
      </w:r>
      <w:r w:rsidR="00090A6F" w:rsidRPr="0000292B">
        <w:t>.au</w:t>
      </w:r>
    </w:p>
    <w:p w:rsidR="00276BC5" w:rsidRDefault="00276BC5" w:rsidP="00895809">
      <w:pPr>
        <w:pStyle w:val="NoNumPlain1"/>
        <w:spacing w:before="6240"/>
      </w:pPr>
      <w:r>
        <w:t>COPYRIGHT</w:t>
      </w:r>
    </w:p>
    <w:p w:rsidR="00276BC5" w:rsidRDefault="00276BC5" w:rsidP="00276BC5">
      <w:pPr>
        <w:pStyle w:val="NoNumPlain1"/>
      </w:pPr>
      <w:r>
        <w:t xml:space="preserve">© Commonwealth of Australia </w:t>
      </w:r>
      <w:bookmarkStart w:id="5" w:name="Year"/>
      <w:r w:rsidR="00777857">
        <w:t>2016</w:t>
      </w:r>
      <w:bookmarkEnd w:id="5"/>
    </w:p>
    <w:p w:rsidR="00276BC5" w:rsidRPr="00DE4E67" w:rsidRDefault="00276BC5" w:rsidP="00276BC5">
      <w:pPr>
        <w:pStyle w:val="NoNumPlain1"/>
      </w:pPr>
      <w:r w:rsidRPr="00DE4E67">
        <w:t xml:space="preserve">This AASB Standard contains </w:t>
      </w:r>
      <w:r>
        <w:t>IFRS</w:t>
      </w:r>
      <w:r w:rsidRPr="00DE4E67">
        <w:t xml:space="preserve"> Foundation copyright material.  Reproduction within Australia in unaltered form (retaining this notice) is permitted for personal and non</w:t>
      </w:r>
      <w:r w:rsidR="00895809">
        <w:t>-</w:t>
      </w:r>
      <w:r w:rsidRPr="00DE4E67">
        <w:t>commercial use subject to the inclusion of an acknowledgment of the source.  Requests and enquiries concerning reproduction and rights for commercial purposes within Australia should be addressed to The Director</w:t>
      </w:r>
      <w:r>
        <w:t xml:space="preserve"> of Finance and Administration</w:t>
      </w:r>
      <w:r w:rsidRPr="00DE4E67">
        <w:t xml:space="preserve">, Australian Accounting Standards Board, </w:t>
      </w:r>
      <w:r w:rsidR="00895809">
        <w:t>PO Box </w:t>
      </w:r>
      <w:r w:rsidRPr="00DE4E67">
        <w:t>204, Collins Street West, Victoria 8007.</w:t>
      </w:r>
    </w:p>
    <w:p w:rsidR="00276BC5" w:rsidRPr="00DE4E67" w:rsidRDefault="00276BC5" w:rsidP="00895809">
      <w:pPr>
        <w:spacing w:after="200"/>
      </w:pPr>
      <w:r w:rsidRPr="00DE4E67">
        <w:t>All existing rights in this material are reserved outside Australia.</w:t>
      </w:r>
      <w:r w:rsidR="00895809">
        <w:t xml:space="preserve">  </w:t>
      </w:r>
      <w:r w:rsidRPr="00DE4E67">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t>IFRS</w:t>
      </w:r>
      <w:r w:rsidRPr="00DE4E67">
        <w:t xml:space="preserve"> Foundation at www.</w:t>
      </w:r>
      <w:r>
        <w:t>ifrs</w:t>
      </w:r>
      <w:r w:rsidRPr="00DE4E67">
        <w:t>.org.</w:t>
      </w:r>
    </w:p>
    <w:p w:rsidR="007455F0" w:rsidRPr="0000292B" w:rsidRDefault="006D4700" w:rsidP="006D4700">
      <w:r>
        <w:t xml:space="preserve">ISSN </w:t>
      </w:r>
      <w:bookmarkStart w:id="6" w:name="ISSN"/>
      <w:r w:rsidR="00777857">
        <w:t>1036-4803</w:t>
      </w:r>
      <w:bookmarkEnd w:id="6"/>
    </w:p>
    <w:p w:rsidR="00090A6F" w:rsidRPr="0000292B" w:rsidRDefault="00090A6F">
      <w:pPr>
        <w:sectPr w:rsidR="00090A6F" w:rsidRPr="0000292B" w:rsidSect="00D74C6A">
          <w:footerReference w:type="default" r:id="rId9"/>
          <w:pgSz w:w="11907" w:h="16840" w:code="9"/>
          <w:pgMar w:top="1418" w:right="1418" w:bottom="1418" w:left="1418" w:header="709" w:footer="709" w:gutter="0"/>
          <w:paperSrc w:first="7" w:other="7"/>
          <w:cols w:space="720"/>
        </w:sectPr>
      </w:pPr>
    </w:p>
    <w:p w:rsidR="00090A6F" w:rsidRPr="0000292B" w:rsidRDefault="005655CE">
      <w:pPr>
        <w:pStyle w:val="Heading1"/>
      </w:pPr>
      <w:r w:rsidRPr="0000292B">
        <w:lastRenderedPageBreak/>
        <w:t>Contents</w:t>
      </w:r>
    </w:p>
    <w:p w:rsidR="00090A6F" w:rsidRPr="0000292B" w:rsidRDefault="0044773C">
      <w:pPr>
        <w:pStyle w:val="ContentsCapsPlain"/>
      </w:pPr>
      <w:r>
        <w:t>PREFACE</w:t>
      </w:r>
    </w:p>
    <w:p w:rsidR="00090A6F" w:rsidRPr="000B13B6" w:rsidRDefault="00090A6F">
      <w:pPr>
        <w:pStyle w:val="ContentsCapsBold"/>
        <w:rPr>
          <w:caps/>
        </w:rPr>
      </w:pPr>
      <w:r w:rsidRPr="000B13B6">
        <w:rPr>
          <w:caps/>
        </w:rPr>
        <w:t>A</w:t>
      </w:r>
      <w:r w:rsidR="0044773C" w:rsidRPr="000B13B6">
        <w:rPr>
          <w:caps/>
        </w:rPr>
        <w:t>CCOUNTING</w:t>
      </w:r>
      <w:r w:rsidRPr="000B13B6">
        <w:rPr>
          <w:caps/>
        </w:rPr>
        <w:t xml:space="preserve"> S</w:t>
      </w:r>
      <w:r w:rsidR="0044773C" w:rsidRPr="000B13B6">
        <w:rPr>
          <w:caps/>
        </w:rPr>
        <w:t>TANDARD</w:t>
      </w:r>
    </w:p>
    <w:p w:rsidR="00090A6F" w:rsidRPr="000B13B6" w:rsidRDefault="00090A6F">
      <w:pPr>
        <w:pStyle w:val="ContentsCapsBold"/>
        <w:rPr>
          <w:i/>
          <w:iCs/>
          <w:caps/>
        </w:rPr>
      </w:pPr>
      <w:r w:rsidRPr="000B13B6">
        <w:rPr>
          <w:caps/>
        </w:rPr>
        <w:t xml:space="preserve">AASB </w:t>
      </w:r>
      <w:r w:rsidR="009C2479" w:rsidRPr="000B13B6">
        <w:rPr>
          <w:iCs/>
          <w:caps/>
        </w:rPr>
        <w:fldChar w:fldCharType="begin" w:fldLock="1"/>
      </w:r>
      <w:r w:rsidR="009C2479" w:rsidRPr="000B13B6">
        <w:rPr>
          <w:iCs/>
          <w:caps/>
        </w:rPr>
        <w:instrText xml:space="preserve"> REF DocNo \* charformat </w:instrText>
      </w:r>
      <w:r w:rsidR="000B13B6">
        <w:rPr>
          <w:iCs/>
          <w:caps/>
        </w:rPr>
        <w:instrText xml:space="preserve"> \* MERGEFORMAT </w:instrText>
      </w:r>
      <w:r w:rsidR="009C2479" w:rsidRPr="000B13B6">
        <w:rPr>
          <w:iCs/>
          <w:caps/>
        </w:rPr>
        <w:fldChar w:fldCharType="separate"/>
      </w:r>
      <w:r w:rsidR="000B13B6" w:rsidRPr="000B13B6">
        <w:rPr>
          <w:iCs/>
          <w:caps/>
        </w:rPr>
        <w:t>2016-5</w:t>
      </w:r>
      <w:r w:rsidR="009C2479" w:rsidRPr="000B13B6">
        <w:rPr>
          <w:iCs/>
          <w:caps/>
        </w:rPr>
        <w:fldChar w:fldCharType="end"/>
      </w:r>
      <w:r w:rsidRPr="000B13B6">
        <w:rPr>
          <w:caps/>
        </w:rPr>
        <w:t xml:space="preserve"> </w:t>
      </w:r>
      <w:r w:rsidR="00CC1DF4" w:rsidRPr="000B13B6">
        <w:rPr>
          <w:i/>
          <w:caps/>
        </w:rPr>
        <w:fldChar w:fldCharType="begin" w:fldLock="1"/>
      </w:r>
      <w:r w:rsidR="00CC1DF4" w:rsidRPr="000B13B6">
        <w:rPr>
          <w:i/>
          <w:caps/>
        </w:rPr>
        <w:instrText xml:space="preserve"> REF DocTitle \* charformat </w:instrText>
      </w:r>
      <w:r w:rsidR="000B13B6" w:rsidRPr="000B13B6">
        <w:rPr>
          <w:i/>
          <w:caps/>
        </w:rPr>
        <w:instrText xml:space="preserve"> \* MERGEFORMAT </w:instrText>
      </w:r>
      <w:r w:rsidR="00CC1DF4" w:rsidRPr="000B13B6">
        <w:rPr>
          <w:i/>
          <w:caps/>
        </w:rPr>
        <w:fldChar w:fldCharType="separate"/>
      </w:r>
      <w:r w:rsidR="000B13B6" w:rsidRPr="000B13B6">
        <w:rPr>
          <w:i/>
          <w:caps/>
        </w:rPr>
        <w:t>Amendments to Australian Accounting Standards – Classification and Measurement of Share-based Payment Transactions</w:t>
      </w:r>
      <w:r w:rsidR="00CC1DF4" w:rsidRPr="000B13B6">
        <w:rPr>
          <w:i/>
          <w:caps/>
        </w:rPr>
        <w:fldChar w:fldCharType="end"/>
      </w:r>
    </w:p>
    <w:p w:rsidR="002B7803" w:rsidRPr="002B7803" w:rsidRDefault="002B7803" w:rsidP="002B7803"/>
    <w:p w:rsidR="00090A6F" w:rsidRPr="005E7E12" w:rsidRDefault="009965BA">
      <w:pPr>
        <w:pStyle w:val="ContentsParaHead"/>
      </w:pPr>
      <w:r w:rsidRPr="005E7E12">
        <w:t>from page</w:t>
      </w:r>
    </w:p>
    <w:p w:rsidR="00090A6F" w:rsidRPr="005E7E12" w:rsidRDefault="009B63F7">
      <w:pPr>
        <w:pStyle w:val="ContentsLevel1"/>
        <w:rPr>
          <w:b/>
        </w:rPr>
      </w:pPr>
      <w:bookmarkStart w:id="7" w:name="TOCRange"/>
      <w:r w:rsidRPr="005E7E12">
        <w:rPr>
          <w:b/>
        </w:rPr>
        <w:t>OBJECTIVE</w:t>
      </w:r>
      <w:r w:rsidR="00090A6F" w:rsidRPr="005E7E12">
        <w:rPr>
          <w:b/>
        </w:rPr>
        <w:tab/>
      </w:r>
      <w:r w:rsidRPr="005E7E12">
        <w:rPr>
          <w:b/>
        </w:rPr>
        <w:t>5</w:t>
      </w:r>
    </w:p>
    <w:p w:rsidR="00090A6F" w:rsidRPr="005E7E12" w:rsidRDefault="009B63F7">
      <w:pPr>
        <w:pStyle w:val="ContentsLevel1"/>
        <w:rPr>
          <w:b/>
        </w:rPr>
      </w:pPr>
      <w:r w:rsidRPr="005E7E12">
        <w:rPr>
          <w:b/>
        </w:rPr>
        <w:t>APPLICATION</w:t>
      </w:r>
      <w:r w:rsidR="00090A6F" w:rsidRPr="005E7E12">
        <w:rPr>
          <w:b/>
        </w:rPr>
        <w:tab/>
      </w:r>
      <w:r w:rsidRPr="005E7E12">
        <w:rPr>
          <w:b/>
        </w:rPr>
        <w:t>5</w:t>
      </w:r>
    </w:p>
    <w:p w:rsidR="009B63F7" w:rsidRPr="005E7E12" w:rsidRDefault="00777857" w:rsidP="00777857">
      <w:pPr>
        <w:pStyle w:val="ContentsLevel1"/>
        <w:rPr>
          <w:b/>
        </w:rPr>
      </w:pPr>
      <w:r w:rsidRPr="005E7E12">
        <w:rPr>
          <w:b/>
        </w:rPr>
        <w:t>A</w:t>
      </w:r>
      <w:r w:rsidR="009B63F7" w:rsidRPr="005E7E12">
        <w:rPr>
          <w:b/>
        </w:rPr>
        <w:t>MENDMENTS TO</w:t>
      </w:r>
      <w:r w:rsidRPr="005E7E12">
        <w:rPr>
          <w:b/>
        </w:rPr>
        <w:t xml:space="preserve"> </w:t>
      </w:r>
      <w:r w:rsidR="002F5374">
        <w:rPr>
          <w:b/>
        </w:rPr>
        <w:t>AASB 2</w:t>
      </w:r>
      <w:r w:rsidR="009B63F7" w:rsidRPr="005E7E12">
        <w:rPr>
          <w:b/>
        </w:rPr>
        <w:tab/>
        <w:t>5</w:t>
      </w:r>
    </w:p>
    <w:p w:rsidR="005E7E12" w:rsidRPr="005E7E12" w:rsidRDefault="005E7E12" w:rsidP="00454764">
      <w:pPr>
        <w:tabs>
          <w:tab w:val="right" w:pos="9071"/>
        </w:tabs>
        <w:spacing w:after="60"/>
        <w:rPr>
          <w:b/>
        </w:rPr>
      </w:pPr>
      <w:r w:rsidRPr="005E7E12">
        <w:rPr>
          <w:b/>
        </w:rPr>
        <w:t>A</w:t>
      </w:r>
      <w:r>
        <w:rPr>
          <w:b/>
        </w:rPr>
        <w:t>MENDMENTS TO THE GUIDANCE ON IMPLEMENTING AASB 2</w:t>
      </w:r>
      <w:r w:rsidR="00DA1E3D">
        <w:rPr>
          <w:b/>
        </w:rPr>
        <w:tab/>
        <w:t>9</w:t>
      </w:r>
    </w:p>
    <w:p w:rsidR="00777857" w:rsidRPr="005E7E12" w:rsidRDefault="009B63F7" w:rsidP="00777857">
      <w:pPr>
        <w:pStyle w:val="ContentsLevel1"/>
        <w:rPr>
          <w:b/>
        </w:rPr>
      </w:pPr>
      <w:r w:rsidRPr="005E7E12">
        <w:rPr>
          <w:b/>
        </w:rPr>
        <w:t>COMMENCEMENT OF THE LEGISLATIVE INSTRUMENT</w:t>
      </w:r>
      <w:r w:rsidR="00777857" w:rsidRPr="005E7E12">
        <w:rPr>
          <w:b/>
        </w:rPr>
        <w:tab/>
      </w:r>
      <w:r w:rsidR="00DA1E3D">
        <w:rPr>
          <w:b/>
        </w:rPr>
        <w:t>13</w:t>
      </w:r>
    </w:p>
    <w:p w:rsidR="00090A6F" w:rsidRPr="005E7E12" w:rsidRDefault="00090A6F">
      <w:pPr>
        <w:rPr>
          <w:b/>
        </w:rPr>
      </w:pPr>
      <w:bookmarkStart w:id="8" w:name="ContentsMarker"/>
      <w:bookmarkEnd w:id="8"/>
    </w:p>
    <w:p w:rsidR="009B63F7" w:rsidRPr="005E7E12" w:rsidRDefault="009B63F7">
      <w:pPr>
        <w:rPr>
          <w:b/>
        </w:rPr>
      </w:pPr>
      <w:r w:rsidRPr="005E7E12">
        <w:rPr>
          <w:b/>
        </w:rPr>
        <w:t>AVAILABLE ON THE AASB WEBSITE</w:t>
      </w:r>
    </w:p>
    <w:p w:rsidR="009B63F7" w:rsidRPr="005E7E12" w:rsidRDefault="009B63F7">
      <w:pPr>
        <w:rPr>
          <w:b/>
        </w:rPr>
      </w:pPr>
      <w:r w:rsidRPr="005E7E12">
        <w:rPr>
          <w:b/>
        </w:rPr>
        <w:t>Basis for Conclusions on IFRS 2 – Amendments</w:t>
      </w:r>
    </w:p>
    <w:p w:rsidR="009B63F7" w:rsidRDefault="009B63F7"/>
    <w:p w:rsidR="009B63F7" w:rsidRPr="0000292B" w:rsidRDefault="009B63F7"/>
    <w:bookmarkEnd w:id="7"/>
    <w:p w:rsidR="00090A6F" w:rsidRPr="0000292B" w:rsidRDefault="00090A6F">
      <w:pPr>
        <w:pStyle w:val="ContentsBox"/>
      </w:pPr>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0B13B6" w:rsidRPr="000B13B6">
        <w:rPr>
          <w:iCs/>
        </w:rPr>
        <w:t>2016-5</w:t>
      </w:r>
      <w:r w:rsidR="00BC0D5D" w:rsidRPr="00BC0D5D">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0B13B6" w:rsidRPr="000B13B6">
        <w:rPr>
          <w:i/>
        </w:rPr>
        <w:t>Amendments to Australian Accounting Standards – Classification and Measurement of Share-based Payment Transactions</w:t>
      </w:r>
      <w:r w:rsidR="00CC1DF4" w:rsidRPr="00CC1DF4">
        <w:rPr>
          <w:i/>
        </w:rPr>
        <w:fldChar w:fldCharType="end"/>
      </w:r>
      <w:r w:rsidRPr="0000292B">
        <w:rPr>
          <w:i/>
          <w:iCs/>
        </w:rPr>
        <w:t xml:space="preserve"> </w:t>
      </w:r>
      <w:r w:rsidRPr="0000292B">
        <w:t xml:space="preserve">is set out </w:t>
      </w:r>
      <w:r w:rsidR="005655CE">
        <w:t>o</w:t>
      </w:r>
      <w:r w:rsidRPr="0000292B">
        <w:t xml:space="preserve">n </w:t>
      </w:r>
      <w:r w:rsidR="005655CE">
        <w:t>pages</w:t>
      </w:r>
      <w:r w:rsidR="00454764">
        <w:t xml:space="preserve"> </w:t>
      </w:r>
      <w:r w:rsidR="005E7E12">
        <w:t>5 –</w:t>
      </w:r>
      <w:r w:rsidR="00170534">
        <w:t xml:space="preserve"> </w:t>
      </w:r>
      <w:r w:rsidR="002F5374">
        <w:t>13</w:t>
      </w:r>
      <w:r w:rsidRPr="0000292B">
        <w:t>. All the pa</w:t>
      </w:r>
      <w:r w:rsidR="009C2479">
        <w:t>ragraphs have equal authority.</w:t>
      </w:r>
    </w:p>
    <w:p w:rsidR="00090A6F" w:rsidRPr="0000292B" w:rsidRDefault="00090A6F">
      <w:pPr>
        <w:pStyle w:val="ContentsBox"/>
        <w:pBdr>
          <w:top w:val="none" w:sz="0" w:space="0" w:color="auto"/>
          <w:left w:val="none" w:sz="0" w:space="0" w:color="auto"/>
          <w:bottom w:val="none" w:sz="0" w:space="0" w:color="auto"/>
          <w:right w:val="none" w:sz="0" w:space="0" w:color="auto"/>
        </w:pBdr>
      </w:pPr>
    </w:p>
    <w:p w:rsidR="00090A6F" w:rsidRPr="0000292B" w:rsidRDefault="00090A6F">
      <w:pPr>
        <w:sectPr w:rsidR="00090A6F" w:rsidRPr="0000292B" w:rsidSect="00D74C6A">
          <w:footerReference w:type="default" r:id="rId10"/>
          <w:pgSz w:w="11907" w:h="16840" w:code="9"/>
          <w:pgMar w:top="1418" w:right="1418" w:bottom="1418" w:left="1418" w:header="709" w:footer="709" w:gutter="0"/>
          <w:paperSrc w:first="7" w:other="7"/>
          <w:cols w:space="720"/>
        </w:sectPr>
      </w:pPr>
    </w:p>
    <w:p w:rsidR="00090A6F" w:rsidRPr="0000292B" w:rsidRDefault="00090A6F">
      <w:pPr>
        <w:pStyle w:val="Heading1"/>
      </w:pPr>
      <w:r w:rsidRPr="0000292B">
        <w:lastRenderedPageBreak/>
        <w:t>Preface</w:t>
      </w:r>
    </w:p>
    <w:p w:rsidR="000F64CC" w:rsidRPr="0000292B" w:rsidRDefault="00CA61C5">
      <w:pPr>
        <w:pStyle w:val="Heading2"/>
      </w:pPr>
      <w:r>
        <w:t xml:space="preserve">Standards amended by AASB </w:t>
      </w:r>
      <w:r>
        <w:fldChar w:fldCharType="begin" w:fldLock="1"/>
      </w:r>
      <w:r>
        <w:instrText xml:space="preserve"> REF DocNo \* charformat</w:instrText>
      </w:r>
      <w:r>
        <w:fldChar w:fldCharType="separate"/>
      </w:r>
      <w:r w:rsidR="000B13B6">
        <w:t>2016-5</w:t>
      </w:r>
      <w:r>
        <w:fldChar w:fldCharType="end"/>
      </w:r>
    </w:p>
    <w:p w:rsidR="00074133" w:rsidRPr="001158DA" w:rsidRDefault="009C2479" w:rsidP="001158DA">
      <w:pPr>
        <w:pStyle w:val="NoNumPlain1"/>
      </w:pPr>
      <w:r>
        <w:t xml:space="preserve">This Standard makes amendments to </w:t>
      </w:r>
      <w:r w:rsidR="001158DA">
        <w:t xml:space="preserve">AASB 2 </w:t>
      </w:r>
      <w:r w:rsidR="001158DA" w:rsidRPr="001158DA">
        <w:rPr>
          <w:i/>
        </w:rPr>
        <w:t>Share-based Payment</w:t>
      </w:r>
      <w:r w:rsidR="005E7E12">
        <w:t xml:space="preserve"> (July 2015)</w:t>
      </w:r>
      <w:r w:rsidR="001158DA">
        <w:t>.</w:t>
      </w:r>
    </w:p>
    <w:p w:rsidR="008A16EB" w:rsidRDefault="00401ECA" w:rsidP="00401ECA">
      <w:pPr>
        <w:pStyle w:val="NoNumPlain1"/>
      </w:pPr>
      <w:r>
        <w:t xml:space="preserve">These </w:t>
      </w:r>
      <w:r w:rsidR="00460FBB">
        <w:t>a</w:t>
      </w:r>
      <w:r>
        <w:t>mendments arise from</w:t>
      </w:r>
      <w:r w:rsidR="00D00FD5">
        <w:t xml:space="preserve"> the issuance of </w:t>
      </w:r>
      <w:r w:rsidR="008A16EB">
        <w:t xml:space="preserve">International Financial Reporting Standard </w:t>
      </w:r>
      <w:bookmarkStart w:id="9" w:name="ArisingTitle"/>
      <w:r w:rsidR="00777857" w:rsidRPr="00777857">
        <w:rPr>
          <w:i/>
        </w:rPr>
        <w:t xml:space="preserve">Classification and Measurement of Share-based Payment Transactions </w:t>
      </w:r>
      <w:r w:rsidR="00777857" w:rsidRPr="005E7E12">
        <w:t>(Amendments to IFRS 2)</w:t>
      </w:r>
      <w:bookmarkEnd w:id="9"/>
      <w:r w:rsidR="008A16EB">
        <w:t xml:space="preserve"> by the International Accounting Standards Board (IASB) in </w:t>
      </w:r>
      <w:bookmarkStart w:id="10" w:name="ArisingDate"/>
      <w:r w:rsidR="00777857">
        <w:t>June 2016</w:t>
      </w:r>
      <w:bookmarkEnd w:id="10"/>
      <w:r w:rsidR="008A16EB">
        <w:t>.</w:t>
      </w:r>
    </w:p>
    <w:p w:rsidR="00090A6F" w:rsidRDefault="00F22AF2" w:rsidP="00F22AF2">
      <w:pPr>
        <w:pStyle w:val="Heading2"/>
      </w:pPr>
      <w:r>
        <w:t>Main features of this Standard</w:t>
      </w:r>
    </w:p>
    <w:p w:rsidR="00F22AF2" w:rsidRDefault="00F22AF2" w:rsidP="00F22AF2">
      <w:pPr>
        <w:pStyle w:val="Heading2Indent1"/>
      </w:pPr>
      <w:r>
        <w:t>Main requirements</w:t>
      </w:r>
    </w:p>
    <w:p w:rsidR="0040096E" w:rsidRDefault="001158DA" w:rsidP="00F22AF2">
      <w:pPr>
        <w:pStyle w:val="NoNumPlain1"/>
      </w:pPr>
      <w:r>
        <w:t xml:space="preserve">This Standard amends AASB 2 </w:t>
      </w:r>
      <w:r w:rsidRPr="001158DA">
        <w:rPr>
          <w:i/>
        </w:rPr>
        <w:t>Share-based Payment</w:t>
      </w:r>
      <w:r>
        <w:rPr>
          <w:i/>
        </w:rPr>
        <w:t xml:space="preserve"> </w:t>
      </w:r>
      <w:r>
        <w:t xml:space="preserve">to </w:t>
      </w:r>
      <w:r w:rsidR="005E7E12">
        <w:t>address</w:t>
      </w:r>
      <w:r>
        <w:t xml:space="preserve">: </w:t>
      </w:r>
    </w:p>
    <w:p w:rsidR="0040096E" w:rsidRDefault="0014046C" w:rsidP="009B63F7">
      <w:pPr>
        <w:pStyle w:val="NoNumPlain1"/>
        <w:numPr>
          <w:ilvl w:val="0"/>
          <w:numId w:val="12"/>
        </w:numPr>
        <w:ind w:left="510" w:hanging="510"/>
      </w:pPr>
      <w:r>
        <w:t>the</w:t>
      </w:r>
      <w:r w:rsidR="005E7E12">
        <w:t xml:space="preserve"> accounting for the</w:t>
      </w:r>
      <w:r>
        <w:t xml:space="preserve"> effects of vesting and non-vesting conditions on the measurement of cash-settled share-based payments;</w:t>
      </w:r>
    </w:p>
    <w:p w:rsidR="0040096E" w:rsidRDefault="005E7E12" w:rsidP="009B63F7">
      <w:pPr>
        <w:pStyle w:val="NoNumPlain1"/>
        <w:numPr>
          <w:ilvl w:val="0"/>
          <w:numId w:val="12"/>
        </w:numPr>
        <w:ind w:left="510" w:hanging="510"/>
      </w:pPr>
      <w:r>
        <w:t xml:space="preserve">the classification of </w:t>
      </w:r>
      <w:r w:rsidR="0014046C">
        <w:t xml:space="preserve">share-based payment transactions with a net settlement feature for withholding tax obligations; and </w:t>
      </w:r>
    </w:p>
    <w:p w:rsidR="00F22AF2" w:rsidRPr="001158DA" w:rsidRDefault="005E7E12" w:rsidP="009B63F7">
      <w:pPr>
        <w:pStyle w:val="NoNumPlain1"/>
        <w:numPr>
          <w:ilvl w:val="0"/>
          <w:numId w:val="12"/>
        </w:numPr>
        <w:ind w:left="510" w:hanging="510"/>
      </w:pPr>
      <w:r>
        <w:t xml:space="preserve">the accounting for </w:t>
      </w:r>
      <w:r w:rsidR="0014046C">
        <w:t>a modification to the terms and conditions of a share-based payment that changes the classification of the transaction from cash-settled to equity-settled.</w:t>
      </w:r>
    </w:p>
    <w:p w:rsidR="00F22AF2" w:rsidRDefault="00F22AF2" w:rsidP="00F22AF2">
      <w:pPr>
        <w:pStyle w:val="Heading2Indent1"/>
      </w:pPr>
      <w:r>
        <w:t>Application date</w:t>
      </w:r>
    </w:p>
    <w:p w:rsidR="00F22AF2" w:rsidRPr="00F22AF2" w:rsidRDefault="00B16904" w:rsidP="00F22AF2">
      <w:pPr>
        <w:pStyle w:val="NoNumPlain1"/>
      </w:pPr>
      <w:r>
        <w:t xml:space="preserve">This Standard applies to annual periods </w:t>
      </w:r>
      <w:bookmarkStart w:id="11" w:name="ApplyText"/>
      <w:r>
        <w:t>beginning</w:t>
      </w:r>
      <w:bookmarkEnd w:id="11"/>
      <w:r>
        <w:t xml:space="preserve"> on or after</w:t>
      </w:r>
      <w:r w:rsidR="00867FB0">
        <w:t xml:space="preserve"> </w:t>
      </w:r>
      <w:bookmarkStart w:id="12" w:name="ApplyDate"/>
      <w:r w:rsidR="00777857">
        <w:t>1 January 2018</w:t>
      </w:r>
      <w:bookmarkEnd w:id="12"/>
      <w:r>
        <w:t>.  Earlier application is permitted.</w:t>
      </w:r>
    </w:p>
    <w:p w:rsidR="00F22AF2" w:rsidRPr="0000292B" w:rsidRDefault="00F22AF2"/>
    <w:p w:rsidR="00090A6F" w:rsidRPr="0000292B" w:rsidRDefault="00090A6F">
      <w:pPr>
        <w:sectPr w:rsidR="00090A6F" w:rsidRPr="0000292B" w:rsidSect="00D74C6A">
          <w:footerReference w:type="default" r:id="rId11"/>
          <w:pgSz w:w="11907" w:h="16840" w:code="9"/>
          <w:pgMar w:top="1418" w:right="1418" w:bottom="1418" w:left="1418" w:header="709" w:footer="709" w:gutter="0"/>
          <w:paperSrc w:first="7" w:other="7"/>
          <w:cols w:space="720"/>
        </w:sectPr>
      </w:pPr>
    </w:p>
    <w:p w:rsidR="001662B8" w:rsidRPr="0000292B" w:rsidRDefault="00F13C5A" w:rsidP="001662B8">
      <w:pPr>
        <w:pStyle w:val="Heading1"/>
      </w:pPr>
      <w:r w:rsidRPr="0000292B">
        <w:lastRenderedPageBreak/>
        <w:t xml:space="preserve">Accounting Standard </w:t>
      </w:r>
      <w:r w:rsidR="001662B8" w:rsidRPr="0000292B">
        <w:t xml:space="preserve">AASB </w:t>
      </w:r>
      <w:r w:rsidR="001662B8" w:rsidRPr="00BC0D5D">
        <w:rPr>
          <w:iCs/>
        </w:rPr>
        <w:fldChar w:fldCharType="begin" w:fldLock="1"/>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0B13B6" w:rsidRPr="000B13B6">
        <w:rPr>
          <w:iCs/>
        </w:rPr>
        <w:t>2016-5</w:t>
      </w:r>
      <w:r w:rsidR="001662B8" w:rsidRPr="00BC0D5D">
        <w:rPr>
          <w:iCs/>
        </w:rPr>
        <w:fldChar w:fldCharType="end"/>
      </w:r>
    </w:p>
    <w:p w:rsidR="001662B8" w:rsidRDefault="001662B8" w:rsidP="003E1900">
      <w:pPr>
        <w:pStyle w:val="NoNumPlain1"/>
      </w:pPr>
      <w:r>
        <w:t>The Australian Accounting Standards Board makes Accounting Standard AASB </w:t>
      </w:r>
      <w:fldSimple w:instr=" REF DocNo  \* charformat " w:fldLock="1">
        <w:r w:rsidR="000B13B6">
          <w:t>2016-5</w:t>
        </w:r>
      </w:fldSimple>
      <w:r>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0B13B6" w:rsidRPr="000B13B6">
        <w:rPr>
          <w:i/>
        </w:rPr>
        <w:t>Amendments to Australian Accounting Standards – Classification and Measurement of Share-based Payment Transactions</w:t>
      </w:r>
      <w:r w:rsidR="00CC1DF4" w:rsidRPr="00CC1DF4">
        <w:rPr>
          <w:i/>
        </w:rPr>
        <w:fldChar w:fldCharType="end"/>
      </w:r>
      <w:bookmarkStart w:id="13" w:name="CorpsAct"/>
      <w:r w:rsidR="0040096E">
        <w:rPr>
          <w:i/>
        </w:rPr>
        <w:t xml:space="preserve"> </w:t>
      </w:r>
      <w:r>
        <w:t xml:space="preserve">under section 334 of the </w:t>
      </w:r>
      <w:r>
        <w:rPr>
          <w:i/>
          <w:iCs/>
        </w:rPr>
        <w:t>Corporations Act 2001</w:t>
      </w:r>
      <w:bookmarkEnd w:id="13"/>
      <w:r>
        <w:t>.</w:t>
      </w:r>
    </w:p>
    <w:tbl>
      <w:tblPr>
        <w:tblW w:w="932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961"/>
      </w:tblGrid>
      <w:tr w:rsidR="00C03C7B" w:rsidTr="008C1C4A">
        <w:tc>
          <w:tcPr>
            <w:tcW w:w="4361" w:type="dxa"/>
          </w:tcPr>
          <w:p w:rsidR="00C03C7B" w:rsidRDefault="00C03C7B" w:rsidP="0048155F"/>
        </w:tc>
        <w:tc>
          <w:tcPr>
            <w:tcW w:w="4961" w:type="dxa"/>
          </w:tcPr>
          <w:p w:rsidR="00C03C7B" w:rsidRDefault="008F3EBA" w:rsidP="0048155F">
            <w:pPr>
              <w:jc w:val="right"/>
            </w:pPr>
            <w:r>
              <w:t>Kris Peach</w:t>
            </w:r>
          </w:p>
        </w:tc>
      </w:tr>
      <w:tr w:rsidR="00C03C7B" w:rsidTr="008C1C4A">
        <w:tc>
          <w:tcPr>
            <w:tcW w:w="4361" w:type="dxa"/>
          </w:tcPr>
          <w:p w:rsidR="00C03C7B" w:rsidRDefault="001F12A7" w:rsidP="005E7E12">
            <w:r>
              <w:t>Dated 21 July 2016</w:t>
            </w:r>
          </w:p>
        </w:tc>
        <w:tc>
          <w:tcPr>
            <w:tcW w:w="4961" w:type="dxa"/>
          </w:tcPr>
          <w:p w:rsidR="00C03C7B" w:rsidRDefault="00C03C7B" w:rsidP="0048155F">
            <w:pPr>
              <w:jc w:val="right"/>
            </w:pPr>
            <w:r>
              <w:t>Chair – AASB</w:t>
            </w:r>
          </w:p>
        </w:tc>
      </w:tr>
    </w:tbl>
    <w:p w:rsidR="00090A6F" w:rsidRPr="0000292B" w:rsidRDefault="00F13C5A" w:rsidP="00867FB0">
      <w:pPr>
        <w:pStyle w:val="Heading1"/>
        <w:spacing w:after="0"/>
      </w:pPr>
      <w:r w:rsidRPr="0000292B">
        <w:t xml:space="preserve">Accounting Standard </w:t>
      </w:r>
      <w:r w:rsidR="00090A6F" w:rsidRPr="0000292B">
        <w:t xml:space="preserve">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0B13B6" w:rsidRPr="000B13B6">
        <w:rPr>
          <w:iCs/>
        </w:rPr>
        <w:t>2016-5</w:t>
      </w:r>
      <w:r w:rsidR="00BC0D5D" w:rsidRPr="00BC0D5D">
        <w:rPr>
          <w:iCs/>
        </w:rPr>
        <w:fldChar w:fldCharType="end"/>
      </w:r>
    </w:p>
    <w:p w:rsidR="00090A6F" w:rsidRDefault="00CC1DF4" w:rsidP="003E1900">
      <w:pPr>
        <w:pStyle w:val="Heading1Italic"/>
        <w:spacing w:before="0"/>
      </w:pPr>
      <w:r>
        <w:fldChar w:fldCharType="begin" w:fldLock="1"/>
      </w:r>
      <w:r>
        <w:instrText xml:space="preserve"> REF DocTitle \* charformat</w:instrText>
      </w:r>
      <w:r>
        <w:fldChar w:fldCharType="separate"/>
      </w:r>
      <w:r w:rsidR="000B13B6">
        <w:t>Amendments to Australian Accounting Standards – Classification and Measurement of Share-based Payment Transactions</w:t>
      </w:r>
      <w:r>
        <w:fldChar w:fldCharType="end"/>
      </w:r>
    </w:p>
    <w:p w:rsidR="00090A6F" w:rsidRPr="0000292B" w:rsidRDefault="00090A6F" w:rsidP="00FC30DA">
      <w:pPr>
        <w:pStyle w:val="Heading2"/>
      </w:pPr>
      <w:bookmarkStart w:id="14" w:name="TOCStart"/>
      <w:bookmarkEnd w:id="14"/>
      <w:r w:rsidRPr="0000292B">
        <w:t>Objective</w:t>
      </w:r>
    </w:p>
    <w:p w:rsidR="001662B8" w:rsidRPr="0000292B" w:rsidRDefault="00867FB0" w:rsidP="005A6AC7">
      <w:pPr>
        <w:pStyle w:val="NoNumPlain1"/>
      </w:pPr>
      <w:r>
        <w:t>This</w:t>
      </w:r>
      <w:r w:rsidR="001662B8">
        <w:t xml:space="preserve"> Standard </w:t>
      </w:r>
      <w:r>
        <w:t>amends</w:t>
      </w:r>
      <w:r w:rsidR="002753C5">
        <w:t xml:space="preserve"> </w:t>
      </w:r>
      <w:r w:rsidR="00777857">
        <w:t xml:space="preserve">AASB 2 </w:t>
      </w:r>
      <w:r w:rsidR="00777857" w:rsidRPr="00777857">
        <w:rPr>
          <w:i/>
        </w:rPr>
        <w:t>Share-based Payment</w:t>
      </w:r>
      <w:r w:rsidR="002753C5">
        <w:rPr>
          <w:i/>
        </w:rPr>
        <w:t xml:space="preserve"> </w:t>
      </w:r>
      <w:r w:rsidR="005E7E12">
        <w:t xml:space="preserve">(July 2015) </w:t>
      </w:r>
      <w:r w:rsidR="001662B8">
        <w:t>a</w:t>
      </w:r>
      <w:bookmarkStart w:id="15" w:name="StndObj"/>
      <w:bookmarkEnd w:id="15"/>
      <w:r w:rsidR="001662B8">
        <w:t>s a consequence of the issuance of</w:t>
      </w:r>
      <w:r>
        <w:t xml:space="preserve"> International Financial Reporting Standard</w:t>
      </w:r>
      <w:r w:rsidR="001662B8">
        <w:t xml:space="preserve"> </w:t>
      </w:r>
      <w:r w:rsidRPr="00867FB0">
        <w:rPr>
          <w:i/>
        </w:rPr>
        <w:fldChar w:fldCharType="begin" w:fldLock="1"/>
      </w:r>
      <w:r w:rsidRPr="00867FB0">
        <w:rPr>
          <w:i/>
        </w:rPr>
        <w:instrText xml:space="preserve"> REF ArisingTitle \* charformat</w:instrText>
      </w:r>
      <w:r w:rsidR="005E7E12">
        <w:rPr>
          <w:i/>
        </w:rPr>
        <w:instrText xml:space="preserve"> \* MERGEFORMAT </w:instrText>
      </w:r>
      <w:r w:rsidRPr="00867FB0">
        <w:rPr>
          <w:i/>
        </w:rPr>
        <w:fldChar w:fldCharType="separate"/>
      </w:r>
      <w:r w:rsidR="000B13B6" w:rsidRPr="00777857">
        <w:rPr>
          <w:i/>
        </w:rPr>
        <w:t xml:space="preserve">Classification and Measurement of Share-based Payment Transactions </w:t>
      </w:r>
      <w:r w:rsidR="000B13B6" w:rsidRPr="000B13B6">
        <w:t>(Amendments to IFRS 2)</w:t>
      </w:r>
      <w:r w:rsidRPr="00867FB0">
        <w:rPr>
          <w:i/>
        </w:rPr>
        <w:fldChar w:fldCharType="end"/>
      </w:r>
      <w:r w:rsidR="001662B8">
        <w:t xml:space="preserve"> </w:t>
      </w:r>
      <w:r>
        <w:t xml:space="preserve">by the International Accounting Standards Board </w:t>
      </w:r>
      <w:r w:rsidR="001662B8">
        <w:t>in</w:t>
      </w:r>
      <w:r w:rsidR="00742E4B">
        <w:t xml:space="preserve"> </w:t>
      </w:r>
      <w:r>
        <w:fldChar w:fldCharType="begin" w:fldLock="1"/>
      </w:r>
      <w:r>
        <w:instrText xml:space="preserve"> REF ArisingDate \* charformat</w:instrText>
      </w:r>
      <w:r>
        <w:fldChar w:fldCharType="separate"/>
      </w:r>
      <w:r w:rsidR="000B13B6">
        <w:t>June 2016</w:t>
      </w:r>
      <w:r>
        <w:fldChar w:fldCharType="end"/>
      </w:r>
      <w:r w:rsidR="001662B8">
        <w:t>.</w:t>
      </w:r>
    </w:p>
    <w:p w:rsidR="00090A6F" w:rsidRPr="0000292B" w:rsidRDefault="00090A6F">
      <w:pPr>
        <w:pStyle w:val="Heading2"/>
      </w:pPr>
      <w:r w:rsidRPr="0000292B">
        <w:t>Application</w:t>
      </w:r>
    </w:p>
    <w:p w:rsidR="005A6AC7" w:rsidRPr="005A6AC7" w:rsidRDefault="005A6AC7" w:rsidP="005A6AC7">
      <w:pPr>
        <w:pStyle w:val="NoNumPlain1"/>
        <w:rPr>
          <w:i/>
        </w:rPr>
      </w:pPr>
      <w:r>
        <w:t xml:space="preserve">The amendments set out in this Standard apply to entities and financial statements in accordance with the application of the other Standards and Interpretations set out in AASB 1057 </w:t>
      </w:r>
      <w:r>
        <w:rPr>
          <w:i/>
        </w:rPr>
        <w:t>Application of Australian Accounting Standards</w:t>
      </w:r>
      <w:r w:rsidRPr="005A6AC7">
        <w:t xml:space="preserve"> (as amended)</w:t>
      </w:r>
      <w:r>
        <w:rPr>
          <w:i/>
        </w:rPr>
        <w:t>.</w:t>
      </w:r>
    </w:p>
    <w:p w:rsidR="00090A6F" w:rsidRPr="00027E8B" w:rsidRDefault="00090A6F" w:rsidP="005A6AC7">
      <w:pPr>
        <w:pStyle w:val="NoNumPlain1"/>
      </w:pPr>
      <w:r w:rsidRPr="00027E8B">
        <w:t xml:space="preserve">This Standard applies to annual periods </w:t>
      </w:r>
      <w:r w:rsidR="005A6AC7">
        <w:fldChar w:fldCharType="begin" w:fldLock="1"/>
      </w:r>
      <w:r w:rsidR="005A6AC7">
        <w:instrText xml:space="preserve"> REF ApplyText \* charformat</w:instrText>
      </w:r>
      <w:r w:rsidR="005A6AC7">
        <w:fldChar w:fldCharType="separate"/>
      </w:r>
      <w:r w:rsidR="000B13B6">
        <w:t>beginning</w:t>
      </w:r>
      <w:r w:rsidR="005A6AC7">
        <w:fldChar w:fldCharType="end"/>
      </w:r>
      <w:r w:rsidRPr="00027E8B">
        <w:t xml:space="preserve"> on or after </w:t>
      </w:r>
      <w:r w:rsidR="005A6AC7">
        <w:fldChar w:fldCharType="begin" w:fldLock="1"/>
      </w:r>
      <w:r w:rsidR="005A6AC7">
        <w:instrText xml:space="preserve"> REF ApplyDate \* charformat</w:instrText>
      </w:r>
      <w:r w:rsidR="005A6AC7">
        <w:fldChar w:fldCharType="separate"/>
      </w:r>
      <w:r w:rsidR="000B13B6">
        <w:t>1 January 2018</w:t>
      </w:r>
      <w:r w:rsidR="005A6AC7">
        <w:fldChar w:fldCharType="end"/>
      </w:r>
      <w:r w:rsidRPr="00027E8B">
        <w:t>.</w:t>
      </w:r>
    </w:p>
    <w:p w:rsidR="00090A6F" w:rsidRPr="0000292B" w:rsidRDefault="00090A6F" w:rsidP="005A6AC7">
      <w:pPr>
        <w:pStyle w:val="NoNumPlain1"/>
      </w:pPr>
      <w:bookmarkStart w:id="16" w:name="EarlyYesPara"/>
      <w:r w:rsidRPr="0000292B">
        <w:t xml:space="preserve">This Standard may be applied to annual periods </w:t>
      </w:r>
      <w:bookmarkStart w:id="17" w:name="EarlyText"/>
      <w:r w:rsidR="00E839DA" w:rsidRPr="0000292B">
        <w:t>beginning</w:t>
      </w:r>
      <w:bookmarkEnd w:id="17"/>
      <w:r w:rsidRPr="0000292B">
        <w:t xml:space="preserve"> </w:t>
      </w:r>
      <w:r w:rsidR="0078116B" w:rsidRPr="0000292B">
        <w:t xml:space="preserve">before </w:t>
      </w:r>
      <w:fldSimple w:instr=" REF ApplyDate  \* charformat  " w:fldLock="1">
        <w:r w:rsidR="000B13B6">
          <w:t>1 January 2018</w:t>
        </w:r>
      </w:fldSimple>
      <w:r w:rsidRPr="0000292B">
        <w:t xml:space="preserve">.  When an entity applies this Standard to </w:t>
      </w:r>
      <w:r w:rsidR="00590051">
        <w:t xml:space="preserve">such </w:t>
      </w:r>
      <w:r w:rsidRPr="0000292B">
        <w:t>an annual period</w:t>
      </w:r>
      <w:r w:rsidR="00590051">
        <w:t>,</w:t>
      </w:r>
      <w:r w:rsidRPr="0000292B">
        <w:t xml:space="preserve"> it shall disclose that fact.</w:t>
      </w:r>
    </w:p>
    <w:bookmarkEnd w:id="16"/>
    <w:p w:rsidR="00090A6F" w:rsidRDefault="0048155F" w:rsidP="005A6AC7">
      <w:pPr>
        <w:pStyle w:val="NoNumPlain1"/>
      </w:pPr>
      <w:r>
        <w:t>This Standard uses underlining, striking out and other typographical material to identify some of the amendments to a Standard, in order to make the amendments more understandable.  However, the amendments made by this Standard do not include that underlining, striking out or</w:t>
      </w:r>
      <w:r w:rsidR="003B6633">
        <w:t xml:space="preserve"> other typographical material.</w:t>
      </w:r>
      <w:r w:rsidR="00254B16">
        <w:t xml:space="preserve">  Ellipses (…) are used to help provide the context within which amendments are made and also to indicate text that is not amended.</w:t>
      </w:r>
    </w:p>
    <w:p w:rsidR="00777857" w:rsidRDefault="00777857">
      <w:pPr>
        <w:pStyle w:val="Heading2"/>
      </w:pPr>
      <w:r>
        <w:t xml:space="preserve">Amendments to </w:t>
      </w:r>
      <w:bookmarkStart w:id="18" w:name="StndNo2"/>
      <w:r>
        <w:t>AASB 2</w:t>
      </w:r>
      <w:bookmarkEnd w:id="18"/>
    </w:p>
    <w:tbl>
      <w:tblPr>
        <w:tblW w:w="0" w:type="auto"/>
        <w:tblLayout w:type="fixed"/>
        <w:tblLook w:val="0000" w:firstRow="0" w:lastRow="0" w:firstColumn="0" w:lastColumn="0" w:noHBand="0" w:noVBand="0"/>
        <w:tblCaption w:val="Amendments to AASB 2"/>
      </w:tblPr>
      <w:tblGrid>
        <w:gridCol w:w="9208"/>
      </w:tblGrid>
      <w:tr w:rsidR="00BA2D2A" w:rsidTr="003A564A">
        <w:trPr>
          <w:cantSplit/>
        </w:trPr>
        <w:tc>
          <w:tcPr>
            <w:tcW w:w="9208" w:type="dxa"/>
            <w:tcBorders>
              <w:top w:val="single" w:sz="4" w:space="0" w:color="auto"/>
              <w:left w:val="single" w:sz="4" w:space="0" w:color="auto"/>
              <w:bottom w:val="single" w:sz="4" w:space="0" w:color="auto"/>
              <w:right w:val="single" w:sz="4" w:space="0" w:color="auto"/>
            </w:tcBorders>
            <w:vAlign w:val="bottom"/>
          </w:tcPr>
          <w:p w:rsidR="00BA2D2A" w:rsidRDefault="00BA2D2A" w:rsidP="003A564A">
            <w:pPr>
              <w:pStyle w:val="IASBTableArial"/>
            </w:pPr>
            <w:r>
              <w:t xml:space="preserve">Paragraphs 19, 30–31, 33, 52 and </w:t>
            </w:r>
            <w:r w:rsidR="005E7E12">
              <w:t>Aus52.1</w:t>
            </w:r>
            <w:r>
              <w:t xml:space="preserve"> are amended, and paragraphs 33A–33H, 59A–59B and 63D are added. Headings before paragraphs 33A and 33E are added. Deleted text is struck through and new text is underlined. Paragraphs 32 and 34 have not been amended, but are included for ease of reference.</w:t>
            </w:r>
          </w:p>
        </w:tc>
      </w:tr>
    </w:tbl>
    <w:p w:rsidR="00BA2D2A" w:rsidRDefault="00BA2D2A" w:rsidP="00BA2D2A">
      <w:pPr>
        <w:pStyle w:val="IASBSectionTitle1NonInd"/>
      </w:pPr>
      <w:bookmarkStart w:id="19" w:name="F49527196"/>
      <w:r>
        <w:t>Treatment of vesting conditions</w:t>
      </w:r>
      <w:bookmarkEnd w:id="19"/>
    </w:p>
    <w:p w:rsidR="00BA2D2A" w:rsidRDefault="00BA2D2A" w:rsidP="00BA2D2A">
      <w:pPr>
        <w:pStyle w:val="IASBNormalnpara"/>
      </w:pPr>
      <w:r>
        <w:t>19</w:t>
      </w:r>
      <w:r>
        <w:tab/>
      </w:r>
      <w:bookmarkStart w:id="20" w:name="F49527197"/>
      <w:r>
        <w:t>A grant of equity instruments might be conditional upon satisfying specified vesting conditions. For example, a grant of shares or share options to an employee is typically conditional on the employee remaining in the entity’s employ for a specified period of time. There might be performance conditions that must be satisfied, such as the entity achieving a specified growth in profit or a specified increase in the entity’s share price. Vesting conditions, other than market conditions, shall not be taken into account when estimating the fair value of the shares or share options at the measurement date. Instead, vesting conditions</w:t>
      </w:r>
      <w:r>
        <w:rPr>
          <w:u w:val="single"/>
        </w:rPr>
        <w:t>, other than market conditions,</w:t>
      </w:r>
      <w:r>
        <w:t xml:space="preserve"> shall be taken into account by adjusting the number of equity instruments included in the measurement of the transaction amount so that, ultimately, the amount </w:t>
      </w:r>
      <w:proofErr w:type="spellStart"/>
      <w:r>
        <w:t>recognised</w:t>
      </w:r>
      <w:proofErr w:type="spellEnd"/>
      <w:r>
        <w:t xml:space="preserve"> for goods or services received as consideration for the equity instruments granted shall be based on the number of equity instruments that eventually vest. Hence, on a cumulative basis, no amount is </w:t>
      </w:r>
      <w:proofErr w:type="spellStart"/>
      <w:r>
        <w:t>recognised</w:t>
      </w:r>
      <w:proofErr w:type="spellEnd"/>
      <w:r>
        <w:t xml:space="preserve"> for goods or </w:t>
      </w:r>
      <w:r>
        <w:lastRenderedPageBreak/>
        <w:t xml:space="preserve">services received if the equity instruments granted do not vest because of failure to satisfy a </w:t>
      </w:r>
      <w:r>
        <w:rPr>
          <w:i/>
        </w:rPr>
        <w:t xml:space="preserve">vesting condition, </w:t>
      </w:r>
      <w:r>
        <w:rPr>
          <w:u w:val="single"/>
        </w:rPr>
        <w:t xml:space="preserve">other than a market condition, for </w:t>
      </w:r>
      <w:proofErr w:type="spellStart"/>
      <w:r>
        <w:rPr>
          <w:u w:val="single"/>
        </w:rPr>
        <w:t>example,</w:t>
      </w:r>
      <w:r>
        <w:rPr>
          <w:strike/>
        </w:rPr>
        <w:t>eg</w:t>
      </w:r>
      <w:proofErr w:type="spellEnd"/>
      <w:r>
        <w:t xml:space="preserve"> the counterparty fails to complete a specified service period, or a performance condition is not satisfied, subject to the requirements of paragraph 21.</w:t>
      </w:r>
      <w:bookmarkEnd w:id="20"/>
    </w:p>
    <w:p w:rsidR="00BA2D2A" w:rsidRDefault="00BA2D2A" w:rsidP="00BA2D2A">
      <w:pPr>
        <w:pStyle w:val="IASBNormalnpara"/>
      </w:pPr>
      <w:r>
        <w:tab/>
      </w:r>
      <w:bookmarkStart w:id="21" w:name="F49800082"/>
      <w:r>
        <w:t>...</w:t>
      </w:r>
      <w:r>
        <w:rPr>
          <w:rFonts w:ascii="Cambria Math" w:hAnsi="Cambria Math" w:cs="Cambria Math"/>
        </w:rPr>
        <w:t> </w:t>
      </w:r>
      <w:bookmarkEnd w:id="21"/>
    </w:p>
    <w:p w:rsidR="00BA2D2A" w:rsidRDefault="00BA2D2A" w:rsidP="00BA2D2A">
      <w:pPr>
        <w:pStyle w:val="IASBSectionTitle1NonInd"/>
      </w:pPr>
      <w:bookmarkStart w:id="22" w:name="F49527200"/>
      <w:r>
        <w:t>Cash-settled share-based payment transactions</w:t>
      </w:r>
      <w:bookmarkEnd w:id="22"/>
    </w:p>
    <w:p w:rsidR="00BA2D2A" w:rsidRDefault="00BA2D2A" w:rsidP="00BA2D2A">
      <w:pPr>
        <w:pStyle w:val="IASBNormalnpara"/>
        <w:rPr>
          <w:b/>
        </w:rPr>
      </w:pPr>
      <w:r>
        <w:rPr>
          <w:b/>
        </w:rPr>
        <w:t>30</w:t>
      </w:r>
      <w:r>
        <w:rPr>
          <w:b/>
        </w:rPr>
        <w:tab/>
      </w:r>
      <w:bookmarkStart w:id="23" w:name="F49527201"/>
      <w:r>
        <w:rPr>
          <w:b/>
        </w:rPr>
        <w:t>For cash-settled share-based payment transactions, the entity shall measure the goods or services acquired and the liability incurred at the fair value of the liability</w:t>
      </w:r>
      <w:r>
        <w:rPr>
          <w:b/>
          <w:u w:val="single"/>
        </w:rPr>
        <w:t>, subject to the requirements of paragraphs 31–33D</w:t>
      </w:r>
      <w:r>
        <w:rPr>
          <w:b/>
        </w:rPr>
        <w:t xml:space="preserve">. Until the liability is settled, the entity shall </w:t>
      </w:r>
      <w:proofErr w:type="spellStart"/>
      <w:r>
        <w:rPr>
          <w:b/>
        </w:rPr>
        <w:t>remeasure</w:t>
      </w:r>
      <w:proofErr w:type="spellEnd"/>
      <w:r>
        <w:rPr>
          <w:b/>
        </w:rPr>
        <w:t xml:space="preserve"> the fair value of the liability at the end of each reporting period and at the date of settlement, with any changes in fair value </w:t>
      </w:r>
      <w:proofErr w:type="spellStart"/>
      <w:r>
        <w:rPr>
          <w:b/>
        </w:rPr>
        <w:t>recognised</w:t>
      </w:r>
      <w:proofErr w:type="spellEnd"/>
      <w:r>
        <w:rPr>
          <w:b/>
        </w:rPr>
        <w:t xml:space="preserve"> in profit or loss for the period.</w:t>
      </w:r>
      <w:bookmarkEnd w:id="23"/>
    </w:p>
    <w:p w:rsidR="00BA2D2A" w:rsidRDefault="00BA2D2A" w:rsidP="00BA2D2A">
      <w:pPr>
        <w:pStyle w:val="IASBNormalnpara"/>
      </w:pPr>
      <w:r>
        <w:t>31</w:t>
      </w:r>
      <w:r>
        <w:tab/>
      </w:r>
      <w:bookmarkStart w:id="24" w:name="F49527202"/>
      <w:r>
        <w:t xml:space="preserve">For example, an entity might grant share appreciation rights to employees as part of their remuneration package, whereby the employees will become entitled to a future cash payment (rather than an equity instrument), based on the increase in the entity’s share price from a specified level over a specified period of time. </w:t>
      </w:r>
      <w:r>
        <w:rPr>
          <w:strike/>
        </w:rPr>
        <w:t>Or</w:t>
      </w:r>
      <w:r>
        <w:t xml:space="preserve"> </w:t>
      </w:r>
      <w:r>
        <w:rPr>
          <w:u w:val="single"/>
        </w:rPr>
        <w:t>Alternatively,</w:t>
      </w:r>
      <w:r>
        <w:t xml:space="preserve"> an entity might grant to its employees a right to receive a future cash payment by granting to them a right to shares (including shares to be issued upon the exercise of share options) that are redeemable, either mandatorily (</w:t>
      </w:r>
      <w:proofErr w:type="spellStart"/>
      <w:r>
        <w:rPr>
          <w:strike/>
        </w:rPr>
        <w:t>eg</w:t>
      </w:r>
      <w:r>
        <w:rPr>
          <w:u w:val="single"/>
        </w:rPr>
        <w:t>for</w:t>
      </w:r>
      <w:proofErr w:type="spellEnd"/>
      <w:r>
        <w:rPr>
          <w:u w:val="single"/>
        </w:rPr>
        <w:t xml:space="preserve"> example,</w:t>
      </w:r>
      <w:r>
        <w:t xml:space="preserve"> upon cessation of employment) or at the employee’s option. </w:t>
      </w:r>
      <w:r>
        <w:rPr>
          <w:u w:val="single"/>
        </w:rPr>
        <w:t>These arrangements are examples of cash-settled share-based payment transactions. Share appreciation rights are used to illustrate some of the requirements in paragraphs 32–33D; however, the requirements in those paragraphs apply to all cash-settled share-based payment transactions.</w:t>
      </w:r>
      <w:bookmarkEnd w:id="24"/>
    </w:p>
    <w:p w:rsidR="00BA2D2A" w:rsidRDefault="00BA2D2A" w:rsidP="00BA2D2A">
      <w:pPr>
        <w:pStyle w:val="IASBNormalnpara"/>
      </w:pPr>
      <w:r>
        <w:t>32</w:t>
      </w:r>
      <w:r>
        <w:tab/>
      </w:r>
      <w:bookmarkStart w:id="25" w:name="F49527203"/>
      <w:r>
        <w:t xml:space="preserve">The entity shall </w:t>
      </w:r>
      <w:proofErr w:type="spellStart"/>
      <w:r>
        <w:t>recognise</w:t>
      </w:r>
      <w:proofErr w:type="spellEnd"/>
      <w:r>
        <w:t xml:space="preserve"> the services received, and a liability to pay for those services, as the employees render service. For example, some share appreciation rights vest immediately, and the employees are therefore not required to complete a specified period of service to become entitled to the cash payment. In the absence of evidence to the contrary, the entity shall presume that the services rendered by the employees in exchange for the share appreciation rights have been received. Thus, the entity shall </w:t>
      </w:r>
      <w:proofErr w:type="spellStart"/>
      <w:r>
        <w:t>recognise</w:t>
      </w:r>
      <w:proofErr w:type="spellEnd"/>
      <w:r>
        <w:t xml:space="preserve"> immediately the services received and a liability to pay for them. If the share appreciation rights do not vest until the employees have completed a specified period of service, the entity shall </w:t>
      </w:r>
      <w:proofErr w:type="spellStart"/>
      <w:r>
        <w:t>recognise</w:t>
      </w:r>
      <w:proofErr w:type="spellEnd"/>
      <w:r>
        <w:t xml:space="preserve"> the services received, and a liability to pay for them, as the employees render service during that period.</w:t>
      </w:r>
      <w:bookmarkEnd w:id="25"/>
    </w:p>
    <w:p w:rsidR="00BA2D2A" w:rsidRDefault="00BA2D2A" w:rsidP="00BA2D2A">
      <w:pPr>
        <w:pStyle w:val="IASBNormalnpara"/>
      </w:pPr>
      <w:r>
        <w:t>33</w:t>
      </w:r>
      <w:r>
        <w:tab/>
        <w:t>The liability shall be measured, initially and at the end of each reporting period until settled, at the fair value of the share appreciation rights, by applying an option pricing model, taking into account the terms and conditions on which the share appreciation rights were granted, and the extent to which the employees have rendered service to date</w:t>
      </w:r>
      <w:r>
        <w:rPr>
          <w:strike/>
        </w:rPr>
        <w:t>.</w:t>
      </w:r>
      <w:r>
        <w:rPr>
          <w:u w:val="single"/>
        </w:rPr>
        <w:t>—subject to the requirements of paragraphs 33A–33D. An entity might modify the terms and conditions on which a cash-settled share-based payment is granted. Guidance for a modification</w:t>
      </w:r>
      <w:r w:rsidRPr="00BA2D2A">
        <w:rPr>
          <w:u w:val="single"/>
        </w:rPr>
        <w:t xml:space="preserve"> </w:t>
      </w:r>
      <w:r>
        <w:rPr>
          <w:u w:val="single"/>
        </w:rPr>
        <w:t>of a share-based payment transaction that changes its classification from cash-settled to equity-settled is given in paragraphs B44A–B44C in Appendix B.</w:t>
      </w:r>
    </w:p>
    <w:p w:rsidR="00BA2D2A" w:rsidRDefault="00BA2D2A" w:rsidP="00BA2D2A">
      <w:pPr>
        <w:pStyle w:val="IASBSectionTitle2Ind"/>
      </w:pPr>
      <w:bookmarkStart w:id="26" w:name="F49527206"/>
      <w:r>
        <w:rPr>
          <w:u w:val="single"/>
        </w:rPr>
        <w:t>Treatment of vesting and non-vesting conditions</w:t>
      </w:r>
      <w:bookmarkEnd w:id="26"/>
    </w:p>
    <w:p w:rsidR="00BA2D2A" w:rsidRDefault="00BA2D2A" w:rsidP="00BA2D2A">
      <w:pPr>
        <w:pStyle w:val="IASBNormalnpara"/>
      </w:pPr>
      <w:r>
        <w:rPr>
          <w:u w:val="single"/>
        </w:rPr>
        <w:t>33A</w:t>
      </w:r>
      <w:r w:rsidRPr="00DB7616">
        <w:tab/>
      </w:r>
      <w:bookmarkStart w:id="27" w:name="F49527207"/>
      <w:r>
        <w:rPr>
          <w:u w:val="single"/>
        </w:rPr>
        <w:t>A cash-settled share-based payment transaction might be conditional upon satisfying specified vesting conditions. There might be performance conditions that must be satisfied, such as the entity achieving a specified growth in profit or a specified increase in the entity’s share price. Vesting conditions, other than market conditions, shall not be taken into account when estimating the fair value of the cash-settled share-based payment at the measurement date. Instead, vesting conditions, other than market conditions, shall be taken into account by adjusting the number of awards included in the measurement of the liability arising from the transaction.</w:t>
      </w:r>
      <w:bookmarkEnd w:id="27"/>
    </w:p>
    <w:p w:rsidR="00BA2D2A" w:rsidRDefault="00BA2D2A" w:rsidP="00BA2D2A">
      <w:pPr>
        <w:pStyle w:val="IASBNormalnpara"/>
      </w:pPr>
      <w:r>
        <w:rPr>
          <w:u w:val="single"/>
        </w:rPr>
        <w:t>33B</w:t>
      </w:r>
      <w:bookmarkStart w:id="28" w:name="F49527208"/>
      <w:r w:rsidRPr="00DB7616">
        <w:tab/>
      </w:r>
      <w:r>
        <w:rPr>
          <w:u w:val="single"/>
        </w:rPr>
        <w:t xml:space="preserve">To apply the requirements in paragraph 33A, the entity shall </w:t>
      </w:r>
      <w:proofErr w:type="spellStart"/>
      <w:r>
        <w:rPr>
          <w:u w:val="single"/>
        </w:rPr>
        <w:t>recognise</w:t>
      </w:r>
      <w:proofErr w:type="spellEnd"/>
      <w:r>
        <w:rPr>
          <w:u w:val="single"/>
        </w:rPr>
        <w:t xml:space="preserve"> an amount for the goods or services received during the vesting period. That amount shall be based on the best available estimate of the number of awards that are expected to vest. The entity shall revise that estimate, if necessary, if subsequent information indicates that the number of awards that are expected to vest differs from previous estimates. On the vesting date, the entity shall revise the estimate to equal the number of awards that ultimately vested.</w:t>
      </w:r>
      <w:bookmarkEnd w:id="28"/>
    </w:p>
    <w:p w:rsidR="00BA2D2A" w:rsidRDefault="00BA2D2A" w:rsidP="00BA2D2A">
      <w:pPr>
        <w:pStyle w:val="IASBNormalnpara"/>
      </w:pPr>
      <w:r>
        <w:rPr>
          <w:u w:val="single"/>
        </w:rPr>
        <w:t>33C</w:t>
      </w:r>
      <w:bookmarkStart w:id="29" w:name="F49527209"/>
      <w:r w:rsidRPr="00DB7616">
        <w:tab/>
      </w:r>
      <w:r>
        <w:rPr>
          <w:u w:val="single"/>
        </w:rPr>
        <w:t xml:space="preserve">Market conditions, such as a target share price upon which vesting (or exercisability) is conditioned, as well as non-vesting conditions, shall be taken into account when estimating the fair value of the cash-settled share-based payment granted and when </w:t>
      </w:r>
      <w:proofErr w:type="spellStart"/>
      <w:r>
        <w:rPr>
          <w:u w:val="single"/>
        </w:rPr>
        <w:t>remeasuring</w:t>
      </w:r>
      <w:proofErr w:type="spellEnd"/>
      <w:r>
        <w:rPr>
          <w:u w:val="single"/>
        </w:rPr>
        <w:t xml:space="preserve"> the fair value at the end of each reporting period and at the date of settlement.</w:t>
      </w:r>
      <w:bookmarkEnd w:id="29"/>
    </w:p>
    <w:p w:rsidR="00BA2D2A" w:rsidRDefault="00BA2D2A" w:rsidP="00BA2D2A">
      <w:pPr>
        <w:pStyle w:val="IASBNormalnpara"/>
      </w:pPr>
      <w:r>
        <w:rPr>
          <w:u w:val="single"/>
        </w:rPr>
        <w:t>33D</w:t>
      </w:r>
      <w:bookmarkStart w:id="30" w:name="F49527237"/>
      <w:r w:rsidRPr="00DB7616">
        <w:tab/>
      </w:r>
      <w:r>
        <w:rPr>
          <w:u w:val="single"/>
        </w:rPr>
        <w:t xml:space="preserve">As a result of applying paragraphs 30–33C, the cumulative amount ultimately </w:t>
      </w:r>
      <w:proofErr w:type="spellStart"/>
      <w:r>
        <w:rPr>
          <w:u w:val="single"/>
        </w:rPr>
        <w:t>recognised</w:t>
      </w:r>
      <w:proofErr w:type="spellEnd"/>
      <w:r>
        <w:rPr>
          <w:u w:val="single"/>
        </w:rPr>
        <w:t xml:space="preserve"> for goods or services received as consideration for the cash-settled share-based payment is equal to the cash that is paid.</w:t>
      </w:r>
      <w:bookmarkEnd w:id="30"/>
    </w:p>
    <w:p w:rsidR="00BA2D2A" w:rsidRDefault="00BA2D2A" w:rsidP="00BA2D2A">
      <w:pPr>
        <w:pStyle w:val="IASBSectionTitle1NonInd"/>
      </w:pPr>
      <w:bookmarkStart w:id="31" w:name="F49527239"/>
      <w:r>
        <w:rPr>
          <w:u w:val="single"/>
        </w:rPr>
        <w:lastRenderedPageBreak/>
        <w:t>Share-based payment transactions with a net settlement feature for withholding tax obligations</w:t>
      </w:r>
      <w:bookmarkEnd w:id="31"/>
    </w:p>
    <w:p w:rsidR="00BA2D2A" w:rsidRDefault="00BA2D2A" w:rsidP="00BA2D2A">
      <w:pPr>
        <w:pStyle w:val="IASBNormalnpara"/>
      </w:pPr>
      <w:r>
        <w:rPr>
          <w:u w:val="single"/>
        </w:rPr>
        <w:t>33E</w:t>
      </w:r>
      <w:bookmarkStart w:id="32" w:name="F49527240"/>
      <w:r w:rsidRPr="00DB7616">
        <w:tab/>
      </w:r>
      <w:r>
        <w:rPr>
          <w:u w:val="single"/>
        </w:rPr>
        <w:t>Tax laws or regulations may oblige an entity to withhold an amount for an employee’s tax obligation associated with a share-based payment and transfer that amount, normally in cash, to the tax authority on the employee’s behalf. To fulfil this obligation, the terms of the share-based payment arrangement may permit or require the entity to withhold the number of equity instruments equal to the monetary value of the employee’s tax obligation from the total number of equity instruments that otherwise would have been issued to the employee upon exercise (or vesting) of the share-based payment (</w:t>
      </w:r>
      <w:proofErr w:type="spellStart"/>
      <w:r>
        <w:rPr>
          <w:u w:val="single"/>
        </w:rPr>
        <w:t>ie</w:t>
      </w:r>
      <w:proofErr w:type="spellEnd"/>
      <w:r>
        <w:rPr>
          <w:u w:val="single"/>
        </w:rPr>
        <w:t xml:space="preserve"> the share-based payment arrangement has a ‘net settlement feature’).</w:t>
      </w:r>
      <w:bookmarkEnd w:id="32"/>
    </w:p>
    <w:p w:rsidR="00BA2D2A" w:rsidRDefault="00BA2D2A" w:rsidP="00BA2D2A">
      <w:pPr>
        <w:pStyle w:val="IASBNormalnpara"/>
      </w:pPr>
      <w:r>
        <w:rPr>
          <w:u w:val="single"/>
        </w:rPr>
        <w:t>33F</w:t>
      </w:r>
      <w:bookmarkStart w:id="33" w:name="F49527241"/>
      <w:r w:rsidRPr="00DB7616">
        <w:tab/>
      </w:r>
      <w:r>
        <w:rPr>
          <w:u w:val="single"/>
        </w:rPr>
        <w:t>As an exception to the requirements in paragraph 34, the transaction described in paragraph 33E shall be classified in its entirety as an equity-settled share-based payment transaction if it would have been so classified in the absence of the net settlement feature.</w:t>
      </w:r>
      <w:bookmarkEnd w:id="33"/>
    </w:p>
    <w:p w:rsidR="00BA2D2A" w:rsidRDefault="00BA2D2A" w:rsidP="00BA2D2A">
      <w:pPr>
        <w:pStyle w:val="IASBNormalnpara"/>
      </w:pPr>
      <w:r>
        <w:rPr>
          <w:u w:val="single"/>
        </w:rPr>
        <w:t>33G</w:t>
      </w:r>
      <w:bookmarkStart w:id="34" w:name="F49527242"/>
      <w:r w:rsidRPr="00DB7616">
        <w:tab/>
      </w:r>
      <w:r>
        <w:rPr>
          <w:u w:val="single"/>
        </w:rPr>
        <w:t>The entity applies paragraph 29 of this Standard to account for the withholding of shares to fund the payment to the tax authority in respect of the employee's tax obligation associated with the share-based payment. Therefore, the payment made shall be accounted for as a deduction from equity for the shares withheld, except to the extent that the payment exceeds the fair value at the net settlement date of the equity instruments withheld.</w:t>
      </w:r>
      <w:bookmarkEnd w:id="34"/>
    </w:p>
    <w:p w:rsidR="00BA2D2A" w:rsidRDefault="00BA2D2A" w:rsidP="00BA2D2A">
      <w:pPr>
        <w:pStyle w:val="IASBNormalnpara"/>
      </w:pPr>
      <w:r>
        <w:rPr>
          <w:u w:val="single"/>
        </w:rPr>
        <w:t>33H</w:t>
      </w:r>
      <w:bookmarkStart w:id="35" w:name="F49527243"/>
      <w:r w:rsidRPr="00DB7616">
        <w:tab/>
      </w:r>
      <w:r>
        <w:rPr>
          <w:u w:val="single"/>
        </w:rPr>
        <w:t>The exception in paragraph 33F does not apply to:</w:t>
      </w:r>
      <w:bookmarkEnd w:id="35"/>
    </w:p>
    <w:p w:rsidR="00BA2D2A" w:rsidRDefault="00BA2D2A" w:rsidP="00BA2D2A">
      <w:pPr>
        <w:pStyle w:val="IASBNormalnparaL1"/>
      </w:pPr>
      <w:r w:rsidRPr="003A564A">
        <w:rPr>
          <w:u w:val="single"/>
        </w:rPr>
        <w:t>(a)</w:t>
      </w:r>
      <w:r>
        <w:tab/>
      </w:r>
      <w:bookmarkStart w:id="36" w:name="F49527247"/>
      <w:r>
        <w:rPr>
          <w:u w:val="single"/>
        </w:rPr>
        <w:t>a share-based payment arrangement with a net settlement feature for which there is no obligation on the entity under tax laws or regulations to withhold an amount for an employee’s tax obligation associated with that share-based payment; or</w:t>
      </w:r>
      <w:bookmarkEnd w:id="36"/>
    </w:p>
    <w:p w:rsidR="00BA2D2A" w:rsidRDefault="00BA2D2A" w:rsidP="00BA2D2A">
      <w:pPr>
        <w:pStyle w:val="IASBNormalnparaL1"/>
      </w:pPr>
      <w:r w:rsidRPr="003A564A">
        <w:rPr>
          <w:u w:val="single"/>
        </w:rPr>
        <w:t>(b)</w:t>
      </w:r>
      <w:r>
        <w:tab/>
      </w:r>
      <w:bookmarkStart w:id="37" w:name="F49527249"/>
      <w:r>
        <w:rPr>
          <w:u w:val="single"/>
        </w:rPr>
        <w:t>any equity instruments that the entity withholds in excess of the employee’s tax obligation associated with the share-based payment (</w:t>
      </w:r>
      <w:proofErr w:type="spellStart"/>
      <w:r>
        <w:rPr>
          <w:u w:val="single"/>
        </w:rPr>
        <w:t>ie</w:t>
      </w:r>
      <w:proofErr w:type="spellEnd"/>
      <w:r>
        <w:rPr>
          <w:u w:val="single"/>
        </w:rPr>
        <w:t xml:space="preserve"> the entity withheld an amount of shares that exceeds the monetary value of the employee’s tax obligation). Such excess shares withheld shall be accounted for as a cash-settled share-based payment when this amount is paid in cash (or other assets) to the employee.</w:t>
      </w:r>
      <w:bookmarkEnd w:id="37"/>
    </w:p>
    <w:p w:rsidR="00BA2D2A" w:rsidRDefault="00BA2D2A" w:rsidP="00BA2D2A">
      <w:pPr>
        <w:pStyle w:val="IASBNormalnpara"/>
        <w:rPr>
          <w:b/>
        </w:rPr>
      </w:pPr>
      <w:r>
        <w:rPr>
          <w:b/>
        </w:rPr>
        <w:t>34</w:t>
      </w:r>
      <w:r>
        <w:rPr>
          <w:b/>
        </w:rPr>
        <w:tab/>
      </w:r>
      <w:bookmarkStart w:id="38" w:name="F49527250"/>
      <w:r>
        <w:rPr>
          <w:b/>
        </w:rPr>
        <w:t xml:space="preserve">For share-based payment transactions in which the terms of the arrangement provide either the entity or the counterparty with the choice of whether the entity settles the transaction in cash (or other assets) or by issuing equity instruments, the entity shall account for that transaction, or the components of that transaction, as a cash-settled share-based payment transaction if, and to the extent that, the entity has incurred a liability to settle in cash or other assets, or as an equity-settled share-based payment transaction if, and to the extent that, no such liability has been incurred. </w:t>
      </w:r>
      <w:bookmarkEnd w:id="38"/>
    </w:p>
    <w:p w:rsidR="00BA2D2A" w:rsidRDefault="00BA2D2A" w:rsidP="00BA2D2A">
      <w:pPr>
        <w:pStyle w:val="IASBSectionTitle1NonInd"/>
      </w:pPr>
      <w:bookmarkStart w:id="39" w:name="F49527252"/>
      <w:r>
        <w:t>Disclosures</w:t>
      </w:r>
      <w:bookmarkEnd w:id="39"/>
    </w:p>
    <w:p w:rsidR="00BA2D2A" w:rsidRDefault="00BA2D2A" w:rsidP="00BA2D2A">
      <w:pPr>
        <w:pStyle w:val="IASBNormalnpara"/>
      </w:pPr>
      <w:r>
        <w:tab/>
      </w:r>
      <w:bookmarkStart w:id="40" w:name="F49527253"/>
      <w:r>
        <w:t>…</w:t>
      </w:r>
      <w:bookmarkEnd w:id="40"/>
    </w:p>
    <w:p w:rsidR="00BA2D2A" w:rsidRDefault="00BA2D2A" w:rsidP="00BA2D2A">
      <w:pPr>
        <w:pStyle w:val="IASBNormalnpara"/>
      </w:pPr>
      <w:r>
        <w:t>52</w:t>
      </w:r>
      <w:r>
        <w:tab/>
      </w:r>
      <w:bookmarkStart w:id="41" w:name="F49527254"/>
      <w:r>
        <w:t xml:space="preserve">If the information required to be disclosed by this </w:t>
      </w:r>
      <w:r w:rsidRPr="003A564A">
        <w:t>Standard</w:t>
      </w:r>
      <w:r>
        <w:t xml:space="preserve"> does not satisfy the principles in paragraphs 44, 46 and 50, the entity shall disclose such additional information as is necessary to satisfy them. </w:t>
      </w:r>
      <w:r>
        <w:rPr>
          <w:u w:val="single"/>
        </w:rPr>
        <w:t>For example, if an entity has classified any share-based payment transactions as equity-settled in accordance with paragraph 33F, the entity shall disclose an estimate of the amount that it expects to transfer to the tax authority to settle the employee’s tax obligation when it is necessary to inform users about the future cash flow effects associated with the share-based payment arrangement.</w:t>
      </w:r>
      <w:r>
        <w:t xml:space="preserve"> </w:t>
      </w:r>
      <w:bookmarkEnd w:id="41"/>
    </w:p>
    <w:p w:rsidR="00BA2D2A" w:rsidRDefault="00BA2D2A" w:rsidP="00BA2D2A">
      <w:pPr>
        <w:pStyle w:val="IASBSectionTitle1NonInd"/>
      </w:pPr>
      <w:bookmarkStart w:id="42" w:name="F49527256"/>
      <w:r>
        <w:t>Transitional provisions</w:t>
      </w:r>
      <w:bookmarkEnd w:id="42"/>
    </w:p>
    <w:p w:rsidR="00363C19" w:rsidRDefault="00363C19" w:rsidP="00363C19">
      <w:pPr>
        <w:pStyle w:val="IASBNormalnpara"/>
        <w:ind w:left="1418" w:hanging="1418"/>
      </w:pPr>
      <w:r>
        <w:t>Aus52.1</w:t>
      </w:r>
      <w:r>
        <w:tab/>
      </w:r>
      <w:r w:rsidRPr="003A564A">
        <w:rPr>
          <w:strike/>
        </w:rPr>
        <w:t>The following transitional</w:t>
      </w:r>
      <w:r>
        <w:t xml:space="preserve"> </w:t>
      </w:r>
      <w:r w:rsidRPr="003A564A">
        <w:rPr>
          <w:u w:val="single"/>
        </w:rPr>
        <w:t>P</w:t>
      </w:r>
      <w:r>
        <w:t xml:space="preserve">aragraphs </w:t>
      </w:r>
      <w:r w:rsidRPr="003A564A">
        <w:rPr>
          <w:u w:val="single"/>
        </w:rPr>
        <w:t>53</w:t>
      </w:r>
      <w:r w:rsidR="00454764">
        <w:rPr>
          <w:u w:val="single"/>
        </w:rPr>
        <w:t>–</w:t>
      </w:r>
      <w:r w:rsidRPr="003A564A">
        <w:rPr>
          <w:u w:val="single"/>
        </w:rPr>
        <w:t>59</w:t>
      </w:r>
      <w:r>
        <w:t xml:space="preserve"> shall not be applied by entities tha</w:t>
      </w:r>
      <w:r w:rsidR="00454764">
        <w:t xml:space="preserve">t have previously applied </w:t>
      </w:r>
      <w:r w:rsidR="00454764" w:rsidRPr="00454764">
        <w:rPr>
          <w:strike/>
        </w:rPr>
        <w:t xml:space="preserve">this </w:t>
      </w:r>
      <w:proofErr w:type="spellStart"/>
      <w:r w:rsidR="00454764" w:rsidRPr="00454764">
        <w:rPr>
          <w:strike/>
        </w:rPr>
        <w:t>S</w:t>
      </w:r>
      <w:r w:rsidRPr="00454764">
        <w:rPr>
          <w:strike/>
        </w:rPr>
        <w:t>tandard</w:t>
      </w:r>
      <w:r w:rsidR="00454764" w:rsidRPr="00454764">
        <w:rPr>
          <w:u w:val="single"/>
        </w:rPr>
        <w:t>AASB</w:t>
      </w:r>
      <w:proofErr w:type="spellEnd"/>
      <w:r w:rsidR="00454764" w:rsidRPr="00454764">
        <w:rPr>
          <w:u w:val="single"/>
        </w:rPr>
        <w:t xml:space="preserve"> 2 (July 2004)</w:t>
      </w:r>
      <w:r>
        <w:t xml:space="preserve">, unless required to do so by </w:t>
      </w:r>
      <w:r w:rsidRPr="003A564A">
        <w:rPr>
          <w:u w:val="single"/>
        </w:rPr>
        <w:t>this or</w:t>
      </w:r>
      <w:r>
        <w:t xml:space="preserve"> another Australian Accounting Standard.</w:t>
      </w:r>
    </w:p>
    <w:p w:rsidR="00BA2D2A" w:rsidRDefault="00BA2D2A" w:rsidP="00BA2D2A">
      <w:pPr>
        <w:pStyle w:val="IASBNormalnpara"/>
      </w:pPr>
      <w:r>
        <w:tab/>
      </w:r>
      <w:bookmarkStart w:id="43" w:name="F49800084"/>
      <w:r>
        <w:t>...</w:t>
      </w:r>
      <w:r>
        <w:rPr>
          <w:rFonts w:ascii="Cambria Math" w:hAnsi="Cambria Math" w:cs="Cambria Math"/>
        </w:rPr>
        <w:t> </w:t>
      </w:r>
      <w:bookmarkEnd w:id="43"/>
    </w:p>
    <w:p w:rsidR="00BA2D2A" w:rsidRDefault="00BA2D2A" w:rsidP="00BA2D2A">
      <w:pPr>
        <w:pStyle w:val="IASBNormalnpara"/>
      </w:pPr>
      <w:r>
        <w:rPr>
          <w:u w:val="single"/>
        </w:rPr>
        <w:t>59A</w:t>
      </w:r>
      <w:bookmarkStart w:id="44" w:name="F49527257"/>
      <w:r w:rsidRPr="00DB7616">
        <w:tab/>
      </w:r>
      <w:r>
        <w:rPr>
          <w:u w:val="single"/>
        </w:rPr>
        <w:t xml:space="preserve">An entity shall apply the amendments in paragraphs 30–31, 33–33H and B44A–B44C as set out below. Prior periods shall not be restated. </w:t>
      </w:r>
      <w:bookmarkEnd w:id="44"/>
    </w:p>
    <w:p w:rsidR="00BA2D2A" w:rsidRDefault="00BA2D2A" w:rsidP="00BA2D2A">
      <w:pPr>
        <w:pStyle w:val="IASBNormalnparaL1"/>
      </w:pPr>
      <w:r w:rsidRPr="003A564A">
        <w:rPr>
          <w:u w:val="single"/>
        </w:rPr>
        <w:t>(a)</w:t>
      </w:r>
      <w:r>
        <w:tab/>
      </w:r>
      <w:bookmarkStart w:id="45" w:name="F49527260"/>
      <w:r>
        <w:rPr>
          <w:u w:val="single"/>
        </w:rPr>
        <w:t>The amendments in paragraphs B44A–B44C apply only to modifications that occur on or after the date that an entity first applies the amendments.</w:t>
      </w:r>
      <w:bookmarkEnd w:id="45"/>
    </w:p>
    <w:p w:rsidR="00BA2D2A" w:rsidRDefault="00BA2D2A" w:rsidP="00BA2D2A">
      <w:pPr>
        <w:pStyle w:val="IASBNormalnparaL1"/>
      </w:pPr>
      <w:r w:rsidRPr="003A564A">
        <w:rPr>
          <w:u w:val="single"/>
        </w:rPr>
        <w:lastRenderedPageBreak/>
        <w:t>(b)</w:t>
      </w:r>
      <w:r>
        <w:tab/>
      </w:r>
      <w:bookmarkStart w:id="46" w:name="F49527262"/>
      <w:r>
        <w:rPr>
          <w:u w:val="single"/>
        </w:rPr>
        <w:t xml:space="preserve">The amendments in paragraphs 30–31 and 33–33D apply to share-based payment transactions that are unvested at the date that an entity first applies the amendments and to share-based payment transactions with a grant date on or after the date that an entity first applies the amendments. For unvested share-based payment transactions granted prior to the date that an entity first applies the amendments, an entity shall </w:t>
      </w:r>
      <w:proofErr w:type="spellStart"/>
      <w:r>
        <w:rPr>
          <w:u w:val="single"/>
        </w:rPr>
        <w:t>remeasure</w:t>
      </w:r>
      <w:proofErr w:type="spellEnd"/>
      <w:r>
        <w:rPr>
          <w:u w:val="single"/>
        </w:rPr>
        <w:t xml:space="preserve"> the liability at that date and </w:t>
      </w:r>
      <w:proofErr w:type="spellStart"/>
      <w:r>
        <w:rPr>
          <w:u w:val="single"/>
        </w:rPr>
        <w:t>recognise</w:t>
      </w:r>
      <w:proofErr w:type="spellEnd"/>
      <w:r>
        <w:rPr>
          <w:u w:val="single"/>
        </w:rPr>
        <w:t xml:space="preserve"> the effect of the </w:t>
      </w:r>
      <w:proofErr w:type="spellStart"/>
      <w:r>
        <w:rPr>
          <w:u w:val="single"/>
        </w:rPr>
        <w:t>remeasurement</w:t>
      </w:r>
      <w:proofErr w:type="spellEnd"/>
      <w:r>
        <w:rPr>
          <w:u w:val="single"/>
        </w:rPr>
        <w:t xml:space="preserve"> in opening retained earnings (or other component of equity, as appropriate) of the reporting period in which the amendments are first applied.</w:t>
      </w:r>
      <w:bookmarkEnd w:id="46"/>
    </w:p>
    <w:p w:rsidR="00BA2D2A" w:rsidRDefault="00BA2D2A" w:rsidP="00BA2D2A">
      <w:pPr>
        <w:pStyle w:val="IASBNormalnparaL1"/>
      </w:pPr>
      <w:r w:rsidRPr="003A564A">
        <w:rPr>
          <w:u w:val="single"/>
        </w:rPr>
        <w:t>(c)</w:t>
      </w:r>
      <w:r>
        <w:tab/>
      </w:r>
      <w:bookmarkStart w:id="47" w:name="F49527264"/>
      <w:r>
        <w:rPr>
          <w:u w:val="single"/>
        </w:rPr>
        <w:t>The amendments in paragraphs 33E–33H and the amendment to paragraph 52 apply to share-based payment transactions that are unvested (or vested but unexercised), at the date that an entity first applies the amendments and to share-based payment transactions with a grant date on or after the date that an entity first applies the amendments. For unvested (or vested but unexercised) share-based payment transactions (or components thereof) that were previously classified as cash-settled share-based payments but now are classified as equity-settled in accordance with the amendments, an entity shall reclassify the carrying value of the share-based payment liability to equity at the date that it first applies the amendments.</w:t>
      </w:r>
      <w:bookmarkEnd w:id="47"/>
    </w:p>
    <w:p w:rsidR="00BA2D2A" w:rsidRDefault="00BA2D2A" w:rsidP="00BA2D2A">
      <w:pPr>
        <w:pStyle w:val="IASBNormalnpara"/>
      </w:pPr>
      <w:r>
        <w:rPr>
          <w:u w:val="single"/>
        </w:rPr>
        <w:t xml:space="preserve">59B </w:t>
      </w:r>
      <w:bookmarkStart w:id="48" w:name="F49527265"/>
      <w:r w:rsidRPr="00DB7616">
        <w:tab/>
      </w:r>
      <w:r>
        <w:rPr>
          <w:u w:val="single"/>
        </w:rPr>
        <w:t xml:space="preserve">Notwithstanding the requirements in paragraph 59A, an entity may apply the amendments in paragraph 63D retrospectively, subject to the transitional provisions in paragraphs 53–59 of this Standard, in accordance with </w:t>
      </w:r>
      <w:r w:rsidR="00061BA4">
        <w:rPr>
          <w:u w:val="single"/>
        </w:rPr>
        <w:t>AASB</w:t>
      </w:r>
      <w:r>
        <w:rPr>
          <w:u w:val="single"/>
        </w:rPr>
        <w:t xml:space="preserve"> </w:t>
      </w:r>
      <w:r w:rsidR="00061BA4">
        <w:rPr>
          <w:u w:val="single"/>
        </w:rPr>
        <w:t>10</w:t>
      </w:r>
      <w:r>
        <w:rPr>
          <w:u w:val="single"/>
        </w:rPr>
        <w:t>8</w:t>
      </w:r>
      <w:r>
        <w:rPr>
          <w:i/>
          <w:u w:val="single"/>
        </w:rPr>
        <w:t xml:space="preserve"> Accounting Policies, Changes in Accounting Estimates and Errors</w:t>
      </w:r>
      <w:r>
        <w:rPr>
          <w:u w:val="single"/>
        </w:rPr>
        <w:t xml:space="preserve"> if and only if it is possible without hindsight. If an entity elects retrospective application, it must do so for all of the amendments made by</w:t>
      </w:r>
      <w:r w:rsidR="003A564A">
        <w:rPr>
          <w:u w:val="single"/>
        </w:rPr>
        <w:t xml:space="preserve"> AASB 2016-</w:t>
      </w:r>
      <w:r w:rsidR="000B13B6">
        <w:rPr>
          <w:u w:val="single"/>
        </w:rPr>
        <w:t>5</w:t>
      </w:r>
      <w:r w:rsidR="003A564A">
        <w:rPr>
          <w:u w:val="single"/>
        </w:rPr>
        <w:t xml:space="preserve"> </w:t>
      </w:r>
      <w:r w:rsidR="003A564A" w:rsidRPr="00454764">
        <w:rPr>
          <w:i/>
          <w:u w:val="single"/>
        </w:rPr>
        <w:t>Amendments to Australian Accounting Standards</w:t>
      </w:r>
      <w:r w:rsidR="003A564A">
        <w:rPr>
          <w:u w:val="single"/>
        </w:rPr>
        <w:t xml:space="preserve"> </w:t>
      </w:r>
      <w:r w:rsidR="00454764">
        <w:rPr>
          <w:u w:val="single"/>
        </w:rPr>
        <w:t>–</w:t>
      </w:r>
      <w:r>
        <w:rPr>
          <w:u w:val="single"/>
        </w:rPr>
        <w:t xml:space="preserve"> </w:t>
      </w:r>
      <w:r>
        <w:rPr>
          <w:i/>
          <w:u w:val="single"/>
        </w:rPr>
        <w:t>Classification and Measurement of Share-based Payment Transactions</w:t>
      </w:r>
      <w:r>
        <w:rPr>
          <w:u w:val="single"/>
        </w:rPr>
        <w:t>.</w:t>
      </w:r>
      <w:bookmarkEnd w:id="48"/>
    </w:p>
    <w:p w:rsidR="00BA2D2A" w:rsidRDefault="00BA2D2A" w:rsidP="00BA2D2A">
      <w:pPr>
        <w:pStyle w:val="IASBSectionTitle1NonInd"/>
      </w:pPr>
      <w:bookmarkStart w:id="49" w:name="F49527268"/>
      <w:r>
        <w:t>Effective date</w:t>
      </w:r>
      <w:bookmarkEnd w:id="49"/>
    </w:p>
    <w:p w:rsidR="00BA2D2A" w:rsidRDefault="00BA2D2A" w:rsidP="00BA2D2A">
      <w:pPr>
        <w:pStyle w:val="IASBNormalnpara"/>
      </w:pPr>
      <w:r>
        <w:tab/>
      </w:r>
      <w:bookmarkStart w:id="50" w:name="F49527269"/>
      <w:r>
        <w:t>…</w:t>
      </w:r>
      <w:bookmarkEnd w:id="50"/>
    </w:p>
    <w:p w:rsidR="00BA2D2A" w:rsidRPr="00BA2D2A" w:rsidRDefault="00BA2D2A" w:rsidP="00BA2D2A">
      <w:pPr>
        <w:pStyle w:val="IASBNormalnpara"/>
        <w:rPr>
          <w:lang w:val="en-AU"/>
        </w:rPr>
      </w:pPr>
      <w:r>
        <w:rPr>
          <w:u w:val="single"/>
        </w:rPr>
        <w:t>63D</w:t>
      </w:r>
      <w:r w:rsidRPr="003B4093">
        <w:tab/>
      </w:r>
      <w:bookmarkStart w:id="51" w:name="F49527270"/>
      <w:r w:rsidR="003A564A">
        <w:rPr>
          <w:u w:val="single"/>
        </w:rPr>
        <w:t>AASB 2016-</w:t>
      </w:r>
      <w:r w:rsidR="000B13B6">
        <w:rPr>
          <w:u w:val="single"/>
        </w:rPr>
        <w:t>5</w:t>
      </w:r>
      <w:r w:rsidR="003A564A">
        <w:rPr>
          <w:u w:val="single"/>
        </w:rPr>
        <w:t xml:space="preserve"> </w:t>
      </w:r>
      <w:r w:rsidR="003A564A" w:rsidRPr="00454764">
        <w:rPr>
          <w:i/>
          <w:u w:val="single"/>
        </w:rPr>
        <w:t>Amendments to Australian Accounting Standards</w:t>
      </w:r>
      <w:r w:rsidR="003A564A">
        <w:rPr>
          <w:u w:val="single"/>
        </w:rPr>
        <w:t xml:space="preserve"> </w:t>
      </w:r>
      <w:r w:rsidR="00454764">
        <w:rPr>
          <w:u w:val="single"/>
        </w:rPr>
        <w:t>–</w:t>
      </w:r>
      <w:r w:rsidR="003A564A">
        <w:rPr>
          <w:u w:val="single"/>
        </w:rPr>
        <w:t xml:space="preserve"> </w:t>
      </w:r>
      <w:r>
        <w:rPr>
          <w:i/>
          <w:u w:val="single"/>
        </w:rPr>
        <w:t>Classification and Measurement of Share-based Payment Transactions</w:t>
      </w:r>
      <w:r>
        <w:rPr>
          <w:u w:val="single"/>
        </w:rPr>
        <w:t>, issued in Ju</w:t>
      </w:r>
      <w:r w:rsidR="00061BA4">
        <w:rPr>
          <w:u w:val="single"/>
        </w:rPr>
        <w:t>ly</w:t>
      </w:r>
      <w:r>
        <w:rPr>
          <w:u w:val="single"/>
        </w:rPr>
        <w:t xml:space="preserve"> 2016, amended paragraphs 19, 30–31, 33, 52 and </w:t>
      </w:r>
      <w:r w:rsidR="003A564A">
        <w:rPr>
          <w:u w:val="single"/>
        </w:rPr>
        <w:t>Aus52.1</w:t>
      </w:r>
      <w:r>
        <w:rPr>
          <w:u w:val="single"/>
        </w:rPr>
        <w:t xml:space="preserve"> and added paragraphs 33A–33H, 59A–59B, 63D and B44A–B44C and their related headings. An entity shall apply those amendments for annual periods beginning on or after 1 January 2018. Earlier application is permitted. If an entity applies the amendments for an earlier period, it shall disclose that fact.</w:t>
      </w:r>
      <w:bookmarkEnd w:id="51"/>
    </w:p>
    <w:p w:rsidR="00BA2D2A" w:rsidRDefault="00BA2D2A" w:rsidP="00BA2D2A">
      <w:pPr>
        <w:pStyle w:val="IASBNormalnpara"/>
      </w:pPr>
    </w:p>
    <w:tbl>
      <w:tblPr>
        <w:tblW w:w="0" w:type="auto"/>
        <w:tblLayout w:type="fixed"/>
        <w:tblLook w:val="0000" w:firstRow="0" w:lastRow="0" w:firstColumn="0" w:lastColumn="0" w:noHBand="0" w:noVBand="0"/>
        <w:tblCaption w:val="Appendix B"/>
      </w:tblPr>
      <w:tblGrid>
        <w:gridCol w:w="9208"/>
      </w:tblGrid>
      <w:tr w:rsidR="00BA2D2A" w:rsidTr="003A564A">
        <w:trPr>
          <w:cantSplit/>
        </w:trPr>
        <w:tc>
          <w:tcPr>
            <w:tcW w:w="9208" w:type="dxa"/>
            <w:tcBorders>
              <w:top w:val="single" w:sz="4" w:space="0" w:color="auto"/>
              <w:left w:val="single" w:sz="4" w:space="0" w:color="auto"/>
              <w:bottom w:val="single" w:sz="4" w:space="0" w:color="auto"/>
              <w:right w:val="single" w:sz="4" w:space="0" w:color="auto"/>
            </w:tcBorders>
            <w:vAlign w:val="bottom"/>
          </w:tcPr>
          <w:p w:rsidR="00BA2D2A" w:rsidRDefault="00BA2D2A" w:rsidP="003A564A">
            <w:pPr>
              <w:pStyle w:val="IASBTableArial"/>
            </w:pPr>
            <w:r>
              <w:t>In Appendix B, paragraphs B44A–B44C and their related heading are added. New text is underlined.</w:t>
            </w:r>
          </w:p>
        </w:tc>
      </w:tr>
    </w:tbl>
    <w:p w:rsidR="00BA2D2A" w:rsidRDefault="00BA2D2A" w:rsidP="00BA2D2A">
      <w:pPr>
        <w:pStyle w:val="IASBSectionTitle2Ind"/>
      </w:pPr>
      <w:bookmarkStart w:id="52" w:name="F49527275"/>
      <w:r>
        <w:rPr>
          <w:u w:val="single"/>
        </w:rPr>
        <w:t>Accounting for a modification of a share-based payment transaction that changes its classification from cash-settled to equity-settled</w:t>
      </w:r>
      <w:bookmarkEnd w:id="52"/>
    </w:p>
    <w:p w:rsidR="00BA2D2A" w:rsidRDefault="00BA2D2A" w:rsidP="00BA2D2A">
      <w:pPr>
        <w:pStyle w:val="IASBNormalnpara"/>
      </w:pPr>
      <w:r>
        <w:rPr>
          <w:u w:val="single"/>
        </w:rPr>
        <w:t>B44A</w:t>
      </w:r>
      <w:bookmarkStart w:id="53" w:name="F49527276"/>
      <w:r w:rsidRPr="00DB7616">
        <w:tab/>
      </w:r>
      <w:r>
        <w:rPr>
          <w:u w:val="single"/>
        </w:rPr>
        <w:t>If the terms and conditions of a cash-settled share-based payment transaction are modified with the result that it becomes an equity-settled share-based payment transaction, the transaction is accounted for as such from the date of the modification. Specifically:</w:t>
      </w:r>
      <w:bookmarkEnd w:id="53"/>
    </w:p>
    <w:p w:rsidR="00BA2D2A" w:rsidRDefault="00BA2D2A" w:rsidP="00BA2D2A">
      <w:pPr>
        <w:pStyle w:val="IASBNormalnparaL1"/>
      </w:pPr>
      <w:r w:rsidRPr="003A564A">
        <w:rPr>
          <w:u w:val="single"/>
        </w:rPr>
        <w:t>(a)</w:t>
      </w:r>
      <w:r>
        <w:tab/>
      </w:r>
      <w:bookmarkStart w:id="54" w:name="F49527279"/>
      <w:r>
        <w:rPr>
          <w:u w:val="single"/>
        </w:rPr>
        <w:t xml:space="preserve">The equity-settled share-based payment transaction is measured by reference to the fair value of the equity instruments granted at the modification date. The equity-settled share-based payment transaction is </w:t>
      </w:r>
      <w:proofErr w:type="spellStart"/>
      <w:r>
        <w:rPr>
          <w:u w:val="single"/>
        </w:rPr>
        <w:t>recognised</w:t>
      </w:r>
      <w:proofErr w:type="spellEnd"/>
      <w:r>
        <w:rPr>
          <w:u w:val="single"/>
        </w:rPr>
        <w:t xml:space="preserve"> in equity on the modification date to the extent to which goods or services have been received.</w:t>
      </w:r>
      <w:bookmarkEnd w:id="54"/>
    </w:p>
    <w:p w:rsidR="00BA2D2A" w:rsidRDefault="00BA2D2A" w:rsidP="00BA2D2A">
      <w:pPr>
        <w:pStyle w:val="IASBNormalnparaL1"/>
      </w:pPr>
      <w:r w:rsidRPr="003A564A">
        <w:rPr>
          <w:u w:val="single"/>
        </w:rPr>
        <w:t>(b)</w:t>
      </w:r>
      <w:r>
        <w:tab/>
      </w:r>
      <w:bookmarkStart w:id="55" w:name="F49527281"/>
      <w:r>
        <w:rPr>
          <w:u w:val="single"/>
        </w:rPr>
        <w:t xml:space="preserve">The liability for the cash-settled share-based payment transaction as at the modification date is </w:t>
      </w:r>
      <w:proofErr w:type="spellStart"/>
      <w:r>
        <w:rPr>
          <w:u w:val="single"/>
        </w:rPr>
        <w:t>derecognised</w:t>
      </w:r>
      <w:proofErr w:type="spellEnd"/>
      <w:r>
        <w:rPr>
          <w:u w:val="single"/>
        </w:rPr>
        <w:t xml:space="preserve"> on that date.</w:t>
      </w:r>
      <w:bookmarkEnd w:id="55"/>
    </w:p>
    <w:p w:rsidR="00BA2D2A" w:rsidRDefault="00BA2D2A" w:rsidP="00BA2D2A">
      <w:pPr>
        <w:pStyle w:val="IASBNormalnparaL1"/>
      </w:pPr>
      <w:r w:rsidRPr="003A564A">
        <w:rPr>
          <w:u w:val="single"/>
        </w:rPr>
        <w:t>(c)</w:t>
      </w:r>
      <w:r>
        <w:tab/>
      </w:r>
      <w:bookmarkStart w:id="56" w:name="F49527283"/>
      <w:r>
        <w:rPr>
          <w:u w:val="single"/>
        </w:rPr>
        <w:t xml:space="preserve">Any difference between the carrying amount of the liability </w:t>
      </w:r>
      <w:proofErr w:type="spellStart"/>
      <w:r>
        <w:rPr>
          <w:u w:val="single"/>
        </w:rPr>
        <w:t>derecognised</w:t>
      </w:r>
      <w:proofErr w:type="spellEnd"/>
      <w:r>
        <w:rPr>
          <w:u w:val="single"/>
        </w:rPr>
        <w:t xml:space="preserve"> and the amount of equity </w:t>
      </w:r>
      <w:proofErr w:type="spellStart"/>
      <w:r>
        <w:rPr>
          <w:u w:val="single"/>
        </w:rPr>
        <w:t>recognised</w:t>
      </w:r>
      <w:proofErr w:type="spellEnd"/>
      <w:r>
        <w:rPr>
          <w:u w:val="single"/>
        </w:rPr>
        <w:t xml:space="preserve"> on the modification date is </w:t>
      </w:r>
      <w:proofErr w:type="spellStart"/>
      <w:r>
        <w:rPr>
          <w:u w:val="single"/>
        </w:rPr>
        <w:t>recognised</w:t>
      </w:r>
      <w:proofErr w:type="spellEnd"/>
      <w:r>
        <w:rPr>
          <w:u w:val="single"/>
        </w:rPr>
        <w:t xml:space="preserve"> immediately in profit or loss.</w:t>
      </w:r>
      <w:bookmarkEnd w:id="56"/>
    </w:p>
    <w:p w:rsidR="00BA2D2A" w:rsidRDefault="00BA2D2A" w:rsidP="00BA2D2A">
      <w:pPr>
        <w:pStyle w:val="IASBNormalnpara"/>
      </w:pPr>
      <w:r>
        <w:rPr>
          <w:u w:val="single"/>
        </w:rPr>
        <w:t>B44B</w:t>
      </w:r>
      <w:bookmarkStart w:id="57" w:name="F49527284"/>
      <w:r w:rsidRPr="00DB7616">
        <w:tab/>
      </w:r>
      <w:r>
        <w:rPr>
          <w:u w:val="single"/>
        </w:rPr>
        <w:t>If, as a result of the modification, the vesting period is extended or shortened, the application of the requirements in paragraph B44A reflect the modified vesting period. The requirements in paragraph B44A apply even if the modification occurs after the vesting period.</w:t>
      </w:r>
      <w:bookmarkEnd w:id="57"/>
    </w:p>
    <w:p w:rsidR="00BA2D2A" w:rsidRDefault="00BA2D2A" w:rsidP="00BA2D2A">
      <w:pPr>
        <w:pStyle w:val="IASBNormalnpara"/>
      </w:pPr>
      <w:r>
        <w:rPr>
          <w:u w:val="single"/>
        </w:rPr>
        <w:t>B44C</w:t>
      </w:r>
      <w:bookmarkStart w:id="58" w:name="F49527285"/>
      <w:r w:rsidRPr="00DB7616">
        <w:tab/>
      </w:r>
      <w:r>
        <w:rPr>
          <w:u w:val="single"/>
        </w:rPr>
        <w:t>A cash-settled share-based payment transaction may be cancelled or settled (other than a transaction cancelled by forfeiture when the vesting conditions are not satisfied). If equity instruments are granted and, on that grant date, the entity identifies them as a replacement for the cancelled cash-settled share-based payment, the entity shall apply paragraphs B44A and B44B.</w:t>
      </w:r>
      <w:bookmarkEnd w:id="58"/>
    </w:p>
    <w:p w:rsidR="003A564A" w:rsidRDefault="003A564A" w:rsidP="003A564A">
      <w:pPr>
        <w:pStyle w:val="IASBNormalnpara"/>
      </w:pPr>
    </w:p>
    <w:p w:rsidR="003A564A" w:rsidRDefault="003A564A" w:rsidP="003A564A">
      <w:pPr>
        <w:widowControl w:val="0"/>
        <w:autoSpaceDE w:val="0"/>
        <w:autoSpaceDN w:val="0"/>
        <w:adjustRightInd w:val="0"/>
        <w:rPr>
          <w:lang w:eastAsia="en-GB"/>
        </w:rPr>
        <w:sectPr w:rsidR="003A564A">
          <w:headerReference w:type="even" r:id="rId12"/>
          <w:headerReference w:type="default" r:id="rId13"/>
          <w:footerReference w:type="even" r:id="rId14"/>
          <w:footerReference w:type="default" r:id="rId15"/>
          <w:pgSz w:w="11907" w:h="16839"/>
          <w:pgMar w:top="1440" w:right="1440" w:bottom="1440" w:left="1440" w:header="709" w:footer="709" w:gutter="0"/>
          <w:cols w:space="708"/>
          <w:docGrid w:linePitch="360"/>
        </w:sectPr>
      </w:pPr>
    </w:p>
    <w:p w:rsidR="003A564A" w:rsidRDefault="003A564A" w:rsidP="00454764">
      <w:pPr>
        <w:pStyle w:val="IASBSectionTitle1NonInd"/>
        <w:pBdr>
          <w:bottom w:val="single" w:sz="4" w:space="1" w:color="auto"/>
        </w:pBdr>
      </w:pPr>
      <w:bookmarkStart w:id="59" w:name="F49527362"/>
      <w:r>
        <w:lastRenderedPageBreak/>
        <w:t>Amendments to the Guidance on i</w:t>
      </w:r>
      <w:r w:rsidR="00DA1E3D">
        <w:t>mplementing AASB</w:t>
      </w:r>
      <w:r>
        <w:t xml:space="preserve"> 2 </w:t>
      </w:r>
      <w:bookmarkEnd w:id="59"/>
    </w:p>
    <w:p w:rsidR="003A564A" w:rsidRDefault="003A564A" w:rsidP="003A564A">
      <w:pPr>
        <w:pStyle w:val="IASBNormalnpara"/>
      </w:pPr>
    </w:p>
    <w:tbl>
      <w:tblPr>
        <w:tblW w:w="0" w:type="auto"/>
        <w:tblLayout w:type="fixed"/>
        <w:tblLook w:val="0000" w:firstRow="0" w:lastRow="0" w:firstColumn="0" w:lastColumn="0" w:noHBand="0" w:noVBand="0"/>
        <w:tblCaption w:val="Amendments to the Guidance on implementing AASB 2"/>
      </w:tblPr>
      <w:tblGrid>
        <w:gridCol w:w="9208"/>
      </w:tblGrid>
      <w:tr w:rsidR="003A564A" w:rsidTr="003A564A">
        <w:trPr>
          <w:cantSplit/>
        </w:trPr>
        <w:tc>
          <w:tcPr>
            <w:tcW w:w="9208" w:type="dxa"/>
            <w:tcBorders>
              <w:top w:val="single" w:sz="4" w:space="0" w:color="auto"/>
              <w:left w:val="single" w:sz="4" w:space="0" w:color="auto"/>
              <w:bottom w:val="single" w:sz="4" w:space="0" w:color="auto"/>
              <w:right w:val="single" w:sz="4" w:space="0" w:color="auto"/>
            </w:tcBorders>
            <w:vAlign w:val="bottom"/>
          </w:tcPr>
          <w:p w:rsidR="003A564A" w:rsidRDefault="003A564A" w:rsidP="003A564A">
            <w:pPr>
              <w:pStyle w:val="IASBTableArial"/>
            </w:pPr>
            <w:r>
              <w:t>Paragraph IG19 is amended and paragraphs IG19A–IG19B are added. IG Examples 12A–12C are added. Deleted text is struck through and new text is underlined.</w:t>
            </w:r>
          </w:p>
        </w:tc>
      </w:tr>
    </w:tbl>
    <w:p w:rsidR="003A564A" w:rsidRDefault="003A564A" w:rsidP="003A564A">
      <w:pPr>
        <w:pStyle w:val="IASBSectionTitle1NonInd"/>
      </w:pPr>
      <w:bookmarkStart w:id="60" w:name="F49753272"/>
      <w:r>
        <w:t>Cash-settled share-based payment transactions</w:t>
      </w:r>
      <w:bookmarkEnd w:id="60"/>
    </w:p>
    <w:p w:rsidR="003A564A" w:rsidRDefault="003A564A" w:rsidP="003A564A">
      <w:pPr>
        <w:pStyle w:val="IASBNormalnpara"/>
      </w:pPr>
      <w:r>
        <w:tab/>
      </w:r>
      <w:bookmarkStart w:id="61" w:name="F49655896"/>
      <w:r>
        <w:t>...</w:t>
      </w:r>
      <w:r>
        <w:rPr>
          <w:rFonts w:ascii="Cambria Math" w:hAnsi="Cambria Math" w:cs="Cambria Math"/>
        </w:rPr>
        <w:t> </w:t>
      </w:r>
      <w:bookmarkEnd w:id="61"/>
    </w:p>
    <w:p w:rsidR="003A564A" w:rsidRDefault="003A564A" w:rsidP="003A564A">
      <w:pPr>
        <w:pStyle w:val="IASBNormalnpara"/>
      </w:pPr>
      <w:r>
        <w:t>IG19</w:t>
      </w:r>
      <w:r>
        <w:tab/>
      </w:r>
      <w:bookmarkStart w:id="62" w:name="F49527401"/>
      <w:r>
        <w:t xml:space="preserve">For example, an entity might grant share appreciation rights to employees as part of their remuneration package, whereby the employees will become entitled to a future cash payment (rather than an equity instrument), based on the increase in the entity’s share price from a specified level over a specified period of time. If the share appreciation rights do not vest until the employees have completed a specified period of service, the entity </w:t>
      </w:r>
      <w:proofErr w:type="spellStart"/>
      <w:r>
        <w:t>recognises</w:t>
      </w:r>
      <w:proofErr w:type="spellEnd"/>
      <w:r>
        <w:t xml:space="preserve"> the services received, and a liability to pay for them, as the employees render service during that period. The liability is measured, initially and at the end of each reporting period until settled, at the fair value of the share appreciation rights </w:t>
      </w:r>
      <w:r>
        <w:rPr>
          <w:strike/>
        </w:rPr>
        <w:t>by applying an option pricing model, and the extent to which the employees have rendered service to date</w:t>
      </w:r>
      <w:r>
        <w:t xml:space="preserve"> </w:t>
      </w:r>
      <w:r>
        <w:rPr>
          <w:u w:val="single"/>
        </w:rPr>
        <w:t xml:space="preserve">in accordance with paragraphs 30–33D of </w:t>
      </w:r>
      <w:r w:rsidR="00454764">
        <w:rPr>
          <w:u w:val="single"/>
        </w:rPr>
        <w:t>AASB</w:t>
      </w:r>
      <w:r>
        <w:rPr>
          <w:u w:val="single"/>
        </w:rPr>
        <w:t xml:space="preserve"> 2</w:t>
      </w:r>
      <w:r>
        <w:t xml:space="preserve">. Changes in fair value are </w:t>
      </w:r>
      <w:proofErr w:type="spellStart"/>
      <w:r>
        <w:t>recognised</w:t>
      </w:r>
      <w:proofErr w:type="spellEnd"/>
      <w:r>
        <w:t xml:space="preserve"> in profit or loss. Therefore, if the amount </w:t>
      </w:r>
      <w:proofErr w:type="spellStart"/>
      <w:r>
        <w:t>recognised</w:t>
      </w:r>
      <w:proofErr w:type="spellEnd"/>
      <w:r>
        <w:t xml:space="preserve"> for the services received was included in the carrying amount of an asset </w:t>
      </w:r>
      <w:proofErr w:type="spellStart"/>
      <w:r>
        <w:t>recognised</w:t>
      </w:r>
      <w:proofErr w:type="spellEnd"/>
      <w:r>
        <w:t xml:space="preserve"> in the entity’s statement of financial position (</w:t>
      </w:r>
      <w:proofErr w:type="spellStart"/>
      <w:r>
        <w:rPr>
          <w:strike/>
        </w:rPr>
        <w:t>eg</w:t>
      </w:r>
      <w:r>
        <w:rPr>
          <w:u w:val="single"/>
        </w:rPr>
        <w:t>for</w:t>
      </w:r>
      <w:proofErr w:type="spellEnd"/>
      <w:r>
        <w:rPr>
          <w:u w:val="single"/>
        </w:rPr>
        <w:t xml:space="preserve"> example,</w:t>
      </w:r>
      <w:r>
        <w:t xml:space="preserve"> inventory), the carrying amount of that asset is not adjusted for the effects of the liability </w:t>
      </w:r>
      <w:proofErr w:type="spellStart"/>
      <w:r>
        <w:t>remeasurement</w:t>
      </w:r>
      <w:proofErr w:type="spellEnd"/>
      <w:r>
        <w:t xml:space="preserve">. Example 12 illustrates these requirements </w:t>
      </w:r>
      <w:r>
        <w:rPr>
          <w:u w:val="single"/>
        </w:rPr>
        <w:t>for a cash-settled share-based payment transaction that is subject to a service condition. Example 12A illustrates these requirements for a cash-settled share-based payment transaction that is subject to a performance condition</w:t>
      </w:r>
      <w:r>
        <w:t>.</w:t>
      </w:r>
      <w:bookmarkEnd w:id="62"/>
    </w:p>
    <w:p w:rsidR="003A564A" w:rsidRDefault="003A564A" w:rsidP="003A564A">
      <w:pPr>
        <w:pStyle w:val="IASBNormalnpara"/>
      </w:pPr>
    </w:p>
    <w:tbl>
      <w:tblPr>
        <w:tblW w:w="0" w:type="auto"/>
        <w:tblLayout w:type="fixed"/>
        <w:tblLook w:val="0000" w:firstRow="0" w:lastRow="0" w:firstColumn="0" w:lastColumn="0" w:noHBand="0" w:noVBand="0"/>
        <w:tblCaption w:val="IG Example 12"/>
      </w:tblPr>
      <w:tblGrid>
        <w:gridCol w:w="9208"/>
      </w:tblGrid>
      <w:tr w:rsidR="003A564A" w:rsidTr="00454764">
        <w:trPr>
          <w:cantSplit/>
          <w:tblHeader/>
        </w:trPr>
        <w:tc>
          <w:tcPr>
            <w:tcW w:w="9208" w:type="dxa"/>
            <w:tcBorders>
              <w:top w:val="single" w:sz="4" w:space="0" w:color="auto"/>
              <w:left w:val="single" w:sz="4" w:space="0" w:color="auto"/>
              <w:bottom w:val="single" w:sz="4" w:space="0" w:color="auto"/>
              <w:right w:val="single" w:sz="4" w:space="0" w:color="auto"/>
            </w:tcBorders>
            <w:vAlign w:val="bottom"/>
          </w:tcPr>
          <w:p w:rsidR="003A564A" w:rsidRDefault="003A564A" w:rsidP="003A564A">
            <w:pPr>
              <w:pStyle w:val="IASBTableHeaderArial"/>
            </w:pPr>
            <w:r>
              <w:rPr>
                <w:b/>
              </w:rPr>
              <w:t>IG Example 12</w:t>
            </w:r>
          </w:p>
        </w:tc>
      </w:tr>
      <w:tr w:rsidR="003A564A" w:rsidTr="00454764">
        <w:trPr>
          <w:cantSplit/>
        </w:trPr>
        <w:tc>
          <w:tcPr>
            <w:tcW w:w="9208" w:type="dxa"/>
            <w:tcBorders>
              <w:top w:val="single" w:sz="4" w:space="0" w:color="auto"/>
              <w:left w:val="single" w:sz="4" w:space="0" w:color="auto"/>
              <w:bottom w:val="single" w:sz="4" w:space="0" w:color="auto"/>
              <w:right w:val="single" w:sz="4" w:space="0" w:color="auto"/>
            </w:tcBorders>
            <w:vAlign w:val="bottom"/>
          </w:tcPr>
          <w:p w:rsidR="003A564A" w:rsidRDefault="003A564A" w:rsidP="003A564A">
            <w:pPr>
              <w:pStyle w:val="IASBTableArial"/>
            </w:pPr>
            <w:r>
              <w:t>…</w:t>
            </w:r>
          </w:p>
        </w:tc>
      </w:tr>
    </w:tbl>
    <w:p w:rsidR="003A564A" w:rsidRDefault="003A564A" w:rsidP="003A564A">
      <w:pPr>
        <w:pStyle w:val="IASBNormalnpara"/>
      </w:pPr>
    </w:p>
    <w:tbl>
      <w:tblPr>
        <w:tblW w:w="0" w:type="auto"/>
        <w:tblLayout w:type="fixed"/>
        <w:tblLook w:val="0000" w:firstRow="0" w:lastRow="0" w:firstColumn="0" w:lastColumn="0" w:noHBand="0" w:noVBand="0"/>
        <w:tblCaption w:val="IG Example 12A"/>
      </w:tblPr>
      <w:tblGrid>
        <w:gridCol w:w="1018"/>
        <w:gridCol w:w="4095"/>
        <w:gridCol w:w="1365"/>
        <w:gridCol w:w="1365"/>
        <w:gridCol w:w="1365"/>
      </w:tblGrid>
      <w:tr w:rsidR="003A564A" w:rsidTr="00454764">
        <w:trPr>
          <w:cantSplit/>
          <w:tblHeader/>
        </w:trPr>
        <w:tc>
          <w:tcPr>
            <w:tcW w:w="9208" w:type="dxa"/>
            <w:gridSpan w:val="5"/>
            <w:tcBorders>
              <w:top w:val="single" w:sz="4" w:space="0" w:color="auto"/>
              <w:left w:val="single" w:sz="4" w:space="0" w:color="auto"/>
              <w:bottom w:val="single" w:sz="4" w:space="0" w:color="auto"/>
              <w:right w:val="single" w:sz="4" w:space="0" w:color="auto"/>
            </w:tcBorders>
            <w:vAlign w:val="bottom"/>
          </w:tcPr>
          <w:p w:rsidR="003A564A" w:rsidRDefault="003A564A" w:rsidP="003A564A">
            <w:pPr>
              <w:pStyle w:val="IASBTableHeaderArial"/>
            </w:pPr>
            <w:r>
              <w:rPr>
                <w:b/>
                <w:u w:val="single"/>
              </w:rPr>
              <w:t>IG Example 12A</w:t>
            </w:r>
          </w:p>
        </w:tc>
      </w:tr>
      <w:tr w:rsidR="003A564A" w:rsidTr="00454764">
        <w:trPr>
          <w:cantSplit/>
        </w:trPr>
        <w:tc>
          <w:tcPr>
            <w:tcW w:w="9208" w:type="dxa"/>
            <w:gridSpan w:val="5"/>
            <w:tcBorders>
              <w:top w:val="single" w:sz="4" w:space="0" w:color="auto"/>
              <w:left w:val="single" w:sz="4" w:space="0" w:color="auto"/>
              <w:right w:val="single" w:sz="4" w:space="0" w:color="auto"/>
            </w:tcBorders>
            <w:vAlign w:val="bottom"/>
          </w:tcPr>
          <w:p w:rsidR="003A564A" w:rsidRDefault="003A564A" w:rsidP="003A564A">
            <w:pPr>
              <w:pStyle w:val="IASBTableArial"/>
            </w:pPr>
            <w:r>
              <w:rPr>
                <w:b/>
                <w:u w:val="single"/>
              </w:rPr>
              <w:t>Background</w:t>
            </w:r>
          </w:p>
        </w:tc>
      </w:tr>
      <w:tr w:rsidR="003A564A" w:rsidTr="003A564A">
        <w:trPr>
          <w:cantSplit/>
        </w:trPr>
        <w:tc>
          <w:tcPr>
            <w:tcW w:w="9208" w:type="dxa"/>
            <w:gridSpan w:val="5"/>
            <w:tcBorders>
              <w:top w:val="nil"/>
              <w:left w:val="single" w:sz="4" w:space="0" w:color="auto"/>
              <w:right w:val="single" w:sz="4" w:space="0" w:color="auto"/>
            </w:tcBorders>
            <w:vAlign w:val="bottom"/>
          </w:tcPr>
          <w:p w:rsidR="003A564A" w:rsidRDefault="003A564A" w:rsidP="003A564A">
            <w:pPr>
              <w:pStyle w:val="IASBTableArial"/>
            </w:pPr>
            <w:r>
              <w:rPr>
                <w:u w:val="single"/>
              </w:rPr>
              <w:t>An entity grants 100 cash-settled share appreciation rights (SARs) to each of its 500 employees on the condition that the employees remain in its employ for the next three years and the entity reaches a revenue target (CU1 billion in sales) by the end of Year 3. The entity expects all employees to remain in its employ.</w:t>
            </w:r>
          </w:p>
        </w:tc>
      </w:tr>
      <w:tr w:rsidR="003A564A" w:rsidTr="003A564A">
        <w:trPr>
          <w:cantSplit/>
        </w:trPr>
        <w:tc>
          <w:tcPr>
            <w:tcW w:w="9208" w:type="dxa"/>
            <w:gridSpan w:val="5"/>
            <w:tcBorders>
              <w:top w:val="nil"/>
              <w:left w:val="single" w:sz="4" w:space="0" w:color="auto"/>
              <w:right w:val="single" w:sz="4" w:space="0" w:color="auto"/>
            </w:tcBorders>
            <w:vAlign w:val="bottom"/>
          </w:tcPr>
          <w:p w:rsidR="003A564A" w:rsidRDefault="003A564A" w:rsidP="003A564A">
            <w:pPr>
              <w:pStyle w:val="IASBTableArial"/>
            </w:pPr>
            <w:r>
              <w:rPr>
                <w:u w:val="single"/>
              </w:rPr>
              <w:t>For simplicity, this example assumes that none of the employees’ compensation qualifies for capitalisation as part of the cost of an asset.</w:t>
            </w:r>
          </w:p>
        </w:tc>
      </w:tr>
      <w:tr w:rsidR="003A564A" w:rsidTr="003A564A">
        <w:trPr>
          <w:cantSplit/>
        </w:trPr>
        <w:tc>
          <w:tcPr>
            <w:tcW w:w="9208" w:type="dxa"/>
            <w:gridSpan w:val="5"/>
            <w:tcBorders>
              <w:top w:val="nil"/>
              <w:left w:val="single" w:sz="4" w:space="0" w:color="auto"/>
              <w:right w:val="single" w:sz="4" w:space="0" w:color="auto"/>
            </w:tcBorders>
            <w:vAlign w:val="bottom"/>
          </w:tcPr>
          <w:p w:rsidR="003A564A" w:rsidRDefault="003A564A" w:rsidP="003A564A">
            <w:pPr>
              <w:pStyle w:val="IASBTableArial"/>
            </w:pPr>
            <w:r>
              <w:rPr>
                <w:u w:val="single"/>
              </w:rPr>
              <w:t>At the end of Year 1, the entity expects that the revenue target will not be achieved by the end of Year 3. During Year 2, the entity’s revenue increased significantly and it expects that it will continue to grow. Consequently, at the end of Year 2, the entity expects that the revenue target will be achieved by the end of Year 3.</w:t>
            </w:r>
          </w:p>
        </w:tc>
      </w:tr>
      <w:tr w:rsidR="003A564A" w:rsidTr="003A564A">
        <w:trPr>
          <w:cantSplit/>
        </w:trPr>
        <w:tc>
          <w:tcPr>
            <w:tcW w:w="9208" w:type="dxa"/>
            <w:gridSpan w:val="5"/>
            <w:tcBorders>
              <w:top w:val="nil"/>
              <w:left w:val="single" w:sz="4" w:space="0" w:color="auto"/>
              <w:right w:val="single" w:sz="4" w:space="0" w:color="auto"/>
            </w:tcBorders>
            <w:vAlign w:val="bottom"/>
          </w:tcPr>
          <w:p w:rsidR="003A564A" w:rsidRDefault="003A564A" w:rsidP="003A564A">
            <w:pPr>
              <w:pStyle w:val="IASBTableArial"/>
            </w:pPr>
            <w:r>
              <w:rPr>
                <w:u w:val="single"/>
              </w:rPr>
              <w:t>At the end of Year 3, the revenue target is achieved and 150 employees exercise their SARs. Another 150 employees exercise their SARs at the end of Year 4 and the remaining 200 employees exercise their SARs at the end of Year 5.</w:t>
            </w:r>
          </w:p>
        </w:tc>
      </w:tr>
      <w:tr w:rsidR="003A564A" w:rsidTr="003A564A">
        <w:trPr>
          <w:cantSplit/>
        </w:trPr>
        <w:tc>
          <w:tcPr>
            <w:tcW w:w="9208" w:type="dxa"/>
            <w:gridSpan w:val="5"/>
            <w:tcBorders>
              <w:top w:val="nil"/>
              <w:left w:val="single" w:sz="4" w:space="0" w:color="auto"/>
              <w:right w:val="single" w:sz="4" w:space="0" w:color="auto"/>
            </w:tcBorders>
            <w:vAlign w:val="bottom"/>
          </w:tcPr>
          <w:p w:rsidR="003A564A" w:rsidRDefault="003A564A" w:rsidP="003A564A">
            <w:pPr>
              <w:pStyle w:val="IASBTableArial"/>
            </w:pPr>
            <w:r>
              <w:rPr>
                <w:u w:val="single"/>
              </w:rPr>
              <w:t>Using an option pricing model, the entity estimates the fair value of the SARs, ignoring the revenue target performance condition and the employment-service condition, at the end of each year until all of the cash-settled share-based payments are settled. At the end of Year 3, all of the SARs vest. The following table shows the estimated fair value of the SARs at the end of each year and the intrinsic values of the SARs at the date of exercise (which equals the cash paid out).</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u w:val="single"/>
              </w:rPr>
              <w:t>Year</w:t>
            </w:r>
          </w:p>
        </w:tc>
        <w:tc>
          <w:tcPr>
            <w:tcW w:w="409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Fair value of one SAR</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Intrinsic value of one SAR</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u w:val="single"/>
              </w:rPr>
              <w:t>1</w:t>
            </w:r>
          </w:p>
        </w:tc>
        <w:tc>
          <w:tcPr>
            <w:tcW w:w="409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CU14.40</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u w:val="single"/>
              </w:rPr>
              <w:t>2</w:t>
            </w:r>
          </w:p>
        </w:tc>
        <w:tc>
          <w:tcPr>
            <w:tcW w:w="409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CU15.50</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u w:val="single"/>
              </w:rPr>
              <w:t>3</w:t>
            </w:r>
          </w:p>
        </w:tc>
        <w:tc>
          <w:tcPr>
            <w:tcW w:w="409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CU18.20</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CU15.00</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u w:val="single"/>
              </w:rPr>
              <w:lastRenderedPageBreak/>
              <w:t>4</w:t>
            </w:r>
          </w:p>
        </w:tc>
        <w:tc>
          <w:tcPr>
            <w:tcW w:w="409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CU21.40</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CU20.00</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u w:val="single"/>
              </w:rPr>
              <w:t>5</w:t>
            </w:r>
          </w:p>
        </w:tc>
        <w:tc>
          <w:tcPr>
            <w:tcW w:w="409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CU25.00</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CU25.00</w:t>
            </w:r>
          </w:p>
        </w:tc>
      </w:tr>
      <w:tr w:rsidR="003A564A" w:rsidTr="003A564A">
        <w:trPr>
          <w:cantSplit/>
        </w:trPr>
        <w:tc>
          <w:tcPr>
            <w:tcW w:w="5113" w:type="dxa"/>
            <w:gridSpan w:val="2"/>
            <w:tcBorders>
              <w:top w:val="nil"/>
              <w:left w:val="single" w:sz="4" w:space="0" w:color="auto"/>
            </w:tcBorders>
          </w:tcPr>
          <w:p w:rsidR="003A564A" w:rsidRDefault="003A564A" w:rsidP="003A564A">
            <w:pPr>
              <w:pStyle w:val="IASBTableArial"/>
            </w:pPr>
            <w:r>
              <w:rPr>
                <w:b/>
                <w:u w:val="single"/>
              </w:rPr>
              <w:t>Application of requirements</w:t>
            </w: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tcPr>
          <w:p w:rsidR="003A564A" w:rsidRDefault="003A564A" w:rsidP="003A564A">
            <w:pPr>
              <w:pStyle w:val="IASBTableArial"/>
              <w:jc w:val="right"/>
            </w:pPr>
            <w:r>
              <w:rPr>
                <w:u w:val="single"/>
              </w:rPr>
              <w:t>Number of employees expected to satisfy the service condition</w:t>
            </w:r>
          </w:p>
        </w:tc>
        <w:tc>
          <w:tcPr>
            <w:tcW w:w="1365" w:type="dxa"/>
            <w:tcBorders>
              <w:top w:val="nil"/>
              <w:left w:val="nil"/>
              <w:right w:val="single" w:sz="4" w:space="0" w:color="auto"/>
            </w:tcBorders>
          </w:tcPr>
          <w:p w:rsidR="003A564A" w:rsidRDefault="003A564A" w:rsidP="003A564A">
            <w:pPr>
              <w:pStyle w:val="IASBTableArial"/>
              <w:jc w:val="right"/>
            </w:pPr>
            <w:r>
              <w:rPr>
                <w:u w:val="single"/>
              </w:rPr>
              <w:t>Best estimate of whether the revenue target will be met</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u w:val="single"/>
              </w:rPr>
              <w:t>Year 1</w:t>
            </w:r>
          </w:p>
        </w:tc>
        <w:tc>
          <w:tcPr>
            <w:tcW w:w="409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500</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No</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u w:val="single"/>
              </w:rPr>
              <w:t>Year 2</w:t>
            </w:r>
          </w:p>
        </w:tc>
        <w:tc>
          <w:tcPr>
            <w:tcW w:w="409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500</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Yes</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u w:val="single"/>
              </w:rPr>
              <w:t>Year 3</w:t>
            </w:r>
          </w:p>
        </w:tc>
        <w:tc>
          <w:tcPr>
            <w:tcW w:w="409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500</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Yes</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u w:val="single"/>
              </w:rPr>
              <w:t>Year</w:t>
            </w:r>
          </w:p>
        </w:tc>
        <w:tc>
          <w:tcPr>
            <w:tcW w:w="4095" w:type="dxa"/>
            <w:tcBorders>
              <w:top w:val="nil"/>
              <w:left w:val="nil"/>
            </w:tcBorders>
            <w:vAlign w:val="bottom"/>
          </w:tcPr>
          <w:p w:rsidR="003A564A" w:rsidRDefault="003A564A" w:rsidP="003A564A">
            <w:pPr>
              <w:pStyle w:val="IASBTableArial"/>
            </w:pPr>
            <w:r>
              <w:rPr>
                <w:u w:val="single"/>
              </w:rPr>
              <w:t>Calculation</w:t>
            </w: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Expense</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Liability</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p>
        </w:tc>
        <w:tc>
          <w:tcPr>
            <w:tcW w:w="409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pPr>
          </w:p>
        </w:tc>
        <w:tc>
          <w:tcPr>
            <w:tcW w:w="1365" w:type="dxa"/>
            <w:tcBorders>
              <w:top w:val="nil"/>
              <w:left w:val="nil"/>
            </w:tcBorders>
            <w:vAlign w:val="bottom"/>
          </w:tcPr>
          <w:p w:rsidR="003A564A" w:rsidRDefault="003A564A" w:rsidP="003A564A">
            <w:pPr>
              <w:pStyle w:val="IASBTableArial"/>
              <w:jc w:val="right"/>
            </w:pPr>
            <w:r>
              <w:rPr>
                <w:u w:val="single"/>
              </w:rPr>
              <w:t>CU</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CU</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1</w:t>
            </w:r>
          </w:p>
        </w:tc>
        <w:tc>
          <w:tcPr>
            <w:tcW w:w="4095" w:type="dxa"/>
            <w:tcBorders>
              <w:top w:val="nil"/>
              <w:left w:val="nil"/>
            </w:tcBorders>
            <w:vAlign w:val="bottom"/>
          </w:tcPr>
          <w:p w:rsidR="003A564A" w:rsidRDefault="003A564A" w:rsidP="003A564A">
            <w:pPr>
              <w:pStyle w:val="IASBTableArial"/>
            </w:pPr>
            <w:r>
              <w:rPr>
                <w:u w:val="single"/>
              </w:rPr>
              <w:t>SARs are not expected to vest: no expense is recognised</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2</w:t>
            </w:r>
          </w:p>
        </w:tc>
        <w:tc>
          <w:tcPr>
            <w:tcW w:w="4095" w:type="dxa"/>
            <w:tcBorders>
              <w:top w:val="nil"/>
              <w:left w:val="nil"/>
            </w:tcBorders>
            <w:vAlign w:val="bottom"/>
          </w:tcPr>
          <w:p w:rsidR="003A564A" w:rsidRDefault="003A564A" w:rsidP="003A564A">
            <w:pPr>
              <w:pStyle w:val="IASBTableArial"/>
            </w:pPr>
            <w:r>
              <w:rPr>
                <w:u w:val="single"/>
              </w:rPr>
              <w:t>SARs are expected to vest: 500 employees × 100 SARs × CU15.50 × 2⁄3</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tcBorders>
            <w:vAlign w:val="bottom"/>
          </w:tcPr>
          <w:p w:rsidR="003A564A" w:rsidRDefault="003A564A" w:rsidP="003A564A">
            <w:pPr>
              <w:pStyle w:val="IASBTableArial"/>
              <w:jc w:val="right"/>
            </w:pPr>
            <w:r>
              <w:rPr>
                <w:u w:val="single"/>
              </w:rPr>
              <w:t>516,667</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516,667</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3</w:t>
            </w:r>
          </w:p>
        </w:tc>
        <w:tc>
          <w:tcPr>
            <w:tcW w:w="4095" w:type="dxa"/>
            <w:tcBorders>
              <w:top w:val="nil"/>
              <w:left w:val="nil"/>
            </w:tcBorders>
            <w:vAlign w:val="bottom"/>
          </w:tcPr>
          <w:p w:rsidR="003A564A" w:rsidRDefault="003A564A" w:rsidP="003A564A">
            <w:pPr>
              <w:pStyle w:val="IASBTableArial"/>
            </w:pPr>
            <w:r>
              <w:rPr>
                <w:u w:val="single"/>
              </w:rPr>
              <w:t>(500–150) employees × 100 SARs × CU18.20 x 3⁄3–CU516,667</w:t>
            </w:r>
          </w:p>
        </w:tc>
        <w:tc>
          <w:tcPr>
            <w:tcW w:w="1365" w:type="dxa"/>
            <w:tcBorders>
              <w:top w:val="nil"/>
              <w:left w:val="nil"/>
            </w:tcBorders>
            <w:vAlign w:val="bottom"/>
          </w:tcPr>
          <w:p w:rsidR="003A564A" w:rsidRDefault="003A564A" w:rsidP="003A564A">
            <w:pPr>
              <w:pStyle w:val="IASBTableArial"/>
              <w:jc w:val="right"/>
            </w:pPr>
            <w:r>
              <w:rPr>
                <w:u w:val="single"/>
              </w:rPr>
              <w:t>120,333</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637,000</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p>
        </w:tc>
        <w:tc>
          <w:tcPr>
            <w:tcW w:w="4095" w:type="dxa"/>
            <w:tcBorders>
              <w:top w:val="nil"/>
              <w:left w:val="nil"/>
            </w:tcBorders>
            <w:vAlign w:val="bottom"/>
          </w:tcPr>
          <w:p w:rsidR="003A564A" w:rsidRDefault="003A564A" w:rsidP="003A564A">
            <w:pPr>
              <w:pStyle w:val="IASBTableArial"/>
            </w:pPr>
            <w:r>
              <w:rPr>
                <w:u w:val="single"/>
              </w:rPr>
              <w:t>+ 150 employees × 100 SARs × CU15.00</w:t>
            </w:r>
          </w:p>
        </w:tc>
        <w:tc>
          <w:tcPr>
            <w:tcW w:w="1365" w:type="dxa"/>
            <w:tcBorders>
              <w:top w:val="nil"/>
              <w:left w:val="nil"/>
              <w:bottom w:val="single" w:sz="4" w:space="0" w:color="auto"/>
            </w:tcBorders>
            <w:vAlign w:val="bottom"/>
          </w:tcPr>
          <w:p w:rsidR="003A564A" w:rsidRDefault="003A564A" w:rsidP="003A564A">
            <w:pPr>
              <w:pStyle w:val="IASBTableArial"/>
              <w:jc w:val="right"/>
            </w:pPr>
            <w:r>
              <w:rPr>
                <w:u w:val="single"/>
              </w:rPr>
              <w:t>225,000</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p>
        </w:tc>
        <w:tc>
          <w:tcPr>
            <w:tcW w:w="4095" w:type="dxa"/>
            <w:tcBorders>
              <w:top w:val="nil"/>
              <w:left w:val="nil"/>
            </w:tcBorders>
            <w:vAlign w:val="bottom"/>
          </w:tcPr>
          <w:p w:rsidR="003A564A" w:rsidRDefault="003A564A" w:rsidP="003A564A">
            <w:pPr>
              <w:pStyle w:val="IASBTableArial"/>
            </w:pPr>
            <w:r>
              <w:rPr>
                <w:u w:val="single"/>
              </w:rPr>
              <w:t>Total</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tcBorders>
            <w:vAlign w:val="bottom"/>
          </w:tcPr>
          <w:p w:rsidR="003A564A" w:rsidRDefault="003A564A" w:rsidP="003A564A">
            <w:pPr>
              <w:pStyle w:val="IASBTableArial"/>
              <w:jc w:val="right"/>
            </w:pPr>
            <w:r>
              <w:rPr>
                <w:u w:val="single"/>
              </w:rPr>
              <w:t>345,333</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4</w:t>
            </w:r>
          </w:p>
        </w:tc>
        <w:tc>
          <w:tcPr>
            <w:tcW w:w="4095" w:type="dxa"/>
            <w:tcBorders>
              <w:top w:val="nil"/>
              <w:left w:val="nil"/>
            </w:tcBorders>
            <w:vAlign w:val="bottom"/>
          </w:tcPr>
          <w:p w:rsidR="003A564A" w:rsidRDefault="003A564A" w:rsidP="003A564A">
            <w:pPr>
              <w:pStyle w:val="IASBTableArial"/>
            </w:pPr>
            <w:r>
              <w:rPr>
                <w:u w:val="single"/>
              </w:rPr>
              <w:t>(350–150) employees × 100 SARs × CU21.40–CU637,000</w:t>
            </w:r>
          </w:p>
        </w:tc>
        <w:tc>
          <w:tcPr>
            <w:tcW w:w="1365" w:type="dxa"/>
            <w:tcBorders>
              <w:top w:val="nil"/>
              <w:left w:val="nil"/>
            </w:tcBorders>
            <w:vAlign w:val="bottom"/>
          </w:tcPr>
          <w:p w:rsidR="003A564A" w:rsidRDefault="003A564A" w:rsidP="003A564A">
            <w:pPr>
              <w:pStyle w:val="IASBTableArial"/>
              <w:jc w:val="right"/>
            </w:pPr>
            <w:r>
              <w:rPr>
                <w:u w:val="single"/>
              </w:rPr>
              <w:t>(209,000)</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428,000</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p>
        </w:tc>
        <w:tc>
          <w:tcPr>
            <w:tcW w:w="4095" w:type="dxa"/>
            <w:tcBorders>
              <w:top w:val="nil"/>
              <w:left w:val="nil"/>
            </w:tcBorders>
            <w:vAlign w:val="bottom"/>
          </w:tcPr>
          <w:p w:rsidR="003A564A" w:rsidRDefault="003A564A" w:rsidP="003A564A">
            <w:pPr>
              <w:pStyle w:val="IASBTableArial"/>
            </w:pPr>
            <w:r>
              <w:rPr>
                <w:u w:val="single"/>
              </w:rPr>
              <w:t>+ 150 employees × 100 SARs × CU20.00</w:t>
            </w:r>
          </w:p>
        </w:tc>
        <w:tc>
          <w:tcPr>
            <w:tcW w:w="1365" w:type="dxa"/>
            <w:tcBorders>
              <w:top w:val="nil"/>
              <w:left w:val="nil"/>
              <w:bottom w:val="single" w:sz="4" w:space="0" w:color="auto"/>
            </w:tcBorders>
            <w:vAlign w:val="bottom"/>
          </w:tcPr>
          <w:p w:rsidR="003A564A" w:rsidRDefault="003A564A" w:rsidP="003A564A">
            <w:pPr>
              <w:pStyle w:val="IASBTableArial"/>
              <w:jc w:val="right"/>
            </w:pPr>
            <w:r>
              <w:rPr>
                <w:u w:val="single"/>
              </w:rPr>
              <w:t>300,000</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p>
        </w:tc>
        <w:tc>
          <w:tcPr>
            <w:tcW w:w="4095" w:type="dxa"/>
            <w:tcBorders>
              <w:top w:val="nil"/>
              <w:left w:val="nil"/>
            </w:tcBorders>
            <w:vAlign w:val="bottom"/>
          </w:tcPr>
          <w:p w:rsidR="003A564A" w:rsidRDefault="003A564A" w:rsidP="003A564A">
            <w:pPr>
              <w:pStyle w:val="IASBTableArial"/>
            </w:pPr>
            <w:r>
              <w:rPr>
                <w:u w:val="single"/>
              </w:rPr>
              <w:t>Total</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tcBorders>
            <w:vAlign w:val="bottom"/>
          </w:tcPr>
          <w:p w:rsidR="003A564A" w:rsidRDefault="003A564A" w:rsidP="003A564A">
            <w:pPr>
              <w:pStyle w:val="IASBTableArial"/>
              <w:jc w:val="right"/>
            </w:pPr>
            <w:r>
              <w:rPr>
                <w:u w:val="single"/>
              </w:rPr>
              <w:t>91,000</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5</w:t>
            </w:r>
          </w:p>
        </w:tc>
        <w:tc>
          <w:tcPr>
            <w:tcW w:w="4095" w:type="dxa"/>
            <w:tcBorders>
              <w:top w:val="nil"/>
              <w:left w:val="nil"/>
            </w:tcBorders>
            <w:vAlign w:val="bottom"/>
          </w:tcPr>
          <w:p w:rsidR="003A564A" w:rsidRDefault="003A564A" w:rsidP="003A564A">
            <w:pPr>
              <w:pStyle w:val="IASBTableArial"/>
            </w:pPr>
            <w:r>
              <w:rPr>
                <w:u w:val="single"/>
              </w:rPr>
              <w:t>(200–200) employees × 100 SARs × CU25.00–CU428,000</w:t>
            </w:r>
          </w:p>
        </w:tc>
        <w:tc>
          <w:tcPr>
            <w:tcW w:w="1365" w:type="dxa"/>
            <w:tcBorders>
              <w:top w:val="nil"/>
              <w:left w:val="nil"/>
            </w:tcBorders>
            <w:vAlign w:val="bottom"/>
          </w:tcPr>
          <w:p w:rsidR="003A564A" w:rsidRDefault="003A564A" w:rsidP="003A564A">
            <w:pPr>
              <w:pStyle w:val="IASBTableArial"/>
              <w:jc w:val="right"/>
            </w:pPr>
            <w:r>
              <w:rPr>
                <w:u w:val="single"/>
              </w:rPr>
              <w:t>(428,000)</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p>
        </w:tc>
        <w:tc>
          <w:tcPr>
            <w:tcW w:w="4095" w:type="dxa"/>
            <w:tcBorders>
              <w:top w:val="nil"/>
              <w:left w:val="nil"/>
            </w:tcBorders>
            <w:vAlign w:val="bottom"/>
          </w:tcPr>
          <w:p w:rsidR="003A564A" w:rsidRDefault="003A564A" w:rsidP="003A564A">
            <w:pPr>
              <w:pStyle w:val="IASBTableArial"/>
            </w:pPr>
            <w:r>
              <w:rPr>
                <w:u w:val="single"/>
              </w:rPr>
              <w:t>+ 200 employees × 100 SARs × CU25.00</w:t>
            </w:r>
          </w:p>
        </w:tc>
        <w:tc>
          <w:tcPr>
            <w:tcW w:w="1365" w:type="dxa"/>
            <w:tcBorders>
              <w:top w:val="nil"/>
              <w:left w:val="nil"/>
              <w:bottom w:val="single" w:sz="4" w:space="0" w:color="auto"/>
            </w:tcBorders>
            <w:vAlign w:val="bottom"/>
          </w:tcPr>
          <w:p w:rsidR="003A564A" w:rsidRDefault="003A564A" w:rsidP="003A564A">
            <w:pPr>
              <w:pStyle w:val="IASBTableArial"/>
              <w:jc w:val="right"/>
            </w:pPr>
            <w:r>
              <w:rPr>
                <w:u w:val="single"/>
              </w:rPr>
              <w:t>500,000</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p>
        </w:tc>
        <w:tc>
          <w:tcPr>
            <w:tcW w:w="4095" w:type="dxa"/>
            <w:tcBorders>
              <w:top w:val="nil"/>
              <w:left w:val="nil"/>
            </w:tcBorders>
            <w:vAlign w:val="bottom"/>
          </w:tcPr>
          <w:p w:rsidR="003A564A" w:rsidRDefault="003A564A" w:rsidP="003A564A">
            <w:pPr>
              <w:pStyle w:val="IASBTableArial"/>
            </w:pPr>
            <w:r>
              <w:rPr>
                <w:u w:val="single"/>
              </w:rPr>
              <w:t>Total</w:t>
            </w:r>
          </w:p>
        </w:tc>
        <w:tc>
          <w:tcPr>
            <w:tcW w:w="1365" w:type="dxa"/>
            <w:tcBorders>
              <w:top w:val="nil"/>
              <w:left w:val="nil"/>
            </w:tcBorders>
            <w:vAlign w:val="bottom"/>
          </w:tcPr>
          <w:p w:rsidR="003A564A" w:rsidRDefault="003A564A" w:rsidP="003A564A">
            <w:pPr>
              <w:pStyle w:val="IASBTableArial"/>
              <w:jc w:val="right"/>
            </w:pPr>
            <w:r>
              <w:rPr>
                <w:u w:val="single"/>
              </w:rPr>
              <w:t>–</w:t>
            </w:r>
          </w:p>
        </w:tc>
        <w:tc>
          <w:tcPr>
            <w:tcW w:w="1365" w:type="dxa"/>
            <w:tcBorders>
              <w:top w:val="nil"/>
              <w:left w:val="nil"/>
              <w:bottom w:val="single" w:sz="4" w:space="0" w:color="auto"/>
            </w:tcBorders>
            <w:vAlign w:val="bottom"/>
          </w:tcPr>
          <w:p w:rsidR="003A564A" w:rsidRDefault="003A564A" w:rsidP="003A564A">
            <w:pPr>
              <w:pStyle w:val="IASBTableArial"/>
              <w:jc w:val="right"/>
            </w:pPr>
            <w:r>
              <w:rPr>
                <w:u w:val="single"/>
              </w:rPr>
              <w:t>72,000</w:t>
            </w:r>
          </w:p>
        </w:tc>
        <w:tc>
          <w:tcPr>
            <w:tcW w:w="1365" w:type="dxa"/>
            <w:tcBorders>
              <w:top w:val="nil"/>
              <w:left w:val="nil"/>
              <w:right w:val="single" w:sz="4" w:space="0" w:color="auto"/>
            </w:tcBorders>
            <w:vAlign w:val="bottom"/>
          </w:tcPr>
          <w:p w:rsidR="003A564A" w:rsidRDefault="003A564A" w:rsidP="003A564A">
            <w:pPr>
              <w:pStyle w:val="IASBTableArial"/>
              <w:jc w:val="right"/>
            </w:pPr>
            <w:r>
              <w:rPr>
                <w:u w:val="single"/>
              </w:rPr>
              <w:t>–</w:t>
            </w:r>
          </w:p>
        </w:tc>
      </w:tr>
      <w:tr w:rsidR="003A564A" w:rsidTr="003A564A">
        <w:trPr>
          <w:cantSplit/>
        </w:trPr>
        <w:tc>
          <w:tcPr>
            <w:tcW w:w="1018" w:type="dxa"/>
            <w:tcBorders>
              <w:top w:val="nil"/>
              <w:left w:val="single" w:sz="4" w:space="0" w:color="auto"/>
              <w:bottom w:val="single" w:sz="4" w:space="0" w:color="auto"/>
            </w:tcBorders>
            <w:vAlign w:val="bottom"/>
          </w:tcPr>
          <w:p w:rsidR="003A564A" w:rsidRDefault="003A564A" w:rsidP="003A564A">
            <w:pPr>
              <w:pStyle w:val="IASBTableArial"/>
            </w:pPr>
          </w:p>
        </w:tc>
        <w:tc>
          <w:tcPr>
            <w:tcW w:w="4095" w:type="dxa"/>
            <w:tcBorders>
              <w:top w:val="nil"/>
              <w:left w:val="nil"/>
              <w:bottom w:val="single" w:sz="4" w:space="0" w:color="auto"/>
            </w:tcBorders>
            <w:vAlign w:val="bottom"/>
          </w:tcPr>
          <w:p w:rsidR="003A564A" w:rsidRDefault="003A564A" w:rsidP="003A564A">
            <w:pPr>
              <w:pStyle w:val="IASBTableArial"/>
            </w:pPr>
            <w:r>
              <w:rPr>
                <w:u w:val="single"/>
              </w:rPr>
              <w:t>Total</w:t>
            </w:r>
          </w:p>
        </w:tc>
        <w:tc>
          <w:tcPr>
            <w:tcW w:w="1365" w:type="dxa"/>
            <w:tcBorders>
              <w:top w:val="nil"/>
              <w:left w:val="nil"/>
              <w:bottom w:val="single" w:sz="4" w:space="0" w:color="auto"/>
            </w:tcBorders>
            <w:vAlign w:val="bottom"/>
          </w:tcPr>
          <w:p w:rsidR="003A564A" w:rsidRDefault="003A564A" w:rsidP="003A564A">
            <w:pPr>
              <w:pStyle w:val="IASBTableArial"/>
              <w:jc w:val="right"/>
            </w:pPr>
            <w:r>
              <w:rPr>
                <w:u w:val="single"/>
              </w:rPr>
              <w:t>–</w:t>
            </w:r>
          </w:p>
        </w:tc>
        <w:tc>
          <w:tcPr>
            <w:tcW w:w="1365" w:type="dxa"/>
            <w:tcBorders>
              <w:top w:val="nil"/>
              <w:left w:val="nil"/>
              <w:bottom w:val="single" w:sz="4" w:space="0" w:color="auto"/>
            </w:tcBorders>
            <w:vAlign w:val="bottom"/>
          </w:tcPr>
          <w:p w:rsidR="003A564A" w:rsidRDefault="003A564A" w:rsidP="003A564A">
            <w:pPr>
              <w:pStyle w:val="IASBTableArial"/>
              <w:jc w:val="right"/>
            </w:pPr>
            <w:r>
              <w:rPr>
                <w:u w:val="single"/>
              </w:rPr>
              <w:t>1,025,000</w:t>
            </w:r>
          </w:p>
        </w:tc>
        <w:tc>
          <w:tcPr>
            <w:tcW w:w="1365" w:type="dxa"/>
            <w:tcBorders>
              <w:top w:val="nil"/>
              <w:left w:val="nil"/>
              <w:bottom w:val="single" w:sz="4" w:space="0" w:color="auto"/>
              <w:right w:val="single" w:sz="4" w:space="0" w:color="auto"/>
            </w:tcBorders>
            <w:vAlign w:val="bottom"/>
          </w:tcPr>
          <w:p w:rsidR="003A564A" w:rsidRDefault="003A564A" w:rsidP="003A564A">
            <w:pPr>
              <w:pStyle w:val="IASBTableArial"/>
              <w:jc w:val="right"/>
            </w:pPr>
            <w:r>
              <w:rPr>
                <w:u w:val="single"/>
              </w:rPr>
              <w:t>–</w:t>
            </w:r>
          </w:p>
        </w:tc>
      </w:tr>
    </w:tbl>
    <w:p w:rsidR="003A564A" w:rsidRDefault="003A564A" w:rsidP="003A564A">
      <w:pPr>
        <w:pStyle w:val="IASBNormalnpara"/>
      </w:pPr>
    </w:p>
    <w:p w:rsidR="003A564A" w:rsidRDefault="003A564A" w:rsidP="003A564A">
      <w:pPr>
        <w:pStyle w:val="IASBSectionTitle2Ind"/>
      </w:pPr>
      <w:bookmarkStart w:id="63" w:name="F49527552"/>
      <w:r>
        <w:rPr>
          <w:u w:val="single"/>
        </w:rPr>
        <w:t>Share-based payment transactions with a net settlement feature for withholding tax obligations</w:t>
      </w:r>
      <w:bookmarkEnd w:id="63"/>
    </w:p>
    <w:p w:rsidR="003A564A" w:rsidRDefault="003A564A" w:rsidP="003A564A">
      <w:pPr>
        <w:pStyle w:val="IASBNormalnpara"/>
      </w:pPr>
      <w:r>
        <w:rPr>
          <w:u w:val="single"/>
        </w:rPr>
        <w:t>IG19A</w:t>
      </w:r>
      <w:bookmarkStart w:id="64" w:name="F49527553"/>
      <w:r>
        <w:tab/>
      </w:r>
      <w:r>
        <w:rPr>
          <w:u w:val="single"/>
        </w:rPr>
        <w:t>Paragraphs 33E and 33F require an entity to classify an arrangement in its entirety as an equity-settled share-based payment transaction if it would have been so classified in the absence of a net settlement feature that obliges the entity to withhold an amount for an employee’s tax obligation associated with a share-based payment. The entity transfers that amount, normally in cash, to the tax authority on the employee’s behalf. Example 12B illustrates these requirements.</w:t>
      </w:r>
      <w:bookmarkEnd w:id="64"/>
    </w:p>
    <w:p w:rsidR="003A564A" w:rsidRDefault="003A564A" w:rsidP="003A564A">
      <w:pPr>
        <w:spacing w:after="200" w:line="276" w:lineRule="auto"/>
        <w:rPr>
          <w:lang w:val="en-US"/>
        </w:rPr>
      </w:pPr>
      <w:r>
        <w:br w:type="page"/>
      </w:r>
    </w:p>
    <w:p w:rsidR="003A564A" w:rsidRDefault="003A564A" w:rsidP="003A564A">
      <w:pPr>
        <w:pStyle w:val="IASBNormalnpara"/>
      </w:pPr>
    </w:p>
    <w:tbl>
      <w:tblPr>
        <w:tblW w:w="0" w:type="auto"/>
        <w:tblLayout w:type="fixed"/>
        <w:tblLook w:val="0000" w:firstRow="0" w:lastRow="0" w:firstColumn="0" w:lastColumn="0" w:noHBand="0" w:noVBand="0"/>
        <w:tblCaption w:val="IG example 12B"/>
      </w:tblPr>
      <w:tblGrid>
        <w:gridCol w:w="1473"/>
        <w:gridCol w:w="1183"/>
        <w:gridCol w:w="571"/>
        <w:gridCol w:w="2523"/>
        <w:gridCol w:w="1092"/>
        <w:gridCol w:w="1092"/>
        <w:gridCol w:w="1246"/>
      </w:tblGrid>
      <w:tr w:rsidR="003A564A" w:rsidTr="00454764">
        <w:trPr>
          <w:cantSplit/>
          <w:tblHeader/>
        </w:trPr>
        <w:tc>
          <w:tcPr>
            <w:tcW w:w="9180" w:type="dxa"/>
            <w:gridSpan w:val="7"/>
            <w:tcBorders>
              <w:top w:val="single" w:sz="4" w:space="0" w:color="auto"/>
              <w:left w:val="single" w:sz="4" w:space="0" w:color="auto"/>
              <w:bottom w:val="single" w:sz="4" w:space="0" w:color="auto"/>
              <w:right w:val="single" w:sz="4" w:space="0" w:color="auto"/>
            </w:tcBorders>
            <w:vAlign w:val="bottom"/>
          </w:tcPr>
          <w:p w:rsidR="003A564A" w:rsidRDefault="003A564A" w:rsidP="003A564A">
            <w:pPr>
              <w:pStyle w:val="IASBTableHeaderArial"/>
            </w:pPr>
            <w:r>
              <w:rPr>
                <w:b/>
                <w:u w:val="single"/>
              </w:rPr>
              <w:t>IG Example 12B</w:t>
            </w:r>
          </w:p>
        </w:tc>
      </w:tr>
      <w:tr w:rsidR="003A564A" w:rsidTr="00454764">
        <w:trPr>
          <w:cantSplit/>
        </w:trPr>
        <w:tc>
          <w:tcPr>
            <w:tcW w:w="9180" w:type="dxa"/>
            <w:gridSpan w:val="7"/>
            <w:tcBorders>
              <w:top w:val="single" w:sz="4" w:space="0" w:color="auto"/>
              <w:left w:val="single" w:sz="4" w:space="0" w:color="auto"/>
              <w:right w:val="single" w:sz="4" w:space="0" w:color="auto"/>
            </w:tcBorders>
            <w:vAlign w:val="bottom"/>
          </w:tcPr>
          <w:p w:rsidR="003A564A" w:rsidRDefault="003A564A" w:rsidP="003A564A">
            <w:pPr>
              <w:pStyle w:val="IASBTableArial"/>
            </w:pPr>
            <w:r>
              <w:rPr>
                <w:b/>
                <w:u w:val="single"/>
              </w:rPr>
              <w:t>Background</w:t>
            </w:r>
          </w:p>
        </w:tc>
      </w:tr>
      <w:tr w:rsidR="003A564A" w:rsidTr="003A564A">
        <w:trPr>
          <w:cantSplit/>
        </w:trPr>
        <w:tc>
          <w:tcPr>
            <w:tcW w:w="9180" w:type="dxa"/>
            <w:gridSpan w:val="7"/>
            <w:tcBorders>
              <w:top w:val="nil"/>
              <w:left w:val="single" w:sz="4" w:space="0" w:color="auto"/>
              <w:right w:val="single" w:sz="4" w:space="0" w:color="auto"/>
            </w:tcBorders>
            <w:vAlign w:val="bottom"/>
          </w:tcPr>
          <w:p w:rsidR="003A564A" w:rsidRDefault="003A564A" w:rsidP="003A564A">
            <w:pPr>
              <w:pStyle w:val="IASBTableArial"/>
            </w:pPr>
            <w:r>
              <w:rPr>
                <w:u w:val="single"/>
              </w:rPr>
              <w:t>The tax law in jurisdiction X requires entities to withhold an amount for an employee’s tax obligation associated with a share-based payment and transfer that amount in cash to the tax authority on the employee’s behalf.</w:t>
            </w:r>
          </w:p>
        </w:tc>
      </w:tr>
      <w:tr w:rsidR="003A564A" w:rsidTr="003A564A">
        <w:trPr>
          <w:cantSplit/>
        </w:trPr>
        <w:tc>
          <w:tcPr>
            <w:tcW w:w="9180" w:type="dxa"/>
            <w:gridSpan w:val="7"/>
            <w:tcBorders>
              <w:top w:val="nil"/>
              <w:left w:val="single" w:sz="4" w:space="0" w:color="auto"/>
              <w:right w:val="single" w:sz="4" w:space="0" w:color="auto"/>
            </w:tcBorders>
            <w:vAlign w:val="bottom"/>
          </w:tcPr>
          <w:p w:rsidR="003A564A" w:rsidRDefault="003A564A" w:rsidP="003A564A">
            <w:pPr>
              <w:pStyle w:val="IASBTableArial"/>
            </w:pPr>
            <w:r>
              <w:rPr>
                <w:u w:val="single"/>
              </w:rPr>
              <w:t>On 1 January 20X1 an entity in jurisdiction X grants an award of 100 shares to an employee; that award is conditional upon the completion of four years’ service. The entity expects that the employee will complete the service period. For simplicity, this example assumes that none of the employee’s compensation qualifies for capitalisation as part of the cost of an asset.</w:t>
            </w:r>
          </w:p>
        </w:tc>
      </w:tr>
      <w:tr w:rsidR="003A564A" w:rsidTr="003A564A">
        <w:trPr>
          <w:cantSplit/>
        </w:trPr>
        <w:tc>
          <w:tcPr>
            <w:tcW w:w="9180" w:type="dxa"/>
            <w:gridSpan w:val="7"/>
            <w:tcBorders>
              <w:top w:val="nil"/>
              <w:left w:val="single" w:sz="4" w:space="0" w:color="auto"/>
              <w:right w:val="single" w:sz="4" w:space="0" w:color="auto"/>
            </w:tcBorders>
            <w:vAlign w:val="bottom"/>
          </w:tcPr>
          <w:p w:rsidR="003A564A" w:rsidRDefault="003A564A" w:rsidP="003A564A">
            <w:pPr>
              <w:pStyle w:val="IASBTableArial"/>
            </w:pPr>
            <w:r>
              <w:rPr>
                <w:u w:val="single"/>
              </w:rPr>
              <w:t>The terms and conditions of the share-based payment arrangement require the entity to withhold shares from the settlement of the award to its employee in order to settle the employee’s tax obligation (that is, the share-based payment arrangement has a ‘net settlement feature’). Accordingly, the entity settles the transaction on a net basis by withholding the number of shares with a fair value equal to the monetary value of the employee’s tax obligation and issuing the remaining shares to the employee on completion of the vesting period.</w:t>
            </w:r>
          </w:p>
        </w:tc>
      </w:tr>
      <w:tr w:rsidR="003A564A" w:rsidTr="003A564A">
        <w:trPr>
          <w:cantSplit/>
        </w:trPr>
        <w:tc>
          <w:tcPr>
            <w:tcW w:w="9180" w:type="dxa"/>
            <w:gridSpan w:val="7"/>
            <w:tcBorders>
              <w:top w:val="nil"/>
              <w:left w:val="single" w:sz="4" w:space="0" w:color="auto"/>
              <w:right w:val="single" w:sz="4" w:space="0" w:color="auto"/>
            </w:tcBorders>
            <w:vAlign w:val="bottom"/>
          </w:tcPr>
          <w:p w:rsidR="003A564A" w:rsidRDefault="003A564A" w:rsidP="003A564A">
            <w:pPr>
              <w:pStyle w:val="IASBTableArial"/>
            </w:pPr>
            <w:r>
              <w:rPr>
                <w:u w:val="single"/>
              </w:rPr>
              <w:t>The employee’s tax obligation associated with the award is calculated based on the fair value of the shares on the vesting date. The employee’s applicable tax rate is 40 per cent.</w:t>
            </w:r>
          </w:p>
        </w:tc>
      </w:tr>
      <w:tr w:rsidR="003A564A" w:rsidTr="003A564A">
        <w:trPr>
          <w:cantSplit/>
        </w:trPr>
        <w:tc>
          <w:tcPr>
            <w:tcW w:w="9180" w:type="dxa"/>
            <w:gridSpan w:val="7"/>
            <w:tcBorders>
              <w:top w:val="nil"/>
              <w:left w:val="single" w:sz="4" w:space="0" w:color="auto"/>
              <w:right w:val="single" w:sz="4" w:space="0" w:color="auto"/>
            </w:tcBorders>
            <w:vAlign w:val="bottom"/>
          </w:tcPr>
          <w:p w:rsidR="003A564A" w:rsidRDefault="003A564A" w:rsidP="003A564A">
            <w:pPr>
              <w:pStyle w:val="IASBTableArial"/>
            </w:pPr>
            <w:r>
              <w:rPr>
                <w:u w:val="single"/>
              </w:rPr>
              <w:t>At grant date, the fair value of each share is CU2. The fair value of each share at 31 December 20X4 is CU10.</w:t>
            </w:r>
          </w:p>
        </w:tc>
      </w:tr>
      <w:tr w:rsidR="003A564A" w:rsidTr="003A564A">
        <w:trPr>
          <w:cantSplit/>
        </w:trPr>
        <w:tc>
          <w:tcPr>
            <w:tcW w:w="9180" w:type="dxa"/>
            <w:gridSpan w:val="7"/>
            <w:tcBorders>
              <w:top w:val="nil"/>
              <w:left w:val="single" w:sz="4" w:space="0" w:color="auto"/>
              <w:right w:val="single" w:sz="4" w:space="0" w:color="auto"/>
            </w:tcBorders>
            <w:vAlign w:val="bottom"/>
          </w:tcPr>
          <w:p w:rsidR="003A564A" w:rsidRDefault="003A564A" w:rsidP="003A564A">
            <w:pPr>
              <w:pStyle w:val="IASBTableArial"/>
            </w:pPr>
            <w:r>
              <w:rPr>
                <w:u w:val="single"/>
              </w:rPr>
              <w:t>The fair value of the shares on the vesting date is CU1000 (100 shares × CU10 per share) and therefore the employee’s tax obligation is CU400 (100 shares × CU10 × 40%). Accordingly, on the vesting date, the entity issues 60 shares to the employee and withholds 40 shares (CU400 =40 shares × CU10 per share). The entity pays the fair value of the withheld shares in cash to the tax authority on the employee’s behalf. In other words, it is as if the entity had issued all 100 vested shares to the employee, and at the same time, repurchased 40 shares at their fair value.</w:t>
            </w:r>
          </w:p>
        </w:tc>
      </w:tr>
      <w:tr w:rsidR="003A564A" w:rsidTr="003A564A">
        <w:trPr>
          <w:cantSplit/>
        </w:trPr>
        <w:tc>
          <w:tcPr>
            <w:tcW w:w="5750" w:type="dxa"/>
            <w:gridSpan w:val="4"/>
            <w:tcBorders>
              <w:top w:val="nil"/>
              <w:left w:val="single" w:sz="4" w:space="0" w:color="auto"/>
            </w:tcBorders>
            <w:vAlign w:val="bottom"/>
          </w:tcPr>
          <w:p w:rsidR="003A564A" w:rsidRDefault="003A564A" w:rsidP="003A564A">
            <w:pPr>
              <w:pStyle w:val="IASBTableArial"/>
            </w:pPr>
            <w:r>
              <w:rPr>
                <w:b/>
                <w:u w:val="single"/>
              </w:rPr>
              <w:t>Application of requirements</w:t>
            </w:r>
          </w:p>
        </w:tc>
        <w:tc>
          <w:tcPr>
            <w:tcW w:w="1092"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jc w:val="right"/>
            </w:pPr>
          </w:p>
        </w:tc>
        <w:tc>
          <w:tcPr>
            <w:tcW w:w="1246" w:type="dxa"/>
            <w:tcBorders>
              <w:top w:val="nil"/>
              <w:left w:val="nil"/>
              <w:right w:val="single" w:sz="4" w:space="0" w:color="auto"/>
            </w:tcBorders>
            <w:vAlign w:val="bottom"/>
          </w:tcPr>
          <w:p w:rsidR="003A564A" w:rsidRDefault="003A564A" w:rsidP="003A564A">
            <w:pPr>
              <w:pStyle w:val="IASBTableArial"/>
              <w:jc w:val="right"/>
            </w:pP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p>
        </w:tc>
        <w:tc>
          <w:tcPr>
            <w:tcW w:w="1183" w:type="dxa"/>
            <w:tcBorders>
              <w:top w:val="nil"/>
              <w:left w:val="nil"/>
            </w:tcBorders>
            <w:vAlign w:val="bottom"/>
          </w:tcPr>
          <w:p w:rsidR="003A564A" w:rsidRDefault="003A564A" w:rsidP="003A564A">
            <w:pPr>
              <w:pStyle w:val="IASBTableArial"/>
            </w:pPr>
          </w:p>
        </w:tc>
        <w:tc>
          <w:tcPr>
            <w:tcW w:w="571" w:type="dxa"/>
            <w:tcBorders>
              <w:top w:val="nil"/>
              <w:left w:val="nil"/>
            </w:tcBorders>
            <w:vAlign w:val="bottom"/>
          </w:tcPr>
          <w:p w:rsidR="003A564A" w:rsidRDefault="003A564A" w:rsidP="003A564A">
            <w:pPr>
              <w:pStyle w:val="IASBTableArial"/>
            </w:pPr>
          </w:p>
        </w:tc>
        <w:tc>
          <w:tcPr>
            <w:tcW w:w="2523"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jc w:val="center"/>
            </w:pPr>
            <w:proofErr w:type="spellStart"/>
            <w:r>
              <w:rPr>
                <w:b/>
                <w:u w:val="single"/>
              </w:rPr>
              <w:t>Dr.</w:t>
            </w:r>
            <w:proofErr w:type="spellEnd"/>
          </w:p>
        </w:tc>
        <w:tc>
          <w:tcPr>
            <w:tcW w:w="1092" w:type="dxa"/>
            <w:tcBorders>
              <w:top w:val="nil"/>
              <w:left w:val="nil"/>
            </w:tcBorders>
            <w:vAlign w:val="bottom"/>
          </w:tcPr>
          <w:p w:rsidR="003A564A" w:rsidRDefault="003A564A" w:rsidP="003A564A">
            <w:pPr>
              <w:pStyle w:val="IASBTableArial"/>
              <w:jc w:val="center"/>
            </w:pPr>
            <w:r>
              <w:rPr>
                <w:b/>
                <w:u w:val="single"/>
              </w:rPr>
              <w:t>Cr.</w:t>
            </w:r>
          </w:p>
        </w:tc>
        <w:tc>
          <w:tcPr>
            <w:tcW w:w="1246" w:type="dxa"/>
            <w:tcBorders>
              <w:top w:val="nil"/>
              <w:left w:val="nil"/>
              <w:right w:val="single" w:sz="4" w:space="0" w:color="auto"/>
            </w:tcBorders>
            <w:vAlign w:val="bottom"/>
          </w:tcPr>
          <w:p w:rsidR="003A564A" w:rsidRDefault="003A564A" w:rsidP="003A564A">
            <w:pPr>
              <w:pStyle w:val="IASBTableArial"/>
              <w:jc w:val="center"/>
            </w:pPr>
            <w:r>
              <w:rPr>
                <w:b/>
                <w:u w:val="single"/>
              </w:rPr>
              <w:t>Cr.</w:t>
            </w: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p>
        </w:tc>
        <w:tc>
          <w:tcPr>
            <w:tcW w:w="1183" w:type="dxa"/>
            <w:tcBorders>
              <w:top w:val="nil"/>
              <w:left w:val="nil"/>
            </w:tcBorders>
            <w:vAlign w:val="bottom"/>
          </w:tcPr>
          <w:p w:rsidR="003A564A" w:rsidRDefault="003A564A" w:rsidP="003A564A">
            <w:pPr>
              <w:pStyle w:val="IASBTableArial"/>
            </w:pPr>
          </w:p>
        </w:tc>
        <w:tc>
          <w:tcPr>
            <w:tcW w:w="571" w:type="dxa"/>
            <w:tcBorders>
              <w:top w:val="nil"/>
              <w:left w:val="nil"/>
            </w:tcBorders>
            <w:vAlign w:val="bottom"/>
          </w:tcPr>
          <w:p w:rsidR="003A564A" w:rsidRDefault="003A564A" w:rsidP="003A564A">
            <w:pPr>
              <w:pStyle w:val="IASBTableArial"/>
            </w:pPr>
          </w:p>
        </w:tc>
        <w:tc>
          <w:tcPr>
            <w:tcW w:w="2523"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jc w:val="center"/>
            </w:pPr>
            <w:r>
              <w:rPr>
                <w:b/>
                <w:u w:val="single"/>
              </w:rPr>
              <w:t>Expense</w:t>
            </w:r>
          </w:p>
        </w:tc>
        <w:tc>
          <w:tcPr>
            <w:tcW w:w="1092" w:type="dxa"/>
            <w:tcBorders>
              <w:top w:val="nil"/>
              <w:left w:val="nil"/>
            </w:tcBorders>
            <w:vAlign w:val="bottom"/>
          </w:tcPr>
          <w:p w:rsidR="003A564A" w:rsidRDefault="003A564A" w:rsidP="003A564A">
            <w:pPr>
              <w:pStyle w:val="IASBTableArial"/>
              <w:jc w:val="center"/>
            </w:pPr>
            <w:r>
              <w:rPr>
                <w:b/>
                <w:u w:val="single"/>
              </w:rPr>
              <w:t>Equity</w:t>
            </w:r>
          </w:p>
        </w:tc>
        <w:tc>
          <w:tcPr>
            <w:tcW w:w="1246" w:type="dxa"/>
            <w:tcBorders>
              <w:top w:val="nil"/>
              <w:left w:val="nil"/>
              <w:right w:val="single" w:sz="4" w:space="0" w:color="auto"/>
            </w:tcBorders>
            <w:vAlign w:val="bottom"/>
          </w:tcPr>
          <w:p w:rsidR="003A564A" w:rsidRDefault="003A564A" w:rsidP="003A564A">
            <w:pPr>
              <w:pStyle w:val="IASBTableArial"/>
              <w:jc w:val="center"/>
            </w:pPr>
            <w:r>
              <w:rPr>
                <w:b/>
                <w:u w:val="single"/>
              </w:rPr>
              <w:t>Liability</w:t>
            </w: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r>
              <w:rPr>
                <w:b/>
                <w:u w:val="single"/>
              </w:rPr>
              <w:t>Year</w:t>
            </w:r>
          </w:p>
        </w:tc>
        <w:tc>
          <w:tcPr>
            <w:tcW w:w="4277" w:type="dxa"/>
            <w:gridSpan w:val="3"/>
            <w:tcBorders>
              <w:top w:val="nil"/>
              <w:left w:val="nil"/>
            </w:tcBorders>
            <w:vAlign w:val="bottom"/>
          </w:tcPr>
          <w:p w:rsidR="003A564A" w:rsidRDefault="003A564A" w:rsidP="003A564A">
            <w:pPr>
              <w:pStyle w:val="IASBTableArial"/>
            </w:pPr>
            <w:r>
              <w:rPr>
                <w:b/>
                <w:u w:val="single"/>
              </w:rPr>
              <w:t>Calculation</w:t>
            </w:r>
          </w:p>
        </w:tc>
        <w:tc>
          <w:tcPr>
            <w:tcW w:w="1092" w:type="dxa"/>
            <w:tcBorders>
              <w:top w:val="nil"/>
              <w:left w:val="nil"/>
            </w:tcBorders>
            <w:vAlign w:val="bottom"/>
          </w:tcPr>
          <w:p w:rsidR="003A564A" w:rsidRDefault="003A564A" w:rsidP="003A564A">
            <w:pPr>
              <w:pStyle w:val="IASBTableArial"/>
              <w:jc w:val="center"/>
            </w:pPr>
            <w:r>
              <w:rPr>
                <w:b/>
                <w:u w:val="single"/>
              </w:rPr>
              <w:t>CU</w:t>
            </w:r>
          </w:p>
        </w:tc>
        <w:tc>
          <w:tcPr>
            <w:tcW w:w="1092" w:type="dxa"/>
            <w:tcBorders>
              <w:top w:val="nil"/>
              <w:left w:val="nil"/>
            </w:tcBorders>
            <w:vAlign w:val="bottom"/>
          </w:tcPr>
          <w:p w:rsidR="003A564A" w:rsidRDefault="003A564A" w:rsidP="003A564A">
            <w:pPr>
              <w:pStyle w:val="IASBTableArial"/>
              <w:jc w:val="center"/>
            </w:pPr>
            <w:r>
              <w:rPr>
                <w:b/>
                <w:u w:val="single"/>
              </w:rPr>
              <w:t>CU</w:t>
            </w:r>
          </w:p>
        </w:tc>
        <w:tc>
          <w:tcPr>
            <w:tcW w:w="1246" w:type="dxa"/>
            <w:tcBorders>
              <w:top w:val="nil"/>
              <w:left w:val="nil"/>
              <w:right w:val="single" w:sz="4" w:space="0" w:color="auto"/>
            </w:tcBorders>
            <w:vAlign w:val="bottom"/>
          </w:tcPr>
          <w:p w:rsidR="003A564A" w:rsidRDefault="003A564A" w:rsidP="003A564A">
            <w:pPr>
              <w:pStyle w:val="IASBTableArial"/>
              <w:jc w:val="center"/>
            </w:pPr>
            <w:r>
              <w:rPr>
                <w:b/>
                <w:u w:val="single"/>
              </w:rPr>
              <w:t>CU</w:t>
            </w: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r>
              <w:rPr>
                <w:u w:val="single"/>
              </w:rPr>
              <w:t>1</w:t>
            </w:r>
          </w:p>
        </w:tc>
        <w:tc>
          <w:tcPr>
            <w:tcW w:w="4277" w:type="dxa"/>
            <w:gridSpan w:val="3"/>
            <w:tcBorders>
              <w:top w:val="nil"/>
              <w:left w:val="nil"/>
            </w:tcBorders>
            <w:vAlign w:val="bottom"/>
          </w:tcPr>
          <w:p w:rsidR="003A564A" w:rsidRDefault="003A564A" w:rsidP="003A564A">
            <w:pPr>
              <w:pStyle w:val="IASBTableArial"/>
            </w:pPr>
            <w:r>
              <w:rPr>
                <w:u w:val="single"/>
              </w:rPr>
              <w:t>100 shares × CU2 × 1⁄4</w:t>
            </w:r>
          </w:p>
        </w:tc>
        <w:tc>
          <w:tcPr>
            <w:tcW w:w="1092" w:type="dxa"/>
            <w:tcBorders>
              <w:top w:val="nil"/>
              <w:left w:val="nil"/>
            </w:tcBorders>
            <w:vAlign w:val="bottom"/>
          </w:tcPr>
          <w:p w:rsidR="003A564A" w:rsidRDefault="003A564A" w:rsidP="003A564A">
            <w:pPr>
              <w:pStyle w:val="IASBTableArial"/>
              <w:jc w:val="center"/>
            </w:pPr>
            <w:r>
              <w:rPr>
                <w:u w:val="single"/>
              </w:rPr>
              <w:t>50</w:t>
            </w:r>
          </w:p>
        </w:tc>
        <w:tc>
          <w:tcPr>
            <w:tcW w:w="1092" w:type="dxa"/>
            <w:tcBorders>
              <w:top w:val="nil"/>
              <w:left w:val="nil"/>
            </w:tcBorders>
            <w:vAlign w:val="bottom"/>
          </w:tcPr>
          <w:p w:rsidR="003A564A" w:rsidRDefault="003A564A" w:rsidP="003A564A">
            <w:pPr>
              <w:pStyle w:val="IASBTableArial"/>
              <w:jc w:val="center"/>
            </w:pPr>
            <w:r>
              <w:rPr>
                <w:u w:val="single"/>
              </w:rPr>
              <w:t>(50)</w:t>
            </w:r>
          </w:p>
        </w:tc>
        <w:tc>
          <w:tcPr>
            <w:tcW w:w="1246" w:type="dxa"/>
            <w:tcBorders>
              <w:top w:val="nil"/>
              <w:left w:val="nil"/>
              <w:right w:val="single" w:sz="4" w:space="0" w:color="auto"/>
            </w:tcBorders>
            <w:vAlign w:val="bottom"/>
          </w:tcPr>
          <w:p w:rsidR="003A564A" w:rsidRDefault="003A564A" w:rsidP="003A564A">
            <w:pPr>
              <w:pStyle w:val="IASBTableArial"/>
              <w:jc w:val="center"/>
            </w:pPr>
            <w:r>
              <w:rPr>
                <w:u w:val="single"/>
              </w:rPr>
              <w:t>–</w:t>
            </w: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r>
              <w:rPr>
                <w:u w:val="single"/>
              </w:rPr>
              <w:t>2</w:t>
            </w:r>
          </w:p>
        </w:tc>
        <w:tc>
          <w:tcPr>
            <w:tcW w:w="4277" w:type="dxa"/>
            <w:gridSpan w:val="3"/>
            <w:tcBorders>
              <w:top w:val="nil"/>
              <w:left w:val="nil"/>
            </w:tcBorders>
            <w:vAlign w:val="bottom"/>
          </w:tcPr>
          <w:p w:rsidR="003A564A" w:rsidRDefault="003A564A" w:rsidP="003A564A">
            <w:pPr>
              <w:pStyle w:val="IASBTableArial"/>
            </w:pPr>
            <w:r>
              <w:rPr>
                <w:u w:val="single"/>
              </w:rPr>
              <w:t>100 shares × CU2 × 2⁄4 –CU50</w:t>
            </w:r>
          </w:p>
        </w:tc>
        <w:tc>
          <w:tcPr>
            <w:tcW w:w="1092" w:type="dxa"/>
            <w:tcBorders>
              <w:top w:val="nil"/>
              <w:left w:val="nil"/>
            </w:tcBorders>
            <w:vAlign w:val="bottom"/>
          </w:tcPr>
          <w:p w:rsidR="003A564A" w:rsidRDefault="003A564A" w:rsidP="003A564A">
            <w:pPr>
              <w:pStyle w:val="IASBTableArial"/>
              <w:jc w:val="center"/>
            </w:pPr>
            <w:r>
              <w:rPr>
                <w:u w:val="single"/>
              </w:rPr>
              <w:t>50</w:t>
            </w:r>
          </w:p>
        </w:tc>
        <w:tc>
          <w:tcPr>
            <w:tcW w:w="1092" w:type="dxa"/>
            <w:tcBorders>
              <w:top w:val="nil"/>
              <w:left w:val="nil"/>
            </w:tcBorders>
            <w:vAlign w:val="bottom"/>
          </w:tcPr>
          <w:p w:rsidR="003A564A" w:rsidRDefault="003A564A" w:rsidP="003A564A">
            <w:pPr>
              <w:pStyle w:val="IASBTableArial"/>
              <w:jc w:val="center"/>
            </w:pPr>
            <w:r>
              <w:rPr>
                <w:u w:val="single"/>
              </w:rPr>
              <w:t>(50)</w:t>
            </w:r>
          </w:p>
        </w:tc>
        <w:tc>
          <w:tcPr>
            <w:tcW w:w="1246" w:type="dxa"/>
            <w:tcBorders>
              <w:top w:val="nil"/>
              <w:left w:val="nil"/>
              <w:right w:val="single" w:sz="4" w:space="0" w:color="auto"/>
            </w:tcBorders>
            <w:vAlign w:val="bottom"/>
          </w:tcPr>
          <w:p w:rsidR="003A564A" w:rsidRDefault="003A564A" w:rsidP="003A564A">
            <w:pPr>
              <w:pStyle w:val="IASBTableArial"/>
              <w:jc w:val="center"/>
            </w:pPr>
            <w:r>
              <w:rPr>
                <w:u w:val="single"/>
              </w:rPr>
              <w:t>–</w:t>
            </w: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r>
              <w:rPr>
                <w:u w:val="single"/>
              </w:rPr>
              <w:t>3</w:t>
            </w:r>
          </w:p>
        </w:tc>
        <w:tc>
          <w:tcPr>
            <w:tcW w:w="4277" w:type="dxa"/>
            <w:gridSpan w:val="3"/>
            <w:tcBorders>
              <w:top w:val="nil"/>
              <w:left w:val="nil"/>
            </w:tcBorders>
            <w:vAlign w:val="bottom"/>
          </w:tcPr>
          <w:p w:rsidR="003A564A" w:rsidRDefault="003A564A" w:rsidP="003A564A">
            <w:pPr>
              <w:pStyle w:val="IASBTableArial"/>
            </w:pPr>
            <w:r>
              <w:rPr>
                <w:u w:val="single"/>
              </w:rPr>
              <w:t>100 shares × CU2 × 3⁄4 –(CU50 + CU50)</w:t>
            </w:r>
          </w:p>
        </w:tc>
        <w:tc>
          <w:tcPr>
            <w:tcW w:w="1092" w:type="dxa"/>
            <w:tcBorders>
              <w:top w:val="nil"/>
              <w:left w:val="nil"/>
            </w:tcBorders>
            <w:vAlign w:val="bottom"/>
          </w:tcPr>
          <w:p w:rsidR="003A564A" w:rsidRDefault="003A564A" w:rsidP="003A564A">
            <w:pPr>
              <w:pStyle w:val="IASBTableArial"/>
              <w:jc w:val="center"/>
            </w:pPr>
            <w:r>
              <w:rPr>
                <w:u w:val="single"/>
              </w:rPr>
              <w:t>50</w:t>
            </w:r>
          </w:p>
        </w:tc>
        <w:tc>
          <w:tcPr>
            <w:tcW w:w="1092" w:type="dxa"/>
            <w:tcBorders>
              <w:top w:val="nil"/>
              <w:left w:val="nil"/>
            </w:tcBorders>
            <w:vAlign w:val="bottom"/>
          </w:tcPr>
          <w:p w:rsidR="003A564A" w:rsidRDefault="003A564A" w:rsidP="003A564A">
            <w:pPr>
              <w:pStyle w:val="IASBTableArial"/>
              <w:jc w:val="center"/>
            </w:pPr>
            <w:r>
              <w:rPr>
                <w:u w:val="single"/>
              </w:rPr>
              <w:t>(50)</w:t>
            </w:r>
          </w:p>
        </w:tc>
        <w:tc>
          <w:tcPr>
            <w:tcW w:w="1246" w:type="dxa"/>
            <w:tcBorders>
              <w:top w:val="nil"/>
              <w:left w:val="nil"/>
              <w:right w:val="single" w:sz="4" w:space="0" w:color="auto"/>
            </w:tcBorders>
            <w:vAlign w:val="bottom"/>
          </w:tcPr>
          <w:p w:rsidR="003A564A" w:rsidRDefault="003A564A" w:rsidP="003A564A">
            <w:pPr>
              <w:pStyle w:val="IASBTableArial"/>
              <w:jc w:val="center"/>
            </w:pPr>
            <w:r>
              <w:rPr>
                <w:u w:val="single"/>
              </w:rPr>
              <w:t>–</w:t>
            </w: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r>
              <w:rPr>
                <w:u w:val="single"/>
              </w:rPr>
              <w:t>4</w:t>
            </w:r>
          </w:p>
        </w:tc>
        <w:tc>
          <w:tcPr>
            <w:tcW w:w="4277" w:type="dxa"/>
            <w:gridSpan w:val="3"/>
            <w:tcBorders>
              <w:top w:val="nil"/>
              <w:left w:val="nil"/>
            </w:tcBorders>
            <w:vAlign w:val="bottom"/>
          </w:tcPr>
          <w:p w:rsidR="003A564A" w:rsidRDefault="003A564A" w:rsidP="003A564A">
            <w:pPr>
              <w:pStyle w:val="IASBTableArial"/>
            </w:pPr>
            <w:r>
              <w:rPr>
                <w:u w:val="single"/>
              </w:rPr>
              <w:t>100 shares × CU2 × 4⁄4 –(CU50 + CU50 + CU50)</w:t>
            </w:r>
          </w:p>
        </w:tc>
        <w:tc>
          <w:tcPr>
            <w:tcW w:w="1092" w:type="dxa"/>
            <w:tcBorders>
              <w:top w:val="nil"/>
              <w:left w:val="nil"/>
            </w:tcBorders>
            <w:vAlign w:val="bottom"/>
          </w:tcPr>
          <w:p w:rsidR="003A564A" w:rsidRDefault="003A564A" w:rsidP="003A564A">
            <w:pPr>
              <w:pStyle w:val="IASBTableArial"/>
              <w:jc w:val="center"/>
            </w:pPr>
            <w:r>
              <w:rPr>
                <w:u w:val="single"/>
              </w:rPr>
              <w:t>50</w:t>
            </w:r>
          </w:p>
        </w:tc>
        <w:tc>
          <w:tcPr>
            <w:tcW w:w="1092" w:type="dxa"/>
            <w:tcBorders>
              <w:top w:val="nil"/>
              <w:left w:val="nil"/>
            </w:tcBorders>
            <w:vAlign w:val="bottom"/>
          </w:tcPr>
          <w:p w:rsidR="003A564A" w:rsidRDefault="003A564A" w:rsidP="003A564A">
            <w:pPr>
              <w:pStyle w:val="IASBTableArial"/>
              <w:jc w:val="center"/>
            </w:pPr>
            <w:r>
              <w:rPr>
                <w:u w:val="single"/>
              </w:rPr>
              <w:t>(50)</w:t>
            </w:r>
          </w:p>
        </w:tc>
        <w:tc>
          <w:tcPr>
            <w:tcW w:w="1246" w:type="dxa"/>
            <w:tcBorders>
              <w:top w:val="nil"/>
              <w:left w:val="nil"/>
              <w:right w:val="single" w:sz="4" w:space="0" w:color="auto"/>
            </w:tcBorders>
            <w:vAlign w:val="bottom"/>
          </w:tcPr>
          <w:p w:rsidR="003A564A" w:rsidRDefault="003A564A" w:rsidP="003A564A">
            <w:pPr>
              <w:pStyle w:val="IASBTableArial"/>
              <w:jc w:val="center"/>
            </w:pPr>
            <w:r>
              <w:rPr>
                <w:u w:val="single"/>
              </w:rPr>
              <w:t>–</w:t>
            </w: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p>
        </w:tc>
        <w:tc>
          <w:tcPr>
            <w:tcW w:w="4277" w:type="dxa"/>
            <w:gridSpan w:val="3"/>
            <w:tcBorders>
              <w:top w:val="nil"/>
              <w:left w:val="nil"/>
            </w:tcBorders>
            <w:vAlign w:val="bottom"/>
          </w:tcPr>
          <w:p w:rsidR="003A564A" w:rsidRDefault="003A564A" w:rsidP="003A564A">
            <w:pPr>
              <w:pStyle w:val="IASBTableArial"/>
            </w:pPr>
            <w:r>
              <w:rPr>
                <w:u w:val="single"/>
              </w:rPr>
              <w:t>Total</w:t>
            </w:r>
          </w:p>
        </w:tc>
        <w:tc>
          <w:tcPr>
            <w:tcW w:w="1092" w:type="dxa"/>
            <w:tcBorders>
              <w:top w:val="nil"/>
              <w:left w:val="nil"/>
            </w:tcBorders>
            <w:vAlign w:val="bottom"/>
          </w:tcPr>
          <w:p w:rsidR="003A564A" w:rsidRDefault="003A564A" w:rsidP="003A564A">
            <w:pPr>
              <w:pStyle w:val="IASBTableArial"/>
              <w:jc w:val="center"/>
            </w:pPr>
            <w:r>
              <w:rPr>
                <w:u w:val="single"/>
              </w:rPr>
              <w:t>200</w:t>
            </w:r>
          </w:p>
        </w:tc>
        <w:tc>
          <w:tcPr>
            <w:tcW w:w="1092" w:type="dxa"/>
            <w:tcBorders>
              <w:top w:val="nil"/>
              <w:left w:val="nil"/>
            </w:tcBorders>
            <w:vAlign w:val="bottom"/>
          </w:tcPr>
          <w:p w:rsidR="003A564A" w:rsidRDefault="003A564A" w:rsidP="003A564A">
            <w:pPr>
              <w:pStyle w:val="IASBTableArial"/>
              <w:jc w:val="center"/>
            </w:pPr>
            <w:r>
              <w:rPr>
                <w:u w:val="single"/>
              </w:rPr>
              <w:t>(200)</w:t>
            </w:r>
          </w:p>
        </w:tc>
        <w:tc>
          <w:tcPr>
            <w:tcW w:w="1246" w:type="dxa"/>
            <w:tcBorders>
              <w:top w:val="nil"/>
              <w:left w:val="nil"/>
              <w:right w:val="single" w:sz="4" w:space="0" w:color="auto"/>
            </w:tcBorders>
            <w:vAlign w:val="bottom"/>
          </w:tcPr>
          <w:p w:rsidR="003A564A" w:rsidRDefault="003A564A" w:rsidP="003A564A">
            <w:pPr>
              <w:pStyle w:val="IASBTableArial"/>
              <w:jc w:val="center"/>
            </w:pPr>
            <w:r>
              <w:rPr>
                <w:u w:val="single"/>
              </w:rPr>
              <w:t>–</w:t>
            </w:r>
          </w:p>
        </w:tc>
      </w:tr>
      <w:tr w:rsidR="003A564A" w:rsidTr="003A564A">
        <w:trPr>
          <w:cantSplit/>
        </w:trPr>
        <w:tc>
          <w:tcPr>
            <w:tcW w:w="9180" w:type="dxa"/>
            <w:gridSpan w:val="7"/>
            <w:tcBorders>
              <w:top w:val="nil"/>
              <w:left w:val="single" w:sz="4" w:space="0" w:color="auto"/>
              <w:right w:val="single" w:sz="4" w:space="0" w:color="auto"/>
            </w:tcBorders>
            <w:vAlign w:val="bottom"/>
          </w:tcPr>
          <w:p w:rsidR="003A564A" w:rsidRDefault="003A564A" w:rsidP="003A564A">
            <w:pPr>
              <w:pStyle w:val="IASBTableArial"/>
            </w:pPr>
            <w:r>
              <w:rPr>
                <w:b/>
                <w:u w:val="single"/>
              </w:rPr>
              <w:t>The journal entries recorded by the entity are as follows:</w:t>
            </w:r>
          </w:p>
        </w:tc>
      </w:tr>
      <w:tr w:rsidR="003A564A" w:rsidTr="003A564A">
        <w:trPr>
          <w:cantSplit/>
        </w:trPr>
        <w:tc>
          <w:tcPr>
            <w:tcW w:w="9180" w:type="dxa"/>
            <w:gridSpan w:val="7"/>
            <w:tcBorders>
              <w:top w:val="nil"/>
              <w:left w:val="single" w:sz="4" w:space="0" w:color="auto"/>
              <w:right w:val="single" w:sz="4" w:space="0" w:color="auto"/>
            </w:tcBorders>
            <w:vAlign w:val="bottom"/>
          </w:tcPr>
          <w:p w:rsidR="003A564A" w:rsidRDefault="003A564A" w:rsidP="003A564A">
            <w:pPr>
              <w:pStyle w:val="IASBTableArial"/>
            </w:pPr>
            <w:r>
              <w:rPr>
                <w:i/>
                <w:u w:val="single"/>
              </w:rPr>
              <w:t>During the vesting period</w:t>
            </w:r>
          </w:p>
        </w:tc>
      </w:tr>
      <w:tr w:rsidR="003A564A" w:rsidTr="003A564A">
        <w:trPr>
          <w:cantSplit/>
        </w:trPr>
        <w:tc>
          <w:tcPr>
            <w:tcW w:w="9180" w:type="dxa"/>
            <w:gridSpan w:val="7"/>
            <w:tcBorders>
              <w:top w:val="nil"/>
              <w:left w:val="single" w:sz="4" w:space="0" w:color="auto"/>
              <w:right w:val="single" w:sz="4" w:space="0" w:color="auto"/>
            </w:tcBorders>
            <w:vAlign w:val="bottom"/>
          </w:tcPr>
          <w:p w:rsidR="003A564A" w:rsidRDefault="003A564A" w:rsidP="003A564A">
            <w:pPr>
              <w:pStyle w:val="IASBTableArial"/>
            </w:pPr>
            <w:r>
              <w:rPr>
                <w:u w:val="single"/>
              </w:rPr>
              <w:t>Accumulated compensation expense recognised over the vesting period</w:t>
            </w: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r>
              <w:rPr>
                <w:sz w:val="15"/>
                <w:u w:val="single"/>
              </w:rPr>
              <w:t>Dr Expense</w:t>
            </w:r>
          </w:p>
        </w:tc>
        <w:tc>
          <w:tcPr>
            <w:tcW w:w="1183" w:type="dxa"/>
            <w:tcBorders>
              <w:top w:val="nil"/>
              <w:left w:val="nil"/>
            </w:tcBorders>
            <w:vAlign w:val="bottom"/>
          </w:tcPr>
          <w:p w:rsidR="003A564A" w:rsidRDefault="003A564A" w:rsidP="003A564A">
            <w:pPr>
              <w:pStyle w:val="IASBTableArial"/>
            </w:pPr>
            <w:r>
              <w:rPr>
                <w:sz w:val="15"/>
                <w:u w:val="single"/>
              </w:rPr>
              <w:t>200</w:t>
            </w:r>
          </w:p>
        </w:tc>
        <w:tc>
          <w:tcPr>
            <w:tcW w:w="3094" w:type="dxa"/>
            <w:gridSpan w:val="2"/>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246" w:type="dxa"/>
            <w:tcBorders>
              <w:top w:val="nil"/>
              <w:left w:val="nil"/>
              <w:right w:val="single" w:sz="4" w:space="0" w:color="auto"/>
            </w:tcBorders>
            <w:vAlign w:val="bottom"/>
          </w:tcPr>
          <w:p w:rsidR="003A564A" w:rsidRDefault="003A564A" w:rsidP="003A564A">
            <w:pPr>
              <w:pStyle w:val="IASBTableArial"/>
            </w:pP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p>
        </w:tc>
        <w:tc>
          <w:tcPr>
            <w:tcW w:w="1183" w:type="dxa"/>
            <w:tcBorders>
              <w:top w:val="nil"/>
              <w:left w:val="nil"/>
            </w:tcBorders>
            <w:vAlign w:val="bottom"/>
          </w:tcPr>
          <w:p w:rsidR="003A564A" w:rsidRDefault="003A564A" w:rsidP="003A564A">
            <w:pPr>
              <w:pStyle w:val="IASBTableArial"/>
            </w:pPr>
            <w:r>
              <w:rPr>
                <w:sz w:val="15"/>
                <w:u w:val="single"/>
              </w:rPr>
              <w:t>Cr Equity</w:t>
            </w:r>
          </w:p>
        </w:tc>
        <w:tc>
          <w:tcPr>
            <w:tcW w:w="571" w:type="dxa"/>
            <w:tcBorders>
              <w:top w:val="nil"/>
              <w:left w:val="nil"/>
            </w:tcBorders>
            <w:vAlign w:val="bottom"/>
          </w:tcPr>
          <w:p w:rsidR="003A564A" w:rsidRDefault="003A564A" w:rsidP="003A564A">
            <w:pPr>
              <w:pStyle w:val="IASBTableArial"/>
            </w:pPr>
            <w:r>
              <w:rPr>
                <w:sz w:val="15"/>
                <w:u w:val="single"/>
              </w:rPr>
              <w:t>200</w:t>
            </w:r>
          </w:p>
        </w:tc>
        <w:tc>
          <w:tcPr>
            <w:tcW w:w="2523"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246" w:type="dxa"/>
            <w:tcBorders>
              <w:top w:val="nil"/>
              <w:left w:val="nil"/>
              <w:right w:val="single" w:sz="4" w:space="0" w:color="auto"/>
            </w:tcBorders>
            <w:vAlign w:val="bottom"/>
          </w:tcPr>
          <w:p w:rsidR="003A564A" w:rsidRDefault="003A564A" w:rsidP="003A564A">
            <w:pPr>
              <w:pStyle w:val="IASBTableArial"/>
            </w:pPr>
          </w:p>
        </w:tc>
      </w:tr>
      <w:tr w:rsidR="003A564A" w:rsidTr="003A564A">
        <w:trPr>
          <w:cantSplit/>
        </w:trPr>
        <w:tc>
          <w:tcPr>
            <w:tcW w:w="5750" w:type="dxa"/>
            <w:gridSpan w:val="4"/>
            <w:tcBorders>
              <w:top w:val="nil"/>
              <w:left w:val="single" w:sz="4" w:space="0" w:color="auto"/>
            </w:tcBorders>
            <w:vAlign w:val="bottom"/>
          </w:tcPr>
          <w:p w:rsidR="003A564A" w:rsidRDefault="003A564A" w:rsidP="003A564A">
            <w:pPr>
              <w:pStyle w:val="IASBTableArial"/>
            </w:pPr>
            <w:r>
              <w:rPr>
                <w:i/>
                <w:u w:val="single"/>
              </w:rPr>
              <w:t>Recognition of the tax liability</w:t>
            </w:r>
            <w:r>
              <w:rPr>
                <w:i/>
                <w:u w:val="single"/>
                <w:vertAlign w:val="superscript"/>
              </w:rPr>
              <w:t>(a)</w:t>
            </w:r>
          </w:p>
        </w:tc>
        <w:tc>
          <w:tcPr>
            <w:tcW w:w="1092"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246" w:type="dxa"/>
            <w:tcBorders>
              <w:top w:val="nil"/>
              <w:left w:val="nil"/>
              <w:right w:val="single" w:sz="4" w:space="0" w:color="auto"/>
            </w:tcBorders>
            <w:vAlign w:val="bottom"/>
          </w:tcPr>
          <w:p w:rsidR="003A564A" w:rsidRDefault="003A564A" w:rsidP="003A564A">
            <w:pPr>
              <w:pStyle w:val="IASBTableArial"/>
            </w:pP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r>
              <w:rPr>
                <w:sz w:val="15"/>
                <w:u w:val="single"/>
              </w:rPr>
              <w:t>Dr Equity</w:t>
            </w:r>
          </w:p>
        </w:tc>
        <w:tc>
          <w:tcPr>
            <w:tcW w:w="1183" w:type="dxa"/>
            <w:tcBorders>
              <w:top w:val="nil"/>
              <w:left w:val="nil"/>
            </w:tcBorders>
            <w:vAlign w:val="bottom"/>
          </w:tcPr>
          <w:p w:rsidR="003A564A" w:rsidRDefault="003A564A" w:rsidP="003A564A">
            <w:pPr>
              <w:pStyle w:val="IASBTableArial"/>
            </w:pPr>
            <w:r>
              <w:rPr>
                <w:sz w:val="15"/>
                <w:u w:val="single"/>
              </w:rPr>
              <w:t>400</w:t>
            </w:r>
          </w:p>
        </w:tc>
        <w:tc>
          <w:tcPr>
            <w:tcW w:w="3094" w:type="dxa"/>
            <w:gridSpan w:val="2"/>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246" w:type="dxa"/>
            <w:tcBorders>
              <w:top w:val="nil"/>
              <w:left w:val="nil"/>
              <w:right w:val="single" w:sz="4" w:space="0" w:color="auto"/>
            </w:tcBorders>
            <w:vAlign w:val="bottom"/>
          </w:tcPr>
          <w:p w:rsidR="003A564A" w:rsidRDefault="003A564A" w:rsidP="003A564A">
            <w:pPr>
              <w:pStyle w:val="IASBTableArial"/>
            </w:pP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p>
        </w:tc>
        <w:tc>
          <w:tcPr>
            <w:tcW w:w="1183" w:type="dxa"/>
            <w:tcBorders>
              <w:top w:val="nil"/>
              <w:left w:val="nil"/>
            </w:tcBorders>
            <w:vAlign w:val="bottom"/>
          </w:tcPr>
          <w:p w:rsidR="003A564A" w:rsidRDefault="003A564A" w:rsidP="003A564A">
            <w:pPr>
              <w:pStyle w:val="IASBTableArial"/>
            </w:pPr>
            <w:r>
              <w:rPr>
                <w:sz w:val="15"/>
                <w:u w:val="single"/>
              </w:rPr>
              <w:t>Cr Liability</w:t>
            </w:r>
          </w:p>
        </w:tc>
        <w:tc>
          <w:tcPr>
            <w:tcW w:w="571" w:type="dxa"/>
            <w:tcBorders>
              <w:top w:val="nil"/>
              <w:left w:val="nil"/>
            </w:tcBorders>
            <w:vAlign w:val="bottom"/>
          </w:tcPr>
          <w:p w:rsidR="003A564A" w:rsidRDefault="003A564A" w:rsidP="003A564A">
            <w:pPr>
              <w:pStyle w:val="IASBTableArial"/>
            </w:pPr>
            <w:r>
              <w:rPr>
                <w:sz w:val="15"/>
                <w:u w:val="single"/>
              </w:rPr>
              <w:t>400</w:t>
            </w:r>
          </w:p>
        </w:tc>
        <w:tc>
          <w:tcPr>
            <w:tcW w:w="2523"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246" w:type="dxa"/>
            <w:tcBorders>
              <w:top w:val="nil"/>
              <w:left w:val="nil"/>
              <w:right w:val="single" w:sz="4" w:space="0" w:color="auto"/>
            </w:tcBorders>
            <w:vAlign w:val="bottom"/>
          </w:tcPr>
          <w:p w:rsidR="003A564A" w:rsidRDefault="003A564A" w:rsidP="003A564A">
            <w:pPr>
              <w:pStyle w:val="IASBTableArial"/>
            </w:pPr>
          </w:p>
        </w:tc>
      </w:tr>
      <w:tr w:rsidR="003A564A" w:rsidTr="003A564A">
        <w:trPr>
          <w:cantSplit/>
        </w:trPr>
        <w:tc>
          <w:tcPr>
            <w:tcW w:w="5750" w:type="dxa"/>
            <w:gridSpan w:val="4"/>
            <w:tcBorders>
              <w:top w:val="nil"/>
              <w:left w:val="single" w:sz="4" w:space="0" w:color="auto"/>
            </w:tcBorders>
            <w:vAlign w:val="bottom"/>
          </w:tcPr>
          <w:p w:rsidR="003A564A" w:rsidRDefault="003A564A" w:rsidP="003A564A">
            <w:pPr>
              <w:pStyle w:val="IASBTableArial"/>
            </w:pPr>
            <w:r>
              <w:rPr>
                <w:i/>
                <w:u w:val="single"/>
              </w:rPr>
              <w:t>Settlement of tax obligation</w:t>
            </w:r>
          </w:p>
        </w:tc>
        <w:tc>
          <w:tcPr>
            <w:tcW w:w="1092"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246" w:type="dxa"/>
            <w:tcBorders>
              <w:top w:val="nil"/>
              <w:left w:val="nil"/>
              <w:right w:val="single" w:sz="4" w:space="0" w:color="auto"/>
            </w:tcBorders>
            <w:vAlign w:val="bottom"/>
          </w:tcPr>
          <w:p w:rsidR="003A564A" w:rsidRDefault="003A564A" w:rsidP="003A564A">
            <w:pPr>
              <w:pStyle w:val="IASBTableArial"/>
            </w:pPr>
          </w:p>
        </w:tc>
      </w:tr>
      <w:tr w:rsidR="003A564A" w:rsidTr="003A564A">
        <w:trPr>
          <w:cantSplit/>
        </w:trPr>
        <w:tc>
          <w:tcPr>
            <w:tcW w:w="5750" w:type="dxa"/>
            <w:gridSpan w:val="4"/>
            <w:tcBorders>
              <w:top w:val="nil"/>
              <w:left w:val="single" w:sz="4" w:space="0" w:color="auto"/>
            </w:tcBorders>
            <w:vAlign w:val="bottom"/>
          </w:tcPr>
          <w:p w:rsidR="003A564A" w:rsidRDefault="003A564A" w:rsidP="003A564A">
            <w:pPr>
              <w:pStyle w:val="IASBTableArial"/>
            </w:pPr>
            <w:r>
              <w:rPr>
                <w:u w:val="single"/>
              </w:rPr>
              <w:t>Cash paid to the tax authority on the employee’s behalf at the date of settlement</w:t>
            </w:r>
          </w:p>
        </w:tc>
        <w:tc>
          <w:tcPr>
            <w:tcW w:w="1092"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246" w:type="dxa"/>
            <w:tcBorders>
              <w:top w:val="nil"/>
              <w:left w:val="nil"/>
              <w:right w:val="single" w:sz="4" w:space="0" w:color="auto"/>
            </w:tcBorders>
            <w:vAlign w:val="bottom"/>
          </w:tcPr>
          <w:p w:rsidR="003A564A" w:rsidRDefault="003A564A" w:rsidP="003A564A">
            <w:pPr>
              <w:pStyle w:val="IASBTableArial"/>
            </w:pP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r>
              <w:rPr>
                <w:sz w:val="15"/>
                <w:u w:val="single"/>
              </w:rPr>
              <w:t>Dr Liability</w:t>
            </w:r>
          </w:p>
        </w:tc>
        <w:tc>
          <w:tcPr>
            <w:tcW w:w="1183" w:type="dxa"/>
            <w:tcBorders>
              <w:top w:val="nil"/>
              <w:left w:val="nil"/>
            </w:tcBorders>
            <w:vAlign w:val="bottom"/>
          </w:tcPr>
          <w:p w:rsidR="003A564A" w:rsidRDefault="003A564A" w:rsidP="003A564A">
            <w:pPr>
              <w:pStyle w:val="IASBTableArial"/>
            </w:pPr>
            <w:r>
              <w:rPr>
                <w:sz w:val="15"/>
                <w:u w:val="single"/>
              </w:rPr>
              <w:t>400</w:t>
            </w:r>
          </w:p>
        </w:tc>
        <w:tc>
          <w:tcPr>
            <w:tcW w:w="3094" w:type="dxa"/>
            <w:gridSpan w:val="2"/>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246" w:type="dxa"/>
            <w:tcBorders>
              <w:top w:val="nil"/>
              <w:left w:val="nil"/>
              <w:right w:val="single" w:sz="4" w:space="0" w:color="auto"/>
            </w:tcBorders>
            <w:vAlign w:val="bottom"/>
          </w:tcPr>
          <w:p w:rsidR="003A564A" w:rsidRDefault="003A564A" w:rsidP="003A564A">
            <w:pPr>
              <w:pStyle w:val="IASBTableArial"/>
            </w:pPr>
          </w:p>
        </w:tc>
      </w:tr>
      <w:tr w:rsidR="003A564A" w:rsidTr="003A564A">
        <w:trPr>
          <w:cantSplit/>
        </w:trPr>
        <w:tc>
          <w:tcPr>
            <w:tcW w:w="1473" w:type="dxa"/>
            <w:tcBorders>
              <w:top w:val="nil"/>
              <w:left w:val="single" w:sz="4" w:space="0" w:color="auto"/>
            </w:tcBorders>
            <w:vAlign w:val="bottom"/>
          </w:tcPr>
          <w:p w:rsidR="003A564A" w:rsidRDefault="003A564A" w:rsidP="003A564A">
            <w:pPr>
              <w:pStyle w:val="IASBTableArial"/>
            </w:pPr>
          </w:p>
        </w:tc>
        <w:tc>
          <w:tcPr>
            <w:tcW w:w="1183" w:type="dxa"/>
            <w:tcBorders>
              <w:top w:val="nil"/>
              <w:left w:val="nil"/>
            </w:tcBorders>
            <w:vAlign w:val="bottom"/>
          </w:tcPr>
          <w:p w:rsidR="003A564A" w:rsidRDefault="003A564A" w:rsidP="003A564A">
            <w:pPr>
              <w:pStyle w:val="IASBTableArial"/>
            </w:pPr>
            <w:r>
              <w:rPr>
                <w:sz w:val="15"/>
                <w:u w:val="single"/>
              </w:rPr>
              <w:t>Cr Cash</w:t>
            </w:r>
          </w:p>
        </w:tc>
        <w:tc>
          <w:tcPr>
            <w:tcW w:w="571" w:type="dxa"/>
            <w:tcBorders>
              <w:top w:val="nil"/>
              <w:left w:val="nil"/>
            </w:tcBorders>
            <w:vAlign w:val="bottom"/>
          </w:tcPr>
          <w:p w:rsidR="003A564A" w:rsidRDefault="003A564A" w:rsidP="003A564A">
            <w:pPr>
              <w:pStyle w:val="IASBTableArial"/>
            </w:pPr>
            <w:r>
              <w:rPr>
                <w:sz w:val="15"/>
                <w:u w:val="single"/>
              </w:rPr>
              <w:t>400</w:t>
            </w:r>
          </w:p>
        </w:tc>
        <w:tc>
          <w:tcPr>
            <w:tcW w:w="2523"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092" w:type="dxa"/>
            <w:tcBorders>
              <w:top w:val="nil"/>
              <w:left w:val="nil"/>
            </w:tcBorders>
            <w:vAlign w:val="bottom"/>
          </w:tcPr>
          <w:p w:rsidR="003A564A" w:rsidRDefault="003A564A" w:rsidP="003A564A">
            <w:pPr>
              <w:pStyle w:val="IASBTableArial"/>
            </w:pPr>
          </w:p>
        </w:tc>
        <w:tc>
          <w:tcPr>
            <w:tcW w:w="1246" w:type="dxa"/>
            <w:tcBorders>
              <w:top w:val="nil"/>
              <w:left w:val="nil"/>
              <w:right w:val="single" w:sz="4" w:space="0" w:color="auto"/>
            </w:tcBorders>
            <w:vAlign w:val="bottom"/>
          </w:tcPr>
          <w:p w:rsidR="003A564A" w:rsidRDefault="003A564A" w:rsidP="003A564A">
            <w:pPr>
              <w:pStyle w:val="IASBTableArial"/>
            </w:pPr>
          </w:p>
        </w:tc>
      </w:tr>
      <w:tr w:rsidR="003A564A" w:rsidTr="003A564A">
        <w:trPr>
          <w:cantSplit/>
        </w:trPr>
        <w:tc>
          <w:tcPr>
            <w:tcW w:w="9180" w:type="dxa"/>
            <w:gridSpan w:val="7"/>
            <w:tcBorders>
              <w:top w:val="nil"/>
              <w:left w:val="single" w:sz="4" w:space="0" w:color="auto"/>
              <w:bottom w:val="single" w:sz="4" w:space="0" w:color="auto"/>
              <w:right w:val="single" w:sz="4" w:space="0" w:color="auto"/>
            </w:tcBorders>
            <w:vAlign w:val="bottom"/>
          </w:tcPr>
          <w:p w:rsidR="003A564A" w:rsidRPr="002F5374" w:rsidRDefault="003A564A" w:rsidP="003A564A">
            <w:pPr>
              <w:pStyle w:val="IASBTableTNR"/>
              <w:ind w:left="567" w:hanging="567"/>
            </w:pPr>
            <w:r w:rsidRPr="002F5374">
              <w:rPr>
                <w:rStyle w:val="FootnoteReference"/>
                <w:sz w:val="16"/>
                <w:vertAlign w:val="baseline"/>
              </w:rPr>
              <w:t xml:space="preserve"> (a)</w:t>
            </w:r>
            <w:r w:rsidRPr="002F5374">
              <w:rPr>
                <w:rStyle w:val="FootnoteReference"/>
                <w:sz w:val="16"/>
                <w:vertAlign w:val="baseline"/>
              </w:rPr>
              <w:tab/>
            </w:r>
            <w:r w:rsidRPr="002F5374">
              <w:rPr>
                <w:rStyle w:val="FootnoteReference"/>
                <w:sz w:val="16"/>
                <w:u w:val="single"/>
                <w:vertAlign w:val="baseline"/>
              </w:rPr>
              <w:t>The entity considers disclosing an estimate of the amount that it expects to transfer to the tax authority at the end of each reporting period. The entity makes such disclosure when it determines that this information is necessary to inform users about the future cash flow effects associated with the share-based payment.</w:t>
            </w:r>
          </w:p>
        </w:tc>
      </w:tr>
    </w:tbl>
    <w:p w:rsidR="003A564A" w:rsidRDefault="003A564A" w:rsidP="003A564A">
      <w:pPr>
        <w:pStyle w:val="IASBNormalnpara"/>
      </w:pPr>
    </w:p>
    <w:p w:rsidR="003A564A" w:rsidRDefault="003A564A" w:rsidP="003A564A">
      <w:pPr>
        <w:pStyle w:val="IASBSectionTitle2NonInd"/>
      </w:pPr>
      <w:bookmarkStart w:id="65" w:name="F49527884"/>
      <w:r>
        <w:rPr>
          <w:u w:val="single"/>
        </w:rPr>
        <w:t>Accounting for a modification of a share-based payment transaction that changes its classification from cash-settled to equity-settled</w:t>
      </w:r>
      <w:bookmarkEnd w:id="65"/>
    </w:p>
    <w:p w:rsidR="003A564A" w:rsidRDefault="003A564A" w:rsidP="003A564A">
      <w:pPr>
        <w:pStyle w:val="IASBNormalnpara"/>
      </w:pPr>
      <w:r>
        <w:rPr>
          <w:u w:val="single"/>
        </w:rPr>
        <w:t>IG19B</w:t>
      </w:r>
      <w:bookmarkStart w:id="66" w:name="F49527885"/>
      <w:r>
        <w:tab/>
      </w:r>
      <w:r>
        <w:rPr>
          <w:u w:val="single"/>
        </w:rPr>
        <w:t xml:space="preserve">The following example illustrates the application of the requirements in paragraphs B44A of </w:t>
      </w:r>
      <w:r w:rsidR="00454764">
        <w:rPr>
          <w:u w:val="single"/>
        </w:rPr>
        <w:t>AASB</w:t>
      </w:r>
      <w:r>
        <w:rPr>
          <w:u w:val="single"/>
        </w:rPr>
        <w:t xml:space="preserve"> 2 to a modification of the terms and conditions of a cash-settled share-based payment transaction that becomes an equity-settled share-based payment transaction.</w:t>
      </w:r>
      <w:bookmarkEnd w:id="66"/>
    </w:p>
    <w:p w:rsidR="003A564A" w:rsidRDefault="003A564A" w:rsidP="003A564A">
      <w:pPr>
        <w:pStyle w:val="IASBNormalnpara"/>
      </w:pPr>
    </w:p>
    <w:tbl>
      <w:tblPr>
        <w:tblW w:w="0" w:type="auto"/>
        <w:tblLayout w:type="fixed"/>
        <w:tblLook w:val="0000" w:firstRow="0" w:lastRow="0" w:firstColumn="0" w:lastColumn="0" w:noHBand="0" w:noVBand="0"/>
        <w:tblCaption w:val="IG example 12C"/>
      </w:tblPr>
      <w:tblGrid>
        <w:gridCol w:w="1018"/>
        <w:gridCol w:w="3094"/>
        <w:gridCol w:w="1274"/>
        <w:gridCol w:w="1274"/>
        <w:gridCol w:w="1274"/>
        <w:gridCol w:w="1274"/>
      </w:tblGrid>
      <w:tr w:rsidR="003A564A" w:rsidTr="00454764">
        <w:trPr>
          <w:cantSplit/>
          <w:tblHeader/>
        </w:trPr>
        <w:tc>
          <w:tcPr>
            <w:tcW w:w="9208" w:type="dxa"/>
            <w:gridSpan w:val="6"/>
            <w:tcBorders>
              <w:top w:val="single" w:sz="4" w:space="0" w:color="auto"/>
              <w:left w:val="single" w:sz="4" w:space="0" w:color="auto"/>
              <w:bottom w:val="single" w:sz="4" w:space="0" w:color="auto"/>
              <w:right w:val="single" w:sz="4" w:space="0" w:color="auto"/>
            </w:tcBorders>
            <w:vAlign w:val="bottom"/>
          </w:tcPr>
          <w:p w:rsidR="003A564A" w:rsidRDefault="003A564A" w:rsidP="003A564A">
            <w:pPr>
              <w:pStyle w:val="IASBTableHeaderArial"/>
            </w:pPr>
            <w:r>
              <w:rPr>
                <w:b/>
                <w:u w:val="single"/>
              </w:rPr>
              <w:t>IG Example 12C</w:t>
            </w:r>
          </w:p>
        </w:tc>
      </w:tr>
      <w:tr w:rsidR="003A564A" w:rsidTr="00454764">
        <w:trPr>
          <w:cantSplit/>
        </w:trPr>
        <w:tc>
          <w:tcPr>
            <w:tcW w:w="9208" w:type="dxa"/>
            <w:gridSpan w:val="6"/>
            <w:tcBorders>
              <w:top w:val="single" w:sz="4" w:space="0" w:color="auto"/>
              <w:left w:val="single" w:sz="4" w:space="0" w:color="auto"/>
              <w:right w:val="single" w:sz="4" w:space="0" w:color="auto"/>
            </w:tcBorders>
            <w:vAlign w:val="bottom"/>
          </w:tcPr>
          <w:p w:rsidR="003A564A" w:rsidRDefault="003A564A" w:rsidP="003A564A">
            <w:pPr>
              <w:pStyle w:val="IASBTableArial"/>
            </w:pPr>
            <w:r>
              <w:rPr>
                <w:b/>
                <w:u w:val="single"/>
              </w:rPr>
              <w:t>Background</w:t>
            </w:r>
          </w:p>
        </w:tc>
      </w:tr>
      <w:tr w:rsidR="003A564A" w:rsidTr="003A564A">
        <w:trPr>
          <w:cantSplit/>
        </w:trPr>
        <w:tc>
          <w:tcPr>
            <w:tcW w:w="9208" w:type="dxa"/>
            <w:gridSpan w:val="6"/>
            <w:tcBorders>
              <w:top w:val="nil"/>
              <w:left w:val="single" w:sz="4" w:space="0" w:color="auto"/>
              <w:right w:val="single" w:sz="4" w:space="0" w:color="auto"/>
            </w:tcBorders>
            <w:vAlign w:val="bottom"/>
          </w:tcPr>
          <w:p w:rsidR="003A564A" w:rsidRDefault="003A564A" w:rsidP="003A564A">
            <w:pPr>
              <w:pStyle w:val="IASBTableArial"/>
            </w:pPr>
            <w:r>
              <w:rPr>
                <w:u w:val="single"/>
              </w:rPr>
              <w:t>On 1 January 20X1 an entity grants 100 share appreciation rights (SARs) that will be settled in cash to each of 100 employees on the condition that employees will remain employed for the next four years.</w:t>
            </w:r>
          </w:p>
        </w:tc>
      </w:tr>
      <w:tr w:rsidR="003A564A" w:rsidTr="003A564A">
        <w:trPr>
          <w:cantSplit/>
        </w:trPr>
        <w:tc>
          <w:tcPr>
            <w:tcW w:w="9208" w:type="dxa"/>
            <w:gridSpan w:val="6"/>
            <w:tcBorders>
              <w:top w:val="nil"/>
              <w:left w:val="single" w:sz="4" w:space="0" w:color="auto"/>
              <w:right w:val="single" w:sz="4" w:space="0" w:color="auto"/>
            </w:tcBorders>
            <w:vAlign w:val="bottom"/>
          </w:tcPr>
          <w:p w:rsidR="003A564A" w:rsidRDefault="003A564A" w:rsidP="003A564A">
            <w:pPr>
              <w:pStyle w:val="IASBTableArial"/>
            </w:pPr>
            <w:r>
              <w:rPr>
                <w:u w:val="single"/>
              </w:rPr>
              <w:t>On 31 December 20X1 the entity estimates that the fair value of each SAR is CU10 and consequently, the total fair value of the cash-settled award is CU100,000. On 31 December 20X2 the estimated fair value of each SAR is CU12 and consequently, the total fair value of the cash-settled award is CU120,000.</w:t>
            </w:r>
          </w:p>
        </w:tc>
      </w:tr>
      <w:tr w:rsidR="003A564A" w:rsidTr="003A564A">
        <w:trPr>
          <w:cantSplit/>
        </w:trPr>
        <w:tc>
          <w:tcPr>
            <w:tcW w:w="9208" w:type="dxa"/>
            <w:gridSpan w:val="6"/>
            <w:tcBorders>
              <w:top w:val="nil"/>
              <w:left w:val="single" w:sz="4" w:space="0" w:color="auto"/>
              <w:right w:val="single" w:sz="4" w:space="0" w:color="auto"/>
            </w:tcBorders>
            <w:vAlign w:val="bottom"/>
          </w:tcPr>
          <w:p w:rsidR="003A564A" w:rsidRDefault="003A564A" w:rsidP="003A564A">
            <w:pPr>
              <w:pStyle w:val="IASBTableArial"/>
            </w:pPr>
            <w:r>
              <w:rPr>
                <w:u w:val="single"/>
              </w:rPr>
              <w:t>On 31 December 20X2 the entity cancels the SARs and, in their place, grants 100 share options to each employee on the condition that each employee remains in its employ for the next two years. Therefore the original vesting period is not changed. On this date the fair value of each share option is CU13.20 and consequently, the total fair value of the new grant is CU132,000. All of the employees are expected to and ultimately do provide the required service.</w:t>
            </w:r>
          </w:p>
        </w:tc>
      </w:tr>
      <w:tr w:rsidR="003A564A" w:rsidTr="003A564A">
        <w:trPr>
          <w:cantSplit/>
        </w:trPr>
        <w:tc>
          <w:tcPr>
            <w:tcW w:w="9208" w:type="dxa"/>
            <w:gridSpan w:val="6"/>
            <w:tcBorders>
              <w:top w:val="nil"/>
              <w:left w:val="single" w:sz="4" w:space="0" w:color="auto"/>
              <w:right w:val="single" w:sz="4" w:space="0" w:color="auto"/>
            </w:tcBorders>
            <w:vAlign w:val="bottom"/>
          </w:tcPr>
          <w:p w:rsidR="003A564A" w:rsidRDefault="003A564A" w:rsidP="003A564A">
            <w:pPr>
              <w:pStyle w:val="IASBTableArial"/>
            </w:pPr>
            <w:r>
              <w:rPr>
                <w:u w:val="single"/>
              </w:rPr>
              <w:t>For simplicity, this example assumes that none of the employees’ compensation qualifies for capitalisation as part of the cost of an asset.</w:t>
            </w:r>
          </w:p>
        </w:tc>
      </w:tr>
      <w:tr w:rsidR="003A564A" w:rsidTr="003A564A">
        <w:trPr>
          <w:cantSplit/>
        </w:trPr>
        <w:tc>
          <w:tcPr>
            <w:tcW w:w="9208" w:type="dxa"/>
            <w:gridSpan w:val="6"/>
            <w:tcBorders>
              <w:top w:val="nil"/>
              <w:left w:val="single" w:sz="4" w:space="0" w:color="auto"/>
              <w:right w:val="single" w:sz="4" w:space="0" w:color="auto"/>
            </w:tcBorders>
            <w:vAlign w:val="bottom"/>
          </w:tcPr>
          <w:p w:rsidR="003A564A" w:rsidRDefault="003A564A" w:rsidP="003A564A">
            <w:pPr>
              <w:pStyle w:val="IASBTableArial"/>
            </w:pPr>
            <w:r>
              <w:rPr>
                <w:b/>
                <w:u w:val="single"/>
              </w:rPr>
              <w:t>Application of requirements</w:t>
            </w:r>
          </w:p>
        </w:tc>
      </w:tr>
      <w:tr w:rsidR="003A564A" w:rsidTr="003A564A">
        <w:trPr>
          <w:cantSplit/>
        </w:trPr>
        <w:tc>
          <w:tcPr>
            <w:tcW w:w="9208" w:type="dxa"/>
            <w:gridSpan w:val="6"/>
            <w:tcBorders>
              <w:top w:val="nil"/>
              <w:left w:val="single" w:sz="4" w:space="0" w:color="auto"/>
              <w:right w:val="single" w:sz="4" w:space="0" w:color="auto"/>
            </w:tcBorders>
            <w:vAlign w:val="bottom"/>
          </w:tcPr>
          <w:p w:rsidR="003A564A" w:rsidRDefault="003A564A" w:rsidP="003A564A">
            <w:pPr>
              <w:pStyle w:val="IASBTableArial"/>
            </w:pPr>
            <w:r>
              <w:rPr>
                <w:u w:val="single"/>
              </w:rPr>
              <w:t>At the modification date (31 December 20X2), the entity applies paragraph B44A. Accordingly:</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(a)</w:t>
            </w:r>
          </w:p>
        </w:tc>
        <w:tc>
          <w:tcPr>
            <w:tcW w:w="8190" w:type="dxa"/>
            <w:gridSpan w:val="5"/>
            <w:tcBorders>
              <w:top w:val="nil"/>
              <w:left w:val="nil"/>
              <w:right w:val="single" w:sz="4" w:space="0" w:color="auto"/>
            </w:tcBorders>
            <w:vAlign w:val="bottom"/>
          </w:tcPr>
          <w:p w:rsidR="003A564A" w:rsidRDefault="003A564A" w:rsidP="003A564A">
            <w:pPr>
              <w:pStyle w:val="IASBTableArial"/>
            </w:pPr>
            <w:r>
              <w:rPr>
                <w:u w:val="single"/>
              </w:rPr>
              <w:t>from the date of the modification, the share options are measured by reference to their modification-date fair value and, at the modification date, the share options are recognised in equity to the extent to which the employees have rendered services;</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(b)</w:t>
            </w:r>
          </w:p>
        </w:tc>
        <w:tc>
          <w:tcPr>
            <w:tcW w:w="8190" w:type="dxa"/>
            <w:gridSpan w:val="5"/>
            <w:tcBorders>
              <w:top w:val="nil"/>
              <w:left w:val="nil"/>
              <w:right w:val="single" w:sz="4" w:space="0" w:color="auto"/>
            </w:tcBorders>
            <w:vAlign w:val="bottom"/>
          </w:tcPr>
          <w:p w:rsidR="003A564A" w:rsidRDefault="003A564A" w:rsidP="003A564A">
            <w:pPr>
              <w:pStyle w:val="IASBTableArial"/>
            </w:pPr>
            <w:r>
              <w:rPr>
                <w:u w:val="single"/>
              </w:rPr>
              <w:t>the liability for the SARs is derecognised at the modification date; and</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(c)</w:t>
            </w:r>
          </w:p>
        </w:tc>
        <w:tc>
          <w:tcPr>
            <w:tcW w:w="8190" w:type="dxa"/>
            <w:gridSpan w:val="5"/>
            <w:tcBorders>
              <w:top w:val="nil"/>
              <w:left w:val="nil"/>
              <w:right w:val="single" w:sz="4" w:space="0" w:color="auto"/>
            </w:tcBorders>
            <w:vAlign w:val="bottom"/>
          </w:tcPr>
          <w:p w:rsidR="003A564A" w:rsidRDefault="003A564A" w:rsidP="003A564A">
            <w:pPr>
              <w:pStyle w:val="IASBTableArial"/>
            </w:pPr>
            <w:r>
              <w:rPr>
                <w:u w:val="single"/>
              </w:rPr>
              <w:t>the difference between the carrying amount of the liability derecognised and the equity amount recognised at the modification date is recognised immediately in profit or loss.</w:t>
            </w:r>
          </w:p>
        </w:tc>
      </w:tr>
      <w:tr w:rsidR="003A564A" w:rsidTr="003A564A">
        <w:trPr>
          <w:cantSplit/>
        </w:trPr>
        <w:tc>
          <w:tcPr>
            <w:tcW w:w="9208" w:type="dxa"/>
            <w:gridSpan w:val="6"/>
            <w:tcBorders>
              <w:top w:val="nil"/>
              <w:left w:val="single" w:sz="4" w:space="0" w:color="auto"/>
              <w:right w:val="single" w:sz="4" w:space="0" w:color="auto"/>
            </w:tcBorders>
            <w:vAlign w:val="bottom"/>
          </w:tcPr>
          <w:p w:rsidR="003A564A" w:rsidRDefault="003A564A" w:rsidP="003A564A">
            <w:pPr>
              <w:pStyle w:val="IASBTableArial"/>
            </w:pPr>
            <w:r>
              <w:rPr>
                <w:u w:val="single"/>
              </w:rPr>
              <w:t>At the modification date (31 December 20X2), the entity compares the fair value of the equity-settled replacement award for services provided through to the modification date (CU132,000 × 2⁄4 = CU66,000) with the fair value of the cash-settled original award for those services (CU120,000 × 2⁄4 = CU60,000). The difference (CU6,000) is recognised immediately in profit or loss at the date of the modification.</w:t>
            </w:r>
          </w:p>
        </w:tc>
      </w:tr>
      <w:tr w:rsidR="003A564A" w:rsidTr="003A564A">
        <w:trPr>
          <w:cantSplit/>
        </w:trPr>
        <w:tc>
          <w:tcPr>
            <w:tcW w:w="9208" w:type="dxa"/>
            <w:gridSpan w:val="6"/>
            <w:tcBorders>
              <w:top w:val="nil"/>
              <w:left w:val="single" w:sz="4" w:space="0" w:color="auto"/>
              <w:right w:val="single" w:sz="4" w:space="0" w:color="auto"/>
            </w:tcBorders>
            <w:vAlign w:val="bottom"/>
          </w:tcPr>
          <w:p w:rsidR="003A564A" w:rsidRDefault="003A564A" w:rsidP="003A564A">
            <w:pPr>
              <w:pStyle w:val="IASBTableArial"/>
            </w:pPr>
            <w:r>
              <w:rPr>
                <w:u w:val="single"/>
              </w:rPr>
              <w:t>The remainder of the equity-settled share-based payment (measured at its modification-date fair value) is recognised in profit or loss over the remaining two-year vesting period from the date of the modification.</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p>
        </w:tc>
        <w:tc>
          <w:tcPr>
            <w:tcW w:w="3094" w:type="dxa"/>
            <w:tcBorders>
              <w:top w:val="nil"/>
              <w:left w:val="nil"/>
            </w:tcBorders>
            <w:vAlign w:val="bottom"/>
          </w:tcPr>
          <w:p w:rsidR="003A564A" w:rsidRDefault="003A564A" w:rsidP="003A564A">
            <w:pPr>
              <w:pStyle w:val="IASBTableArial"/>
            </w:pPr>
          </w:p>
        </w:tc>
        <w:tc>
          <w:tcPr>
            <w:tcW w:w="1274" w:type="dxa"/>
            <w:tcBorders>
              <w:top w:val="nil"/>
              <w:left w:val="nil"/>
            </w:tcBorders>
            <w:vAlign w:val="bottom"/>
          </w:tcPr>
          <w:p w:rsidR="003A564A" w:rsidRDefault="003A564A" w:rsidP="003A564A">
            <w:pPr>
              <w:pStyle w:val="IASBTableArial"/>
              <w:jc w:val="center"/>
            </w:pPr>
            <w:proofErr w:type="spellStart"/>
            <w:r>
              <w:rPr>
                <w:b/>
                <w:u w:val="single"/>
              </w:rPr>
              <w:t>Dr.</w:t>
            </w:r>
            <w:proofErr w:type="spellEnd"/>
            <w:r>
              <w:rPr>
                <w:b/>
                <w:u w:val="single"/>
              </w:rPr>
              <w:br/>
              <w:t>Expense</w:t>
            </w:r>
          </w:p>
        </w:tc>
        <w:tc>
          <w:tcPr>
            <w:tcW w:w="1274" w:type="dxa"/>
            <w:tcBorders>
              <w:top w:val="nil"/>
              <w:left w:val="nil"/>
            </w:tcBorders>
            <w:vAlign w:val="bottom"/>
          </w:tcPr>
          <w:p w:rsidR="003A564A" w:rsidRDefault="003A564A" w:rsidP="003A564A">
            <w:pPr>
              <w:pStyle w:val="IASBTableArial"/>
              <w:jc w:val="center"/>
            </w:pPr>
            <w:r>
              <w:rPr>
                <w:b/>
                <w:u w:val="single"/>
              </w:rPr>
              <w:t>Cumulative</w:t>
            </w:r>
            <w:r>
              <w:rPr>
                <w:b/>
                <w:u w:val="single"/>
              </w:rPr>
              <w:br/>
              <w:t>expense</w:t>
            </w:r>
          </w:p>
        </w:tc>
        <w:tc>
          <w:tcPr>
            <w:tcW w:w="1274" w:type="dxa"/>
            <w:tcBorders>
              <w:top w:val="nil"/>
              <w:left w:val="nil"/>
            </w:tcBorders>
            <w:vAlign w:val="bottom"/>
          </w:tcPr>
          <w:p w:rsidR="003A564A" w:rsidRDefault="003A564A" w:rsidP="003A564A">
            <w:pPr>
              <w:pStyle w:val="IASBTableArial"/>
              <w:jc w:val="center"/>
            </w:pPr>
            <w:r>
              <w:rPr>
                <w:b/>
                <w:u w:val="single"/>
              </w:rPr>
              <w:t>Cr.</w:t>
            </w:r>
            <w:r>
              <w:rPr>
                <w:b/>
                <w:u w:val="single"/>
              </w:rPr>
              <w:br/>
              <w:t>Equity</w:t>
            </w:r>
          </w:p>
        </w:tc>
        <w:tc>
          <w:tcPr>
            <w:tcW w:w="1274" w:type="dxa"/>
            <w:tcBorders>
              <w:top w:val="nil"/>
              <w:left w:val="nil"/>
              <w:right w:val="single" w:sz="4" w:space="0" w:color="auto"/>
            </w:tcBorders>
            <w:vAlign w:val="bottom"/>
          </w:tcPr>
          <w:p w:rsidR="003A564A" w:rsidRDefault="003A564A" w:rsidP="003A564A">
            <w:pPr>
              <w:pStyle w:val="IASBTableArial"/>
              <w:jc w:val="center"/>
            </w:pPr>
            <w:r>
              <w:rPr>
                <w:b/>
                <w:u w:val="single"/>
              </w:rPr>
              <w:t>Cr.</w:t>
            </w:r>
            <w:r>
              <w:rPr>
                <w:b/>
                <w:u w:val="single"/>
              </w:rPr>
              <w:br/>
              <w:t>Liability</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r>
              <w:rPr>
                <w:b/>
                <w:u w:val="single"/>
              </w:rPr>
              <w:t>Year</w:t>
            </w:r>
          </w:p>
        </w:tc>
        <w:tc>
          <w:tcPr>
            <w:tcW w:w="3094" w:type="dxa"/>
            <w:tcBorders>
              <w:top w:val="nil"/>
              <w:left w:val="nil"/>
            </w:tcBorders>
            <w:vAlign w:val="bottom"/>
          </w:tcPr>
          <w:p w:rsidR="003A564A" w:rsidRDefault="003A564A" w:rsidP="003A564A">
            <w:pPr>
              <w:pStyle w:val="IASBTableArial"/>
            </w:pPr>
            <w:r>
              <w:rPr>
                <w:b/>
                <w:u w:val="single"/>
              </w:rPr>
              <w:t>Calculation</w:t>
            </w:r>
          </w:p>
        </w:tc>
        <w:tc>
          <w:tcPr>
            <w:tcW w:w="1274" w:type="dxa"/>
            <w:tcBorders>
              <w:top w:val="nil"/>
              <w:left w:val="nil"/>
            </w:tcBorders>
            <w:vAlign w:val="bottom"/>
          </w:tcPr>
          <w:p w:rsidR="003A564A" w:rsidRDefault="003A564A" w:rsidP="003A564A">
            <w:pPr>
              <w:pStyle w:val="IASBTableArial"/>
              <w:jc w:val="center"/>
            </w:pPr>
            <w:r>
              <w:rPr>
                <w:b/>
                <w:u w:val="single"/>
              </w:rPr>
              <w:t>CU</w:t>
            </w:r>
          </w:p>
        </w:tc>
        <w:tc>
          <w:tcPr>
            <w:tcW w:w="1274" w:type="dxa"/>
            <w:tcBorders>
              <w:top w:val="nil"/>
              <w:left w:val="nil"/>
            </w:tcBorders>
            <w:vAlign w:val="bottom"/>
          </w:tcPr>
          <w:p w:rsidR="003A564A" w:rsidRDefault="003A564A" w:rsidP="003A564A">
            <w:pPr>
              <w:pStyle w:val="IASBTableArial"/>
              <w:jc w:val="center"/>
            </w:pPr>
            <w:r>
              <w:rPr>
                <w:b/>
                <w:u w:val="single"/>
              </w:rPr>
              <w:t>CU</w:t>
            </w:r>
          </w:p>
        </w:tc>
        <w:tc>
          <w:tcPr>
            <w:tcW w:w="1274" w:type="dxa"/>
            <w:tcBorders>
              <w:top w:val="nil"/>
              <w:left w:val="nil"/>
            </w:tcBorders>
            <w:vAlign w:val="bottom"/>
          </w:tcPr>
          <w:p w:rsidR="003A564A" w:rsidRDefault="003A564A" w:rsidP="003A564A">
            <w:pPr>
              <w:pStyle w:val="IASBTableArial"/>
              <w:jc w:val="center"/>
            </w:pPr>
            <w:r>
              <w:rPr>
                <w:b/>
                <w:u w:val="single"/>
              </w:rPr>
              <w:t>CU</w:t>
            </w:r>
          </w:p>
        </w:tc>
        <w:tc>
          <w:tcPr>
            <w:tcW w:w="1274" w:type="dxa"/>
            <w:tcBorders>
              <w:top w:val="nil"/>
              <w:left w:val="nil"/>
              <w:right w:val="single" w:sz="4" w:space="0" w:color="auto"/>
            </w:tcBorders>
            <w:vAlign w:val="bottom"/>
          </w:tcPr>
          <w:p w:rsidR="003A564A" w:rsidRDefault="003A564A" w:rsidP="003A564A">
            <w:pPr>
              <w:pStyle w:val="IASBTableArial"/>
              <w:jc w:val="center"/>
            </w:pPr>
            <w:r>
              <w:rPr>
                <w:b/>
                <w:u w:val="single"/>
              </w:rPr>
              <w:t>CU</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1</w:t>
            </w:r>
          </w:p>
        </w:tc>
        <w:tc>
          <w:tcPr>
            <w:tcW w:w="3094" w:type="dxa"/>
            <w:tcBorders>
              <w:top w:val="nil"/>
              <w:left w:val="nil"/>
            </w:tcBorders>
            <w:vAlign w:val="bottom"/>
          </w:tcPr>
          <w:p w:rsidR="003A564A" w:rsidRDefault="003A564A" w:rsidP="003A564A">
            <w:pPr>
              <w:pStyle w:val="IASBTableArial"/>
            </w:pPr>
            <w:r>
              <w:rPr>
                <w:u w:val="single"/>
              </w:rPr>
              <w:t>100 employees ×100 SARs x CU10 × 1⁄4</w:t>
            </w:r>
          </w:p>
        </w:tc>
        <w:tc>
          <w:tcPr>
            <w:tcW w:w="1274" w:type="dxa"/>
            <w:tcBorders>
              <w:top w:val="nil"/>
              <w:left w:val="nil"/>
            </w:tcBorders>
            <w:vAlign w:val="bottom"/>
          </w:tcPr>
          <w:p w:rsidR="003A564A" w:rsidRDefault="003A564A" w:rsidP="003A564A">
            <w:pPr>
              <w:pStyle w:val="IASBTableArial"/>
              <w:jc w:val="center"/>
            </w:pPr>
            <w:r>
              <w:rPr>
                <w:u w:val="single"/>
              </w:rPr>
              <w:t>25,000</w:t>
            </w:r>
          </w:p>
        </w:tc>
        <w:tc>
          <w:tcPr>
            <w:tcW w:w="1274" w:type="dxa"/>
            <w:tcBorders>
              <w:top w:val="nil"/>
              <w:left w:val="nil"/>
            </w:tcBorders>
            <w:vAlign w:val="bottom"/>
          </w:tcPr>
          <w:p w:rsidR="003A564A" w:rsidRDefault="003A564A" w:rsidP="003A564A">
            <w:pPr>
              <w:pStyle w:val="IASBTableArial"/>
              <w:jc w:val="center"/>
            </w:pPr>
            <w:r>
              <w:rPr>
                <w:u w:val="single"/>
              </w:rPr>
              <w:t>–</w:t>
            </w:r>
          </w:p>
        </w:tc>
        <w:tc>
          <w:tcPr>
            <w:tcW w:w="1274" w:type="dxa"/>
            <w:tcBorders>
              <w:top w:val="nil"/>
              <w:left w:val="nil"/>
            </w:tcBorders>
            <w:vAlign w:val="bottom"/>
          </w:tcPr>
          <w:p w:rsidR="003A564A" w:rsidRDefault="003A564A" w:rsidP="003A564A">
            <w:pPr>
              <w:pStyle w:val="IASBTableArial"/>
              <w:jc w:val="center"/>
            </w:pPr>
            <w:r>
              <w:rPr>
                <w:u w:val="single"/>
              </w:rPr>
              <w:t>–</w:t>
            </w:r>
          </w:p>
        </w:tc>
        <w:tc>
          <w:tcPr>
            <w:tcW w:w="1274" w:type="dxa"/>
            <w:tcBorders>
              <w:top w:val="nil"/>
              <w:left w:val="nil"/>
              <w:right w:val="single" w:sz="4" w:space="0" w:color="auto"/>
            </w:tcBorders>
            <w:vAlign w:val="bottom"/>
          </w:tcPr>
          <w:p w:rsidR="003A564A" w:rsidRDefault="003A564A" w:rsidP="003A564A">
            <w:pPr>
              <w:pStyle w:val="IASBTableArial"/>
              <w:jc w:val="center"/>
            </w:pPr>
            <w:r>
              <w:rPr>
                <w:u w:val="single"/>
              </w:rPr>
              <w:t>25,000</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2</w:t>
            </w:r>
          </w:p>
        </w:tc>
        <w:tc>
          <w:tcPr>
            <w:tcW w:w="3094" w:type="dxa"/>
            <w:tcBorders>
              <w:top w:val="nil"/>
              <w:left w:val="nil"/>
            </w:tcBorders>
            <w:vAlign w:val="bottom"/>
          </w:tcPr>
          <w:p w:rsidR="003A564A" w:rsidRDefault="003A564A" w:rsidP="003A564A">
            <w:pPr>
              <w:pStyle w:val="IASBTableArial"/>
            </w:pPr>
            <w:proofErr w:type="spellStart"/>
            <w:r>
              <w:rPr>
                <w:i/>
                <w:u w:val="single"/>
              </w:rPr>
              <w:t>Remeasurement</w:t>
            </w:r>
            <w:proofErr w:type="spellEnd"/>
            <w:r>
              <w:rPr>
                <w:i/>
                <w:u w:val="single"/>
              </w:rPr>
              <w:t xml:space="preserve"> before the modification</w:t>
            </w:r>
            <w:r>
              <w:rPr>
                <w:u w:val="single"/>
              </w:rPr>
              <w:t xml:space="preserve"> 100 employees x 100 SARs × CU12.00 × 2⁄4–25,000</w:t>
            </w:r>
          </w:p>
        </w:tc>
        <w:tc>
          <w:tcPr>
            <w:tcW w:w="1274" w:type="dxa"/>
            <w:tcBorders>
              <w:top w:val="nil"/>
              <w:left w:val="nil"/>
            </w:tcBorders>
            <w:vAlign w:val="bottom"/>
          </w:tcPr>
          <w:p w:rsidR="003A564A" w:rsidRDefault="003A564A" w:rsidP="003A564A">
            <w:pPr>
              <w:pStyle w:val="IASBTableArial"/>
              <w:jc w:val="center"/>
            </w:pPr>
            <w:r>
              <w:rPr>
                <w:u w:val="single"/>
              </w:rPr>
              <w:t>35,000</w:t>
            </w:r>
          </w:p>
        </w:tc>
        <w:tc>
          <w:tcPr>
            <w:tcW w:w="1274" w:type="dxa"/>
            <w:tcBorders>
              <w:top w:val="nil"/>
              <w:left w:val="nil"/>
            </w:tcBorders>
            <w:vAlign w:val="bottom"/>
          </w:tcPr>
          <w:p w:rsidR="003A564A" w:rsidRDefault="003A564A" w:rsidP="003A564A">
            <w:pPr>
              <w:pStyle w:val="IASBTableArial"/>
              <w:jc w:val="center"/>
            </w:pPr>
            <w:r>
              <w:rPr>
                <w:u w:val="single"/>
              </w:rPr>
              <w:t>60,000</w:t>
            </w:r>
          </w:p>
        </w:tc>
        <w:tc>
          <w:tcPr>
            <w:tcW w:w="1274" w:type="dxa"/>
            <w:tcBorders>
              <w:top w:val="nil"/>
              <w:left w:val="nil"/>
            </w:tcBorders>
            <w:vAlign w:val="bottom"/>
          </w:tcPr>
          <w:p w:rsidR="003A564A" w:rsidRDefault="003A564A" w:rsidP="003A564A">
            <w:pPr>
              <w:pStyle w:val="IASBTableArial"/>
              <w:jc w:val="center"/>
            </w:pPr>
            <w:r>
              <w:rPr>
                <w:u w:val="single"/>
              </w:rPr>
              <w:t>–</w:t>
            </w:r>
          </w:p>
        </w:tc>
        <w:tc>
          <w:tcPr>
            <w:tcW w:w="1274" w:type="dxa"/>
            <w:tcBorders>
              <w:top w:val="nil"/>
              <w:left w:val="nil"/>
              <w:right w:val="single" w:sz="4" w:space="0" w:color="auto"/>
            </w:tcBorders>
            <w:vAlign w:val="bottom"/>
          </w:tcPr>
          <w:p w:rsidR="003A564A" w:rsidRDefault="003A564A" w:rsidP="003A564A">
            <w:pPr>
              <w:pStyle w:val="IASBTableArial"/>
              <w:jc w:val="center"/>
            </w:pPr>
            <w:r>
              <w:rPr>
                <w:u w:val="single"/>
              </w:rPr>
              <w:t>35,000</w:t>
            </w:r>
          </w:p>
        </w:tc>
      </w:tr>
      <w:tr w:rsidR="003A564A" w:rsidTr="003A564A">
        <w:trPr>
          <w:cantSplit/>
        </w:trPr>
        <w:tc>
          <w:tcPr>
            <w:tcW w:w="1018" w:type="dxa"/>
            <w:tcBorders>
              <w:top w:val="nil"/>
              <w:left w:val="single" w:sz="4" w:space="0" w:color="auto"/>
            </w:tcBorders>
            <w:vAlign w:val="bottom"/>
          </w:tcPr>
          <w:p w:rsidR="003A564A" w:rsidRDefault="003A564A" w:rsidP="003A564A">
            <w:pPr>
              <w:pStyle w:val="IASBTableArial"/>
            </w:pPr>
          </w:p>
        </w:tc>
        <w:tc>
          <w:tcPr>
            <w:tcW w:w="3094" w:type="dxa"/>
            <w:tcBorders>
              <w:top w:val="nil"/>
              <w:left w:val="nil"/>
            </w:tcBorders>
            <w:vAlign w:val="bottom"/>
          </w:tcPr>
          <w:p w:rsidR="003A564A" w:rsidRDefault="003A564A" w:rsidP="003A564A">
            <w:pPr>
              <w:pStyle w:val="IASBTableArial"/>
            </w:pPr>
            <w:proofErr w:type="spellStart"/>
            <w:r>
              <w:rPr>
                <w:i/>
                <w:u w:val="single"/>
              </w:rPr>
              <w:t>Derecognition</w:t>
            </w:r>
            <w:proofErr w:type="spellEnd"/>
            <w:r>
              <w:rPr>
                <w:i/>
                <w:u w:val="single"/>
              </w:rPr>
              <w:t xml:space="preserve"> of the liability, recognition of the modification date fair value amount in equity and recognition of the effect of settlement for CU6,000</w:t>
            </w:r>
            <w:r>
              <w:rPr>
                <w:u w:val="single"/>
              </w:rPr>
              <w:t xml:space="preserve"> (100 employees x 100 share options × CU13.20 × 2⁄4)–(100 employees × 100 SARs × CU12.00 × 2⁄4)</w:t>
            </w:r>
          </w:p>
        </w:tc>
        <w:tc>
          <w:tcPr>
            <w:tcW w:w="1274" w:type="dxa"/>
            <w:tcBorders>
              <w:top w:val="nil"/>
              <w:left w:val="nil"/>
            </w:tcBorders>
            <w:vAlign w:val="bottom"/>
          </w:tcPr>
          <w:p w:rsidR="003A564A" w:rsidRDefault="003A564A" w:rsidP="003A564A">
            <w:pPr>
              <w:pStyle w:val="IASBTableArial"/>
              <w:jc w:val="center"/>
            </w:pPr>
            <w:r>
              <w:rPr>
                <w:u w:val="single"/>
              </w:rPr>
              <w:t>6,000</w:t>
            </w:r>
          </w:p>
        </w:tc>
        <w:tc>
          <w:tcPr>
            <w:tcW w:w="1274" w:type="dxa"/>
            <w:tcBorders>
              <w:top w:val="nil"/>
              <w:left w:val="nil"/>
            </w:tcBorders>
            <w:vAlign w:val="bottom"/>
          </w:tcPr>
          <w:p w:rsidR="003A564A" w:rsidRDefault="003A564A" w:rsidP="003A564A">
            <w:pPr>
              <w:pStyle w:val="IASBTableArial"/>
              <w:jc w:val="center"/>
            </w:pPr>
            <w:r>
              <w:rPr>
                <w:u w:val="single"/>
              </w:rPr>
              <w:t>66,000</w:t>
            </w:r>
          </w:p>
        </w:tc>
        <w:tc>
          <w:tcPr>
            <w:tcW w:w="1274" w:type="dxa"/>
            <w:tcBorders>
              <w:top w:val="nil"/>
              <w:left w:val="nil"/>
            </w:tcBorders>
            <w:vAlign w:val="bottom"/>
          </w:tcPr>
          <w:p w:rsidR="003A564A" w:rsidRDefault="003A564A" w:rsidP="003A564A">
            <w:pPr>
              <w:pStyle w:val="IASBTableArial"/>
              <w:jc w:val="center"/>
            </w:pPr>
            <w:r>
              <w:rPr>
                <w:u w:val="single"/>
              </w:rPr>
              <w:t>66,000</w:t>
            </w:r>
          </w:p>
        </w:tc>
        <w:tc>
          <w:tcPr>
            <w:tcW w:w="1274" w:type="dxa"/>
            <w:tcBorders>
              <w:top w:val="nil"/>
              <w:left w:val="nil"/>
              <w:right w:val="single" w:sz="4" w:space="0" w:color="auto"/>
            </w:tcBorders>
            <w:vAlign w:val="bottom"/>
          </w:tcPr>
          <w:p w:rsidR="003A564A" w:rsidRDefault="003A564A" w:rsidP="003A564A">
            <w:pPr>
              <w:pStyle w:val="IASBTableArial"/>
              <w:jc w:val="center"/>
            </w:pPr>
            <w:r>
              <w:rPr>
                <w:u w:val="single"/>
              </w:rPr>
              <w:t>(60,000)</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lastRenderedPageBreak/>
              <w:t>3</w:t>
            </w:r>
          </w:p>
        </w:tc>
        <w:tc>
          <w:tcPr>
            <w:tcW w:w="3094" w:type="dxa"/>
            <w:tcBorders>
              <w:top w:val="nil"/>
              <w:left w:val="nil"/>
            </w:tcBorders>
            <w:vAlign w:val="bottom"/>
          </w:tcPr>
          <w:p w:rsidR="003A564A" w:rsidRDefault="003A564A" w:rsidP="003A564A">
            <w:pPr>
              <w:pStyle w:val="IASBTableArial"/>
            </w:pPr>
            <w:r>
              <w:rPr>
                <w:u w:val="single"/>
              </w:rPr>
              <w:t>100 employees × 100 share options × CU13.20 × 3⁄4–CU66,000</w:t>
            </w:r>
          </w:p>
        </w:tc>
        <w:tc>
          <w:tcPr>
            <w:tcW w:w="1274" w:type="dxa"/>
            <w:tcBorders>
              <w:top w:val="nil"/>
              <w:left w:val="nil"/>
            </w:tcBorders>
            <w:vAlign w:val="bottom"/>
          </w:tcPr>
          <w:p w:rsidR="003A564A" w:rsidRDefault="003A564A" w:rsidP="003A564A">
            <w:pPr>
              <w:pStyle w:val="IASBTableArial"/>
              <w:jc w:val="center"/>
            </w:pPr>
            <w:r>
              <w:rPr>
                <w:u w:val="single"/>
              </w:rPr>
              <w:t>33,000</w:t>
            </w:r>
          </w:p>
        </w:tc>
        <w:tc>
          <w:tcPr>
            <w:tcW w:w="1274" w:type="dxa"/>
            <w:tcBorders>
              <w:top w:val="nil"/>
              <w:left w:val="nil"/>
            </w:tcBorders>
            <w:vAlign w:val="bottom"/>
          </w:tcPr>
          <w:p w:rsidR="003A564A" w:rsidRDefault="003A564A" w:rsidP="003A564A">
            <w:pPr>
              <w:pStyle w:val="IASBTableArial"/>
              <w:jc w:val="center"/>
            </w:pPr>
            <w:r>
              <w:rPr>
                <w:u w:val="single"/>
              </w:rPr>
              <w:t>99,000</w:t>
            </w:r>
          </w:p>
        </w:tc>
        <w:tc>
          <w:tcPr>
            <w:tcW w:w="1274" w:type="dxa"/>
            <w:tcBorders>
              <w:top w:val="nil"/>
              <w:left w:val="nil"/>
            </w:tcBorders>
            <w:vAlign w:val="bottom"/>
          </w:tcPr>
          <w:p w:rsidR="003A564A" w:rsidRDefault="003A564A" w:rsidP="003A564A">
            <w:pPr>
              <w:pStyle w:val="IASBTableArial"/>
              <w:jc w:val="center"/>
            </w:pPr>
            <w:r>
              <w:rPr>
                <w:u w:val="single"/>
              </w:rPr>
              <w:t>33,000</w:t>
            </w:r>
          </w:p>
        </w:tc>
        <w:tc>
          <w:tcPr>
            <w:tcW w:w="1274" w:type="dxa"/>
            <w:tcBorders>
              <w:top w:val="nil"/>
              <w:left w:val="nil"/>
              <w:right w:val="single" w:sz="4" w:space="0" w:color="auto"/>
            </w:tcBorders>
            <w:vAlign w:val="bottom"/>
          </w:tcPr>
          <w:p w:rsidR="003A564A" w:rsidRDefault="003A564A" w:rsidP="003A564A">
            <w:pPr>
              <w:pStyle w:val="IASBTableArial"/>
              <w:jc w:val="center"/>
            </w:pPr>
            <w:r>
              <w:rPr>
                <w:u w:val="single"/>
              </w:rPr>
              <w:t>–</w:t>
            </w:r>
          </w:p>
        </w:tc>
      </w:tr>
      <w:tr w:rsidR="003A564A" w:rsidTr="003A564A">
        <w:trPr>
          <w:cantSplit/>
        </w:trPr>
        <w:tc>
          <w:tcPr>
            <w:tcW w:w="1018" w:type="dxa"/>
            <w:tcBorders>
              <w:top w:val="nil"/>
              <w:left w:val="single" w:sz="4" w:space="0" w:color="auto"/>
            </w:tcBorders>
          </w:tcPr>
          <w:p w:rsidR="003A564A" w:rsidRDefault="003A564A" w:rsidP="003A564A">
            <w:pPr>
              <w:pStyle w:val="IASBTableArial"/>
            </w:pPr>
            <w:r>
              <w:rPr>
                <w:u w:val="single"/>
              </w:rPr>
              <w:t>4</w:t>
            </w:r>
          </w:p>
        </w:tc>
        <w:tc>
          <w:tcPr>
            <w:tcW w:w="3094" w:type="dxa"/>
            <w:tcBorders>
              <w:top w:val="nil"/>
              <w:left w:val="nil"/>
            </w:tcBorders>
            <w:vAlign w:val="bottom"/>
          </w:tcPr>
          <w:p w:rsidR="003A564A" w:rsidRDefault="003A564A" w:rsidP="003A564A">
            <w:pPr>
              <w:pStyle w:val="IASBTableArial"/>
            </w:pPr>
            <w:r>
              <w:rPr>
                <w:u w:val="single"/>
              </w:rPr>
              <w:t>100 employees x 100 share options × CU13.20 × 4⁄4–CU99,000</w:t>
            </w:r>
          </w:p>
        </w:tc>
        <w:tc>
          <w:tcPr>
            <w:tcW w:w="1274" w:type="dxa"/>
            <w:tcBorders>
              <w:top w:val="nil"/>
              <w:left w:val="nil"/>
            </w:tcBorders>
            <w:vAlign w:val="bottom"/>
          </w:tcPr>
          <w:p w:rsidR="003A564A" w:rsidRDefault="003A564A" w:rsidP="003A564A">
            <w:pPr>
              <w:pStyle w:val="IASBTableArial"/>
              <w:jc w:val="center"/>
            </w:pPr>
            <w:r>
              <w:rPr>
                <w:u w:val="single"/>
              </w:rPr>
              <w:t>33,000</w:t>
            </w:r>
          </w:p>
        </w:tc>
        <w:tc>
          <w:tcPr>
            <w:tcW w:w="1274" w:type="dxa"/>
            <w:tcBorders>
              <w:top w:val="nil"/>
              <w:left w:val="nil"/>
            </w:tcBorders>
            <w:vAlign w:val="bottom"/>
          </w:tcPr>
          <w:p w:rsidR="003A564A" w:rsidRDefault="003A564A" w:rsidP="003A564A">
            <w:pPr>
              <w:pStyle w:val="IASBTableArial"/>
              <w:jc w:val="center"/>
            </w:pPr>
            <w:r>
              <w:rPr>
                <w:u w:val="single"/>
              </w:rPr>
              <w:t>132,000</w:t>
            </w:r>
          </w:p>
        </w:tc>
        <w:tc>
          <w:tcPr>
            <w:tcW w:w="1274" w:type="dxa"/>
            <w:tcBorders>
              <w:top w:val="nil"/>
              <w:left w:val="nil"/>
            </w:tcBorders>
            <w:vAlign w:val="bottom"/>
          </w:tcPr>
          <w:p w:rsidR="003A564A" w:rsidRDefault="003A564A" w:rsidP="003A564A">
            <w:pPr>
              <w:pStyle w:val="IASBTableArial"/>
              <w:jc w:val="center"/>
            </w:pPr>
            <w:r>
              <w:rPr>
                <w:u w:val="single"/>
              </w:rPr>
              <w:t>33,000</w:t>
            </w:r>
          </w:p>
        </w:tc>
        <w:tc>
          <w:tcPr>
            <w:tcW w:w="1274" w:type="dxa"/>
            <w:tcBorders>
              <w:top w:val="nil"/>
              <w:left w:val="nil"/>
              <w:right w:val="single" w:sz="4" w:space="0" w:color="auto"/>
            </w:tcBorders>
            <w:vAlign w:val="bottom"/>
          </w:tcPr>
          <w:p w:rsidR="003A564A" w:rsidRDefault="003A564A" w:rsidP="003A564A">
            <w:pPr>
              <w:pStyle w:val="IASBTableArial"/>
              <w:jc w:val="center"/>
            </w:pPr>
            <w:r>
              <w:rPr>
                <w:u w:val="single"/>
              </w:rPr>
              <w:t>–</w:t>
            </w:r>
          </w:p>
        </w:tc>
      </w:tr>
      <w:tr w:rsidR="003A564A" w:rsidTr="003A564A">
        <w:trPr>
          <w:cantSplit/>
        </w:trPr>
        <w:tc>
          <w:tcPr>
            <w:tcW w:w="1018" w:type="dxa"/>
            <w:tcBorders>
              <w:top w:val="nil"/>
              <w:left w:val="single" w:sz="4" w:space="0" w:color="auto"/>
              <w:bottom w:val="single" w:sz="4" w:space="0" w:color="auto"/>
            </w:tcBorders>
            <w:vAlign w:val="bottom"/>
          </w:tcPr>
          <w:p w:rsidR="003A564A" w:rsidRDefault="003A564A" w:rsidP="003A564A">
            <w:pPr>
              <w:pStyle w:val="IASBTableArial"/>
            </w:pPr>
          </w:p>
        </w:tc>
        <w:tc>
          <w:tcPr>
            <w:tcW w:w="3094" w:type="dxa"/>
            <w:tcBorders>
              <w:top w:val="nil"/>
              <w:left w:val="nil"/>
              <w:bottom w:val="single" w:sz="4" w:space="0" w:color="auto"/>
            </w:tcBorders>
            <w:vAlign w:val="bottom"/>
          </w:tcPr>
          <w:p w:rsidR="003A564A" w:rsidRDefault="003A564A" w:rsidP="003A564A">
            <w:pPr>
              <w:pStyle w:val="IASBTableArial"/>
            </w:pPr>
            <w:r>
              <w:rPr>
                <w:u w:val="single"/>
              </w:rPr>
              <w:t>Total</w:t>
            </w:r>
          </w:p>
        </w:tc>
        <w:tc>
          <w:tcPr>
            <w:tcW w:w="1274" w:type="dxa"/>
            <w:tcBorders>
              <w:top w:val="nil"/>
              <w:left w:val="nil"/>
              <w:bottom w:val="single" w:sz="4" w:space="0" w:color="auto"/>
            </w:tcBorders>
            <w:vAlign w:val="bottom"/>
          </w:tcPr>
          <w:p w:rsidR="003A564A" w:rsidRDefault="003A564A" w:rsidP="003A564A">
            <w:pPr>
              <w:pStyle w:val="IASBTableArial"/>
              <w:jc w:val="center"/>
            </w:pPr>
          </w:p>
        </w:tc>
        <w:tc>
          <w:tcPr>
            <w:tcW w:w="1274" w:type="dxa"/>
            <w:tcBorders>
              <w:top w:val="nil"/>
              <w:left w:val="nil"/>
              <w:bottom w:val="single" w:sz="4" w:space="0" w:color="auto"/>
            </w:tcBorders>
            <w:vAlign w:val="bottom"/>
          </w:tcPr>
          <w:p w:rsidR="003A564A" w:rsidRDefault="003A564A" w:rsidP="003A564A">
            <w:pPr>
              <w:pStyle w:val="IASBTableArial"/>
              <w:jc w:val="center"/>
            </w:pPr>
          </w:p>
        </w:tc>
        <w:tc>
          <w:tcPr>
            <w:tcW w:w="1274" w:type="dxa"/>
            <w:tcBorders>
              <w:top w:val="nil"/>
              <w:left w:val="nil"/>
              <w:bottom w:val="single" w:sz="4" w:space="0" w:color="auto"/>
            </w:tcBorders>
            <w:vAlign w:val="bottom"/>
          </w:tcPr>
          <w:p w:rsidR="003A564A" w:rsidRDefault="003A564A" w:rsidP="003A564A">
            <w:pPr>
              <w:pStyle w:val="IASBTableArial"/>
              <w:jc w:val="center"/>
            </w:pPr>
            <w:r>
              <w:rPr>
                <w:u w:val="single"/>
              </w:rPr>
              <w:t>132,000</w:t>
            </w:r>
          </w:p>
        </w:tc>
        <w:tc>
          <w:tcPr>
            <w:tcW w:w="1274" w:type="dxa"/>
            <w:tcBorders>
              <w:top w:val="nil"/>
              <w:left w:val="nil"/>
              <w:bottom w:val="single" w:sz="4" w:space="0" w:color="auto"/>
              <w:right w:val="single" w:sz="4" w:space="0" w:color="auto"/>
            </w:tcBorders>
            <w:vAlign w:val="bottom"/>
          </w:tcPr>
          <w:p w:rsidR="003A564A" w:rsidRDefault="003A564A" w:rsidP="003A564A">
            <w:pPr>
              <w:pStyle w:val="IASBTableArial"/>
              <w:jc w:val="center"/>
            </w:pPr>
            <w:r>
              <w:rPr>
                <w:u w:val="single"/>
              </w:rPr>
              <w:t>–</w:t>
            </w:r>
          </w:p>
        </w:tc>
      </w:tr>
    </w:tbl>
    <w:p w:rsidR="00777857" w:rsidRDefault="00777857">
      <w:pPr>
        <w:pStyle w:val="Heading2"/>
      </w:pPr>
      <w:r>
        <w:t>Commencement of the legislative instrument</w:t>
      </w:r>
    </w:p>
    <w:p w:rsidR="00777857" w:rsidRPr="0000292B" w:rsidRDefault="00777857" w:rsidP="000812F8">
      <w:pPr>
        <w:pStyle w:val="NoNumPlain1"/>
      </w:pPr>
      <w:r>
        <w:t xml:space="preserve">For legal purposes, this legislative instrument commences on </w:t>
      </w:r>
      <w:bookmarkStart w:id="67" w:name="CommenceDate"/>
      <w:r>
        <w:t>31 December 2017</w:t>
      </w:r>
      <w:bookmarkEnd w:id="67"/>
      <w:r>
        <w:t>.</w:t>
      </w:r>
    </w:p>
    <w:p w:rsidR="00777857" w:rsidRPr="00BC0794" w:rsidRDefault="00777857" w:rsidP="00BC0794">
      <w:pPr>
        <w:pStyle w:val="NoNumPlain1"/>
      </w:pPr>
    </w:p>
    <w:sectPr w:rsidR="00777857" w:rsidRPr="00BC0794" w:rsidSect="00D74C6A">
      <w:headerReference w:type="default" r:id="rId16"/>
      <w:footerReference w:type="default" r:id="rId17"/>
      <w:headerReference w:type="first" r:id="rId18"/>
      <w:footerReference w:type="first" r:id="rId19"/>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64A" w:rsidRDefault="003A564A">
      <w:r>
        <w:separator/>
      </w:r>
    </w:p>
  </w:endnote>
  <w:endnote w:type="continuationSeparator" w:id="0">
    <w:p w:rsidR="003A564A" w:rsidRDefault="003A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4A" w:rsidRDefault="003A564A">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0B13B6" w:rsidRPr="000B13B6">
      <w:rPr>
        <w:b/>
      </w:rPr>
      <w:t>2016-5</w:t>
    </w:r>
    <w:r>
      <w:rPr>
        <w:b/>
      </w:rPr>
      <w:fldChar w:fldCharType="end"/>
    </w:r>
    <w:r>
      <w:rPr>
        <w:b/>
      </w:rPr>
      <w:tab/>
    </w:r>
    <w:r>
      <w:fldChar w:fldCharType="begin"/>
    </w:r>
    <w:r>
      <w:instrText>PAGE</w:instrText>
    </w:r>
    <w:r>
      <w:fldChar w:fldCharType="separate"/>
    </w:r>
    <w:r w:rsidR="00147284">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4A" w:rsidRDefault="003A564A">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0B13B6" w:rsidRPr="000B13B6">
      <w:rPr>
        <w:b/>
      </w:rPr>
      <w:t>2016-5</w:t>
    </w:r>
    <w:r>
      <w:rPr>
        <w:b/>
      </w:rPr>
      <w:fldChar w:fldCharType="end"/>
    </w:r>
    <w:r>
      <w:rPr>
        <w:b/>
      </w:rPr>
      <w:tab/>
    </w:r>
    <w:r>
      <w:fldChar w:fldCharType="begin"/>
    </w:r>
    <w:r>
      <w:instrText>PAGE</w:instrText>
    </w:r>
    <w:r>
      <w:fldChar w:fldCharType="separate"/>
    </w:r>
    <w:r w:rsidR="00147284">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4A" w:rsidRDefault="003A564A">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0B13B6" w:rsidRPr="000B13B6">
      <w:rPr>
        <w:b/>
      </w:rPr>
      <w:t>2016-5</w:t>
    </w:r>
    <w:r>
      <w:rPr>
        <w:b/>
      </w:rPr>
      <w:fldChar w:fldCharType="end"/>
    </w:r>
    <w:r>
      <w:rPr>
        <w:b/>
      </w:rPr>
      <w:tab/>
    </w:r>
    <w:r>
      <w:fldChar w:fldCharType="begin"/>
    </w:r>
    <w:r>
      <w:instrText>PAGE</w:instrText>
    </w:r>
    <w:r>
      <w:fldChar w:fldCharType="separate"/>
    </w:r>
    <w:r w:rsidR="00147284">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4A" w:rsidRDefault="003A564A">
    <w:pPr>
      <w:pStyle w:val="IASBNormalnparaL2P"/>
      <w:tabs>
        <w:tab w:val="center" w:pos="4677"/>
        <w:tab w:val="right" w:pos="9354"/>
      </w:tabs>
      <w:spacing w:before="0"/>
      <w:ind w:left="0"/>
      <w:jc w:val="left"/>
      <w:rPr>
        <w:sz w:val="17"/>
        <w:lang w:val="en-GB" w:eastAsia="en-GB"/>
      </w:rPr>
    </w:pPr>
    <w:r>
      <w:rPr>
        <w:sz w:val="17"/>
        <w:lang w:val="en-GB" w:eastAsia="en-GB"/>
      </w:rPr>
      <w:fldChar w:fldCharType="begin"/>
    </w:r>
    <w:r>
      <w:rPr>
        <w:sz w:val="17"/>
        <w:lang w:val="en-GB" w:eastAsia="en-GB"/>
      </w:rPr>
      <w:instrText xml:space="preserve"> PAGE </w:instrText>
    </w:r>
    <w:r>
      <w:rPr>
        <w:sz w:val="17"/>
        <w:lang w:val="en-GB" w:eastAsia="en-GB"/>
      </w:rPr>
      <w:fldChar w:fldCharType="separate"/>
    </w:r>
    <w:r w:rsidR="000B13B6">
      <w:rPr>
        <w:noProof/>
        <w:sz w:val="17"/>
        <w:lang w:val="en-GB" w:eastAsia="en-GB"/>
      </w:rPr>
      <w:t>13</w:t>
    </w:r>
    <w:r>
      <w:rPr>
        <w:sz w:val="17"/>
        <w:lang w:val="en-GB" w:eastAsia="en-GB"/>
      </w:rPr>
      <w:fldChar w:fldCharType="end"/>
    </w:r>
    <w:r>
      <w:rPr>
        <w:sz w:val="17"/>
        <w:lang w:val="en-GB" w:eastAsia="en-GB"/>
      </w:rPr>
      <w:tab/>
    </w:r>
    <w:r>
      <w:rPr>
        <w:sz w:val="17"/>
        <w:vertAlign w:val="superscript"/>
        <w:lang w:val="en-GB" w:eastAsia="en-GB"/>
      </w:rPr>
      <w:t>©</w:t>
    </w:r>
    <w:r>
      <w:rPr>
        <w:sz w:val="17"/>
        <w:lang w:val="en-GB" w:eastAsia="en-GB"/>
      </w:rPr>
      <w:t xml:space="preserve"> IFRS Foundation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4A" w:rsidRPr="000B13B6" w:rsidRDefault="00D50F0B" w:rsidP="000B13B6">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0B13B6" w:rsidRPr="000B13B6">
      <w:rPr>
        <w:b/>
      </w:rPr>
      <w:t>2016-5</w:t>
    </w:r>
    <w:r>
      <w:rPr>
        <w:b/>
      </w:rPr>
      <w:fldChar w:fldCharType="end"/>
    </w:r>
    <w:r>
      <w:rPr>
        <w:b/>
      </w:rPr>
      <w:tab/>
    </w:r>
    <w:r>
      <w:fldChar w:fldCharType="begin"/>
    </w:r>
    <w:r>
      <w:instrText>PAGE</w:instrText>
    </w:r>
    <w:r>
      <w:fldChar w:fldCharType="separate"/>
    </w:r>
    <w:r w:rsidR="00147284">
      <w:rPr>
        <w:noProof/>
      </w:rPr>
      <w:t>8</w:t>
    </w:r>
    <w:r>
      <w:fldChar w:fldCharType="end"/>
    </w:r>
    <w:r>
      <w:tab/>
    </w:r>
    <w:r>
      <w:rPr>
        <w:b/>
        <w:bCs/>
      </w:rPr>
      <w:t>STANDARD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4A" w:rsidRDefault="003A564A">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0B13B6" w:rsidRPr="000B13B6">
      <w:rPr>
        <w:b/>
      </w:rPr>
      <w:t>2016-5</w:t>
    </w:r>
    <w:r>
      <w:rPr>
        <w:b/>
      </w:rPr>
      <w:fldChar w:fldCharType="end"/>
    </w:r>
    <w:r>
      <w:rPr>
        <w:b/>
      </w:rPr>
      <w:tab/>
    </w:r>
    <w:r>
      <w:fldChar w:fldCharType="begin"/>
    </w:r>
    <w:r>
      <w:instrText>PAGE</w:instrText>
    </w:r>
    <w:r>
      <w:fldChar w:fldCharType="separate"/>
    </w:r>
    <w:r w:rsidR="00147284">
      <w:rPr>
        <w:noProof/>
      </w:rPr>
      <w:t>13</w:t>
    </w:r>
    <w:r>
      <w:fldChar w:fldCharType="end"/>
    </w:r>
    <w:r>
      <w:tab/>
    </w:r>
    <w:r>
      <w:rPr>
        <w:b/>
        <w:bCs/>
      </w:rPr>
      <w:t>STANDARD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4A" w:rsidRDefault="003A5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64A" w:rsidRDefault="003A564A">
      <w:r>
        <w:separator/>
      </w:r>
    </w:p>
  </w:footnote>
  <w:footnote w:type="continuationSeparator" w:id="0">
    <w:p w:rsidR="003A564A" w:rsidRDefault="003A5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4A" w:rsidRPr="003B4093" w:rsidRDefault="003A564A" w:rsidP="003A564A">
    <w:pPr>
      <w:pStyle w:val="IASBNormalnparaL1P"/>
      <w:tabs>
        <w:tab w:val="right" w:pos="9354"/>
      </w:tabs>
      <w:spacing w:before="0"/>
      <w:ind w:left="0"/>
      <w:jc w:val="center"/>
      <w:rPr>
        <w:smallCaps/>
        <w:sz w:val="20"/>
        <w:lang w:val="en-GB" w:eastAsia="en-GB"/>
      </w:rPr>
    </w:pPr>
    <w:r>
      <w:rPr>
        <w:smallCaps/>
        <w:sz w:val="20"/>
        <w:lang w:val="en-GB" w:eastAsia="en-GB"/>
      </w:rPr>
      <w:t>Amendments to IFRS 2</w:t>
    </w:r>
  </w:p>
  <w:p w:rsidR="003A564A" w:rsidRDefault="003A564A">
    <w:pPr>
      <w:pStyle w:val="IASBNormalnparaL1P"/>
      <w:tabs>
        <w:tab w:val="right" w:pos="9354"/>
      </w:tabs>
      <w:spacing w:before="0"/>
      <w:ind w:left="0"/>
      <w:jc w:val="left"/>
      <w:rPr>
        <w:sz w:val="20"/>
        <w:lang w:val="en-GB" w:eastAsia="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0B" w:rsidRPr="009749A1" w:rsidRDefault="00D50F0B" w:rsidP="00D50F0B">
    <w:pPr>
      <w:pStyle w:val="Header"/>
      <w:jc w:val="center"/>
      <w:rPr>
        <w:b/>
        <w:szCs w:val="19"/>
      </w:rPr>
    </w:pPr>
  </w:p>
  <w:p w:rsidR="003A564A" w:rsidRPr="00D50F0B" w:rsidRDefault="003A564A">
    <w:pPr>
      <w:pStyle w:val="IASBNormalnparaL1P"/>
      <w:tabs>
        <w:tab w:val="right" w:pos="9354"/>
      </w:tabs>
      <w:spacing w:before="0"/>
      <w:ind w:left="0"/>
      <w:jc w:val="left"/>
      <w:rPr>
        <w:sz w:val="20"/>
        <w:lang w:val="en-AU" w:eastAsia="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4A" w:rsidRPr="001F12A7" w:rsidRDefault="003A564A" w:rsidP="001F12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4A" w:rsidRDefault="003A5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3F92581"/>
    <w:multiLevelType w:val="multilevel"/>
    <w:tmpl w:val="AD5ABFF2"/>
    <w:numStyleLink w:val="AASBSubNumbers"/>
  </w:abstractNum>
  <w:abstractNum w:abstractNumId="2">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9">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3"/>
  </w:num>
  <w:num w:numId="6">
    <w:abstractNumId w:val="9"/>
  </w:num>
  <w:num w:numId="7">
    <w:abstractNumId w:val="4"/>
  </w:num>
  <w:num w:numId="8">
    <w:abstractNumId w:val="5"/>
  </w:num>
  <w:num w:numId="9">
    <w:abstractNumId w:val="1"/>
  </w:num>
  <w:num w:numId="10">
    <w:abstractNumId w:val="0"/>
  </w:num>
  <w:num w:numId="11">
    <w:abstractNumId w:val="7"/>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24577">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57"/>
    <w:rsid w:val="0000292B"/>
    <w:rsid w:val="00027E8B"/>
    <w:rsid w:val="0004455B"/>
    <w:rsid w:val="00061BA4"/>
    <w:rsid w:val="000625F2"/>
    <w:rsid w:val="00074133"/>
    <w:rsid w:val="000812F8"/>
    <w:rsid w:val="00090A6F"/>
    <w:rsid w:val="00096027"/>
    <w:rsid w:val="000B13B6"/>
    <w:rsid w:val="000B733C"/>
    <w:rsid w:val="000C3EB0"/>
    <w:rsid w:val="000D7B40"/>
    <w:rsid w:val="000F64CC"/>
    <w:rsid w:val="00110B96"/>
    <w:rsid w:val="001158DA"/>
    <w:rsid w:val="001162C5"/>
    <w:rsid w:val="001206CF"/>
    <w:rsid w:val="0014046C"/>
    <w:rsid w:val="00147284"/>
    <w:rsid w:val="001662B8"/>
    <w:rsid w:val="00170534"/>
    <w:rsid w:val="00171F51"/>
    <w:rsid w:val="001761C6"/>
    <w:rsid w:val="001864D4"/>
    <w:rsid w:val="0019286F"/>
    <w:rsid w:val="001B33A5"/>
    <w:rsid w:val="001C225F"/>
    <w:rsid w:val="001F12A7"/>
    <w:rsid w:val="001F78DF"/>
    <w:rsid w:val="0022022E"/>
    <w:rsid w:val="00254B16"/>
    <w:rsid w:val="002753C5"/>
    <w:rsid w:val="00276BC5"/>
    <w:rsid w:val="0028086D"/>
    <w:rsid w:val="00283482"/>
    <w:rsid w:val="0029647E"/>
    <w:rsid w:val="002A063F"/>
    <w:rsid w:val="002A201D"/>
    <w:rsid w:val="002B7803"/>
    <w:rsid w:val="002F1CD0"/>
    <w:rsid w:val="002F37D0"/>
    <w:rsid w:val="002F5374"/>
    <w:rsid w:val="00307F26"/>
    <w:rsid w:val="003251D8"/>
    <w:rsid w:val="0033581C"/>
    <w:rsid w:val="00363C19"/>
    <w:rsid w:val="00364B30"/>
    <w:rsid w:val="00367DC9"/>
    <w:rsid w:val="00377B8D"/>
    <w:rsid w:val="00382796"/>
    <w:rsid w:val="0039009E"/>
    <w:rsid w:val="003A488F"/>
    <w:rsid w:val="003A564A"/>
    <w:rsid w:val="003B0CAA"/>
    <w:rsid w:val="003B0E71"/>
    <w:rsid w:val="003B6633"/>
    <w:rsid w:val="003D1DD4"/>
    <w:rsid w:val="003E0A68"/>
    <w:rsid w:val="003E1900"/>
    <w:rsid w:val="0040096E"/>
    <w:rsid w:val="00401ECA"/>
    <w:rsid w:val="004150BD"/>
    <w:rsid w:val="00422E4D"/>
    <w:rsid w:val="00426876"/>
    <w:rsid w:val="00434D86"/>
    <w:rsid w:val="004355CC"/>
    <w:rsid w:val="00436A2D"/>
    <w:rsid w:val="0044702C"/>
    <w:rsid w:val="0044773C"/>
    <w:rsid w:val="00454764"/>
    <w:rsid w:val="00460FBB"/>
    <w:rsid w:val="00470CE9"/>
    <w:rsid w:val="0047683E"/>
    <w:rsid w:val="0048155F"/>
    <w:rsid w:val="00487CF6"/>
    <w:rsid w:val="004961F8"/>
    <w:rsid w:val="004962B0"/>
    <w:rsid w:val="004A417F"/>
    <w:rsid w:val="004B038C"/>
    <w:rsid w:val="004B736C"/>
    <w:rsid w:val="004C1FD8"/>
    <w:rsid w:val="004C5BDE"/>
    <w:rsid w:val="004D3809"/>
    <w:rsid w:val="004D4D1C"/>
    <w:rsid w:val="004F55FE"/>
    <w:rsid w:val="00500E80"/>
    <w:rsid w:val="00511C34"/>
    <w:rsid w:val="005166B2"/>
    <w:rsid w:val="005319CD"/>
    <w:rsid w:val="0053452C"/>
    <w:rsid w:val="00535EC5"/>
    <w:rsid w:val="0056274D"/>
    <w:rsid w:val="005655CE"/>
    <w:rsid w:val="00577065"/>
    <w:rsid w:val="0058004D"/>
    <w:rsid w:val="00580BC4"/>
    <w:rsid w:val="00590051"/>
    <w:rsid w:val="005A2514"/>
    <w:rsid w:val="005A6AC7"/>
    <w:rsid w:val="005B146F"/>
    <w:rsid w:val="005E6BE4"/>
    <w:rsid w:val="005E7E12"/>
    <w:rsid w:val="00602261"/>
    <w:rsid w:val="00616310"/>
    <w:rsid w:val="00641282"/>
    <w:rsid w:val="00652DF8"/>
    <w:rsid w:val="006A3AE9"/>
    <w:rsid w:val="006A40E5"/>
    <w:rsid w:val="006B0CD6"/>
    <w:rsid w:val="006C2E37"/>
    <w:rsid w:val="006D055E"/>
    <w:rsid w:val="006D134A"/>
    <w:rsid w:val="006D4700"/>
    <w:rsid w:val="006D7679"/>
    <w:rsid w:val="006E1559"/>
    <w:rsid w:val="006E2C39"/>
    <w:rsid w:val="00714340"/>
    <w:rsid w:val="007219F7"/>
    <w:rsid w:val="007333C2"/>
    <w:rsid w:val="00737714"/>
    <w:rsid w:val="00742E4B"/>
    <w:rsid w:val="007455F0"/>
    <w:rsid w:val="00751F6A"/>
    <w:rsid w:val="007554ED"/>
    <w:rsid w:val="00755E40"/>
    <w:rsid w:val="00756FF6"/>
    <w:rsid w:val="0076127E"/>
    <w:rsid w:val="00777857"/>
    <w:rsid w:val="0078116B"/>
    <w:rsid w:val="007A6BC3"/>
    <w:rsid w:val="007F1D3D"/>
    <w:rsid w:val="00812637"/>
    <w:rsid w:val="00813227"/>
    <w:rsid w:val="00820794"/>
    <w:rsid w:val="00831497"/>
    <w:rsid w:val="008459E8"/>
    <w:rsid w:val="00864ADE"/>
    <w:rsid w:val="00867FB0"/>
    <w:rsid w:val="00871A12"/>
    <w:rsid w:val="00881BBE"/>
    <w:rsid w:val="00895809"/>
    <w:rsid w:val="008A16EB"/>
    <w:rsid w:val="008A6182"/>
    <w:rsid w:val="008B1D94"/>
    <w:rsid w:val="008B4C8D"/>
    <w:rsid w:val="008B643A"/>
    <w:rsid w:val="008C1C4A"/>
    <w:rsid w:val="008C60B1"/>
    <w:rsid w:val="008C6BD0"/>
    <w:rsid w:val="008D2EBD"/>
    <w:rsid w:val="008F0A81"/>
    <w:rsid w:val="008F3EBA"/>
    <w:rsid w:val="008F4AC5"/>
    <w:rsid w:val="008F5963"/>
    <w:rsid w:val="00923261"/>
    <w:rsid w:val="009256B7"/>
    <w:rsid w:val="00970C7A"/>
    <w:rsid w:val="009721DB"/>
    <w:rsid w:val="00972BFA"/>
    <w:rsid w:val="009749A1"/>
    <w:rsid w:val="009965BA"/>
    <w:rsid w:val="009B63F7"/>
    <w:rsid w:val="009B6535"/>
    <w:rsid w:val="009C2479"/>
    <w:rsid w:val="009D06F8"/>
    <w:rsid w:val="009D73F1"/>
    <w:rsid w:val="00A05041"/>
    <w:rsid w:val="00A13F82"/>
    <w:rsid w:val="00A16664"/>
    <w:rsid w:val="00A22E0D"/>
    <w:rsid w:val="00A41ED3"/>
    <w:rsid w:val="00A47FA2"/>
    <w:rsid w:val="00A51A7E"/>
    <w:rsid w:val="00A55F4F"/>
    <w:rsid w:val="00A748BA"/>
    <w:rsid w:val="00A83862"/>
    <w:rsid w:val="00A8486C"/>
    <w:rsid w:val="00A96702"/>
    <w:rsid w:val="00A97EB2"/>
    <w:rsid w:val="00AA14A9"/>
    <w:rsid w:val="00AB780A"/>
    <w:rsid w:val="00AC4315"/>
    <w:rsid w:val="00AC4F06"/>
    <w:rsid w:val="00AD42DA"/>
    <w:rsid w:val="00AF61B8"/>
    <w:rsid w:val="00B0505F"/>
    <w:rsid w:val="00B110AD"/>
    <w:rsid w:val="00B16904"/>
    <w:rsid w:val="00B271BA"/>
    <w:rsid w:val="00B3429E"/>
    <w:rsid w:val="00B74237"/>
    <w:rsid w:val="00B82F15"/>
    <w:rsid w:val="00BA2D2A"/>
    <w:rsid w:val="00BA3AB4"/>
    <w:rsid w:val="00BA4622"/>
    <w:rsid w:val="00BB4C9F"/>
    <w:rsid w:val="00BC0794"/>
    <w:rsid w:val="00BC0D5D"/>
    <w:rsid w:val="00BE2F68"/>
    <w:rsid w:val="00BE38FC"/>
    <w:rsid w:val="00C03C7B"/>
    <w:rsid w:val="00C3493B"/>
    <w:rsid w:val="00C37458"/>
    <w:rsid w:val="00C438DD"/>
    <w:rsid w:val="00C43CD1"/>
    <w:rsid w:val="00C45020"/>
    <w:rsid w:val="00C5022C"/>
    <w:rsid w:val="00C552FD"/>
    <w:rsid w:val="00C63573"/>
    <w:rsid w:val="00C95D8A"/>
    <w:rsid w:val="00CA61C5"/>
    <w:rsid w:val="00CB719A"/>
    <w:rsid w:val="00CC1DF4"/>
    <w:rsid w:val="00CC6FCD"/>
    <w:rsid w:val="00CD5D1C"/>
    <w:rsid w:val="00CE2F8C"/>
    <w:rsid w:val="00CF75CA"/>
    <w:rsid w:val="00CF7B67"/>
    <w:rsid w:val="00D00FD5"/>
    <w:rsid w:val="00D50F0B"/>
    <w:rsid w:val="00D52086"/>
    <w:rsid w:val="00D54F5C"/>
    <w:rsid w:val="00D603AA"/>
    <w:rsid w:val="00D67336"/>
    <w:rsid w:val="00D74038"/>
    <w:rsid w:val="00D74C6A"/>
    <w:rsid w:val="00D942EB"/>
    <w:rsid w:val="00D96A64"/>
    <w:rsid w:val="00DA1E3D"/>
    <w:rsid w:val="00DA2A7B"/>
    <w:rsid w:val="00DB00CD"/>
    <w:rsid w:val="00DC7E1B"/>
    <w:rsid w:val="00DD1DDC"/>
    <w:rsid w:val="00DD7E7A"/>
    <w:rsid w:val="00DF39E3"/>
    <w:rsid w:val="00E033B7"/>
    <w:rsid w:val="00E06C2F"/>
    <w:rsid w:val="00E24399"/>
    <w:rsid w:val="00E274C6"/>
    <w:rsid w:val="00E41399"/>
    <w:rsid w:val="00E63279"/>
    <w:rsid w:val="00E74BD5"/>
    <w:rsid w:val="00E7592A"/>
    <w:rsid w:val="00E839DA"/>
    <w:rsid w:val="00E90B4F"/>
    <w:rsid w:val="00E915E3"/>
    <w:rsid w:val="00E94DA2"/>
    <w:rsid w:val="00E96D45"/>
    <w:rsid w:val="00E97B4B"/>
    <w:rsid w:val="00EB4197"/>
    <w:rsid w:val="00EB4756"/>
    <w:rsid w:val="00EC4AFD"/>
    <w:rsid w:val="00ED0067"/>
    <w:rsid w:val="00ED06E4"/>
    <w:rsid w:val="00EE2509"/>
    <w:rsid w:val="00EE3D03"/>
    <w:rsid w:val="00EE740D"/>
    <w:rsid w:val="00F13C5A"/>
    <w:rsid w:val="00F14BDB"/>
    <w:rsid w:val="00F22AF2"/>
    <w:rsid w:val="00F2677A"/>
    <w:rsid w:val="00F27D29"/>
    <w:rsid w:val="00F424C9"/>
    <w:rsid w:val="00F66B41"/>
    <w:rsid w:val="00F70811"/>
    <w:rsid w:val="00F82A0E"/>
    <w:rsid w:val="00F970FB"/>
    <w:rsid w:val="00FB39CB"/>
    <w:rsid w:val="00FC2254"/>
    <w:rsid w:val="00FC30DA"/>
    <w:rsid w:val="00FC64E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4C1FD8"/>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tabs>
        <w:tab w:val="num" w:pos="360"/>
      </w:tabs>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IASBNormalnpara">
    <w:name w:val="IASB Normal npara"/>
    <w:basedOn w:val="Normal"/>
    <w:rsid w:val="00BA2D2A"/>
    <w:pPr>
      <w:spacing w:before="100"/>
      <w:ind w:left="782" w:hanging="782"/>
    </w:pPr>
    <w:rPr>
      <w:lang w:val="en-US"/>
    </w:rPr>
  </w:style>
  <w:style w:type="paragraph" w:customStyle="1" w:styleId="IASBSectionTitle1NonInd">
    <w:name w:val="IASB Section Title 1 NonInd"/>
    <w:basedOn w:val="Normal"/>
    <w:rsid w:val="00BA2D2A"/>
    <w:pPr>
      <w:keepNext/>
      <w:keepLines/>
      <w:pBdr>
        <w:bottom w:val="single" w:sz="4" w:space="0" w:color="auto"/>
      </w:pBdr>
      <w:spacing w:before="400" w:after="200"/>
      <w:jc w:val="left"/>
    </w:pPr>
    <w:rPr>
      <w:rFonts w:ascii="Arial" w:hAnsi="Arial" w:cs="Arial"/>
      <w:b/>
      <w:sz w:val="26"/>
      <w:lang w:val="en-US"/>
    </w:rPr>
  </w:style>
  <w:style w:type="paragraph" w:customStyle="1" w:styleId="IASBTableArial">
    <w:name w:val="IASB Table Arial"/>
    <w:basedOn w:val="Normal"/>
    <w:rsid w:val="00BA2D2A"/>
    <w:pPr>
      <w:spacing w:before="120"/>
      <w:jc w:val="left"/>
    </w:pPr>
    <w:rPr>
      <w:rFonts w:ascii="Arial" w:hAnsi="Arial"/>
      <w:sz w:val="18"/>
      <w:lang w:val="en-GB" w:eastAsia="en-GB"/>
    </w:rPr>
  </w:style>
  <w:style w:type="character" w:styleId="FootnoteReference">
    <w:name w:val="footnote reference"/>
    <w:basedOn w:val="DefaultParagraphFont"/>
    <w:uiPriority w:val="99"/>
    <w:unhideWhenUsed/>
    <w:rsid w:val="00BA2D2A"/>
    <w:rPr>
      <w:vertAlign w:val="superscript"/>
    </w:rPr>
  </w:style>
  <w:style w:type="paragraph" w:customStyle="1" w:styleId="IASBSectionTitle2Ind">
    <w:name w:val="IASB Section Title 2 Ind"/>
    <w:basedOn w:val="Normal"/>
    <w:rsid w:val="00BA2D2A"/>
    <w:pPr>
      <w:keepNext/>
      <w:keepLines/>
      <w:spacing w:before="240" w:after="200"/>
      <w:ind w:left="782"/>
      <w:jc w:val="left"/>
    </w:pPr>
    <w:rPr>
      <w:rFonts w:ascii="Arial" w:hAnsi="Arial" w:cs="Arial"/>
      <w:b/>
      <w:sz w:val="26"/>
      <w:lang w:val="en-US"/>
    </w:rPr>
  </w:style>
  <w:style w:type="paragraph" w:customStyle="1" w:styleId="IASBNormalnparaL1">
    <w:name w:val="IASB Normal nparaL1"/>
    <w:basedOn w:val="IASBNormalnpara"/>
    <w:rsid w:val="00BA2D2A"/>
    <w:pPr>
      <w:ind w:left="1564"/>
    </w:pPr>
  </w:style>
  <w:style w:type="character" w:styleId="CommentReference">
    <w:name w:val="annotation reference"/>
    <w:basedOn w:val="DefaultParagraphFont"/>
    <w:rsid w:val="002F37D0"/>
    <w:rPr>
      <w:sz w:val="16"/>
      <w:szCs w:val="16"/>
    </w:rPr>
  </w:style>
  <w:style w:type="paragraph" w:styleId="CommentText">
    <w:name w:val="annotation text"/>
    <w:basedOn w:val="Normal"/>
    <w:link w:val="CommentTextChar"/>
    <w:rsid w:val="002F37D0"/>
    <w:rPr>
      <w:sz w:val="20"/>
    </w:rPr>
  </w:style>
  <w:style w:type="character" w:customStyle="1" w:styleId="CommentTextChar">
    <w:name w:val="Comment Text Char"/>
    <w:basedOn w:val="DefaultParagraphFont"/>
    <w:link w:val="CommentText"/>
    <w:rsid w:val="002F37D0"/>
    <w:rPr>
      <w:lang w:eastAsia="en-US"/>
    </w:rPr>
  </w:style>
  <w:style w:type="paragraph" w:styleId="CommentSubject">
    <w:name w:val="annotation subject"/>
    <w:basedOn w:val="CommentText"/>
    <w:next w:val="CommentText"/>
    <w:link w:val="CommentSubjectChar"/>
    <w:rsid w:val="002F37D0"/>
    <w:rPr>
      <w:b/>
      <w:bCs/>
    </w:rPr>
  </w:style>
  <w:style w:type="character" w:customStyle="1" w:styleId="CommentSubjectChar">
    <w:name w:val="Comment Subject Char"/>
    <w:basedOn w:val="CommentTextChar"/>
    <w:link w:val="CommentSubject"/>
    <w:rsid w:val="002F37D0"/>
    <w:rPr>
      <w:b/>
      <w:bCs/>
      <w:lang w:eastAsia="en-US"/>
    </w:rPr>
  </w:style>
  <w:style w:type="paragraph" w:styleId="BalloonText">
    <w:name w:val="Balloon Text"/>
    <w:basedOn w:val="Normal"/>
    <w:link w:val="BalloonTextChar"/>
    <w:rsid w:val="002F37D0"/>
    <w:rPr>
      <w:rFonts w:ascii="Tahoma" w:hAnsi="Tahoma" w:cs="Tahoma"/>
      <w:sz w:val="16"/>
      <w:szCs w:val="16"/>
    </w:rPr>
  </w:style>
  <w:style w:type="character" w:customStyle="1" w:styleId="BalloonTextChar">
    <w:name w:val="Balloon Text Char"/>
    <w:basedOn w:val="DefaultParagraphFont"/>
    <w:link w:val="BalloonText"/>
    <w:rsid w:val="002F37D0"/>
    <w:rPr>
      <w:rFonts w:ascii="Tahoma" w:hAnsi="Tahoma" w:cs="Tahoma"/>
      <w:sz w:val="16"/>
      <w:szCs w:val="16"/>
      <w:lang w:eastAsia="en-US"/>
    </w:rPr>
  </w:style>
  <w:style w:type="paragraph" w:customStyle="1" w:styleId="IASBNormalnparaL1P">
    <w:name w:val="IASB Normal nparaL1P"/>
    <w:basedOn w:val="Normal"/>
    <w:rsid w:val="003A564A"/>
    <w:pPr>
      <w:spacing w:before="100"/>
      <w:ind w:left="1565"/>
    </w:pPr>
    <w:rPr>
      <w:lang w:val="en-US"/>
    </w:rPr>
  </w:style>
  <w:style w:type="paragraph" w:customStyle="1" w:styleId="IASBNormalnparaL2P">
    <w:name w:val="IASB Normal nparaL2P"/>
    <w:basedOn w:val="IASBNormalnparaL1P"/>
    <w:rsid w:val="003A564A"/>
    <w:pPr>
      <w:ind w:left="2347"/>
    </w:pPr>
  </w:style>
  <w:style w:type="paragraph" w:customStyle="1" w:styleId="IASBTableHeaderArial">
    <w:name w:val="IASB Table Header Arial"/>
    <w:basedOn w:val="IASBTableArial"/>
    <w:qFormat/>
    <w:rsid w:val="003A564A"/>
    <w:pPr>
      <w:keepNext/>
      <w:spacing w:after="200" w:line="276" w:lineRule="auto"/>
    </w:pPr>
  </w:style>
  <w:style w:type="paragraph" w:customStyle="1" w:styleId="IASBSectionTitle2NonInd">
    <w:name w:val="IASB Section Title 2 NonInd"/>
    <w:basedOn w:val="Normal"/>
    <w:rsid w:val="003A564A"/>
    <w:pPr>
      <w:keepNext/>
      <w:keepLines/>
      <w:spacing w:before="300" w:after="200"/>
      <w:jc w:val="left"/>
    </w:pPr>
    <w:rPr>
      <w:rFonts w:ascii="Arial" w:hAnsi="Arial" w:cs="Arial"/>
      <w:b/>
      <w:sz w:val="26"/>
      <w:lang w:val="en-US"/>
    </w:rPr>
  </w:style>
  <w:style w:type="paragraph" w:customStyle="1" w:styleId="IASBTableTNR">
    <w:name w:val="IASB Table TNR"/>
    <w:basedOn w:val="Normal"/>
    <w:qFormat/>
    <w:rsid w:val="003A564A"/>
    <w:pPr>
      <w:spacing w:before="120"/>
      <w:jc w:val="left"/>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4C1FD8"/>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tabs>
        <w:tab w:val="num" w:pos="360"/>
      </w:tabs>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IASBNormalnpara">
    <w:name w:val="IASB Normal npara"/>
    <w:basedOn w:val="Normal"/>
    <w:rsid w:val="00BA2D2A"/>
    <w:pPr>
      <w:spacing w:before="100"/>
      <w:ind w:left="782" w:hanging="782"/>
    </w:pPr>
    <w:rPr>
      <w:lang w:val="en-US"/>
    </w:rPr>
  </w:style>
  <w:style w:type="paragraph" w:customStyle="1" w:styleId="IASBSectionTitle1NonInd">
    <w:name w:val="IASB Section Title 1 NonInd"/>
    <w:basedOn w:val="Normal"/>
    <w:rsid w:val="00BA2D2A"/>
    <w:pPr>
      <w:keepNext/>
      <w:keepLines/>
      <w:pBdr>
        <w:bottom w:val="single" w:sz="4" w:space="0" w:color="auto"/>
      </w:pBdr>
      <w:spacing w:before="400" w:after="200"/>
      <w:jc w:val="left"/>
    </w:pPr>
    <w:rPr>
      <w:rFonts w:ascii="Arial" w:hAnsi="Arial" w:cs="Arial"/>
      <w:b/>
      <w:sz w:val="26"/>
      <w:lang w:val="en-US"/>
    </w:rPr>
  </w:style>
  <w:style w:type="paragraph" w:customStyle="1" w:styleId="IASBTableArial">
    <w:name w:val="IASB Table Arial"/>
    <w:basedOn w:val="Normal"/>
    <w:rsid w:val="00BA2D2A"/>
    <w:pPr>
      <w:spacing w:before="120"/>
      <w:jc w:val="left"/>
    </w:pPr>
    <w:rPr>
      <w:rFonts w:ascii="Arial" w:hAnsi="Arial"/>
      <w:sz w:val="18"/>
      <w:lang w:val="en-GB" w:eastAsia="en-GB"/>
    </w:rPr>
  </w:style>
  <w:style w:type="character" w:styleId="FootnoteReference">
    <w:name w:val="footnote reference"/>
    <w:basedOn w:val="DefaultParagraphFont"/>
    <w:uiPriority w:val="99"/>
    <w:unhideWhenUsed/>
    <w:rsid w:val="00BA2D2A"/>
    <w:rPr>
      <w:vertAlign w:val="superscript"/>
    </w:rPr>
  </w:style>
  <w:style w:type="paragraph" w:customStyle="1" w:styleId="IASBSectionTitle2Ind">
    <w:name w:val="IASB Section Title 2 Ind"/>
    <w:basedOn w:val="Normal"/>
    <w:rsid w:val="00BA2D2A"/>
    <w:pPr>
      <w:keepNext/>
      <w:keepLines/>
      <w:spacing w:before="240" w:after="200"/>
      <w:ind w:left="782"/>
      <w:jc w:val="left"/>
    </w:pPr>
    <w:rPr>
      <w:rFonts w:ascii="Arial" w:hAnsi="Arial" w:cs="Arial"/>
      <w:b/>
      <w:sz w:val="26"/>
      <w:lang w:val="en-US"/>
    </w:rPr>
  </w:style>
  <w:style w:type="paragraph" w:customStyle="1" w:styleId="IASBNormalnparaL1">
    <w:name w:val="IASB Normal nparaL1"/>
    <w:basedOn w:val="IASBNormalnpara"/>
    <w:rsid w:val="00BA2D2A"/>
    <w:pPr>
      <w:ind w:left="1564"/>
    </w:pPr>
  </w:style>
  <w:style w:type="character" w:styleId="CommentReference">
    <w:name w:val="annotation reference"/>
    <w:basedOn w:val="DefaultParagraphFont"/>
    <w:rsid w:val="002F37D0"/>
    <w:rPr>
      <w:sz w:val="16"/>
      <w:szCs w:val="16"/>
    </w:rPr>
  </w:style>
  <w:style w:type="paragraph" w:styleId="CommentText">
    <w:name w:val="annotation text"/>
    <w:basedOn w:val="Normal"/>
    <w:link w:val="CommentTextChar"/>
    <w:rsid w:val="002F37D0"/>
    <w:rPr>
      <w:sz w:val="20"/>
    </w:rPr>
  </w:style>
  <w:style w:type="character" w:customStyle="1" w:styleId="CommentTextChar">
    <w:name w:val="Comment Text Char"/>
    <w:basedOn w:val="DefaultParagraphFont"/>
    <w:link w:val="CommentText"/>
    <w:rsid w:val="002F37D0"/>
    <w:rPr>
      <w:lang w:eastAsia="en-US"/>
    </w:rPr>
  </w:style>
  <w:style w:type="paragraph" w:styleId="CommentSubject">
    <w:name w:val="annotation subject"/>
    <w:basedOn w:val="CommentText"/>
    <w:next w:val="CommentText"/>
    <w:link w:val="CommentSubjectChar"/>
    <w:rsid w:val="002F37D0"/>
    <w:rPr>
      <w:b/>
      <w:bCs/>
    </w:rPr>
  </w:style>
  <w:style w:type="character" w:customStyle="1" w:styleId="CommentSubjectChar">
    <w:name w:val="Comment Subject Char"/>
    <w:basedOn w:val="CommentTextChar"/>
    <w:link w:val="CommentSubject"/>
    <w:rsid w:val="002F37D0"/>
    <w:rPr>
      <w:b/>
      <w:bCs/>
      <w:lang w:eastAsia="en-US"/>
    </w:rPr>
  </w:style>
  <w:style w:type="paragraph" w:styleId="BalloonText">
    <w:name w:val="Balloon Text"/>
    <w:basedOn w:val="Normal"/>
    <w:link w:val="BalloonTextChar"/>
    <w:rsid w:val="002F37D0"/>
    <w:rPr>
      <w:rFonts w:ascii="Tahoma" w:hAnsi="Tahoma" w:cs="Tahoma"/>
      <w:sz w:val="16"/>
      <w:szCs w:val="16"/>
    </w:rPr>
  </w:style>
  <w:style w:type="character" w:customStyle="1" w:styleId="BalloonTextChar">
    <w:name w:val="Balloon Text Char"/>
    <w:basedOn w:val="DefaultParagraphFont"/>
    <w:link w:val="BalloonText"/>
    <w:rsid w:val="002F37D0"/>
    <w:rPr>
      <w:rFonts w:ascii="Tahoma" w:hAnsi="Tahoma" w:cs="Tahoma"/>
      <w:sz w:val="16"/>
      <w:szCs w:val="16"/>
      <w:lang w:eastAsia="en-US"/>
    </w:rPr>
  </w:style>
  <w:style w:type="paragraph" w:customStyle="1" w:styleId="IASBNormalnparaL1P">
    <w:name w:val="IASB Normal nparaL1P"/>
    <w:basedOn w:val="Normal"/>
    <w:rsid w:val="003A564A"/>
    <w:pPr>
      <w:spacing w:before="100"/>
      <w:ind w:left="1565"/>
    </w:pPr>
    <w:rPr>
      <w:lang w:val="en-US"/>
    </w:rPr>
  </w:style>
  <w:style w:type="paragraph" w:customStyle="1" w:styleId="IASBNormalnparaL2P">
    <w:name w:val="IASB Normal nparaL2P"/>
    <w:basedOn w:val="IASBNormalnparaL1P"/>
    <w:rsid w:val="003A564A"/>
    <w:pPr>
      <w:ind w:left="2347"/>
    </w:pPr>
  </w:style>
  <w:style w:type="paragraph" w:customStyle="1" w:styleId="IASBTableHeaderArial">
    <w:name w:val="IASB Table Header Arial"/>
    <w:basedOn w:val="IASBTableArial"/>
    <w:qFormat/>
    <w:rsid w:val="003A564A"/>
    <w:pPr>
      <w:keepNext/>
      <w:spacing w:after="200" w:line="276" w:lineRule="auto"/>
    </w:pPr>
  </w:style>
  <w:style w:type="paragraph" w:customStyle="1" w:styleId="IASBSectionTitle2NonInd">
    <w:name w:val="IASB Section Title 2 NonInd"/>
    <w:basedOn w:val="Normal"/>
    <w:rsid w:val="003A564A"/>
    <w:pPr>
      <w:keepNext/>
      <w:keepLines/>
      <w:spacing w:before="300" w:after="200"/>
      <w:jc w:val="left"/>
    </w:pPr>
    <w:rPr>
      <w:rFonts w:ascii="Arial" w:hAnsi="Arial" w:cs="Arial"/>
      <w:b/>
      <w:sz w:val="26"/>
      <w:lang w:val="en-US"/>
    </w:rPr>
  </w:style>
  <w:style w:type="paragraph" w:customStyle="1" w:styleId="IASBTableTNR">
    <w:name w:val="IASB Table TNR"/>
    <w:basedOn w:val="Normal"/>
    <w:qFormat/>
    <w:rsid w:val="003A564A"/>
    <w:pPr>
      <w:spacing w:before="120"/>
      <w:jc w:val="left"/>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ASB_Templates\2010\WordGlobal\AmendingIF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AmendingIFRS.dotx</Template>
  <TotalTime>110</TotalTime>
  <Pages>13</Pages>
  <Words>4873</Words>
  <Characters>26844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31654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Jeong, Junyoung</dc:creator>
  <cp:lastModifiedBy>John, Kathleen</cp:lastModifiedBy>
  <cp:revision>15</cp:revision>
  <cp:lastPrinted>2016-07-22T02:38:00Z</cp:lastPrinted>
  <dcterms:created xsi:type="dcterms:W3CDTF">2016-07-07T00:59:00Z</dcterms:created>
  <dcterms:modified xsi:type="dcterms:W3CDTF">2016-07-22T02:40:00Z</dcterms:modified>
</cp:coreProperties>
</file>