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09EF0" w14:textId="77777777"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bookmarkStart w:id="1" w:name="_GoBack"/>
      <w:bookmarkEnd w:id="1"/>
      <w:r w:rsidRPr="001F2A16">
        <w:rPr>
          <w:rFonts w:ascii="Arial" w:hAnsi="Arial" w:cs="Arial"/>
          <w:sz w:val="34"/>
          <w:szCs w:val="34"/>
        </w:rPr>
        <w:t>Explanatory Statement</w:t>
      </w:r>
    </w:p>
    <w:p w14:paraId="19409EF1" w14:textId="77777777"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48CCFA5C" w14:textId="2FDD9828" w:rsidR="00CA1E33" w:rsidRPr="00044893" w:rsidRDefault="00870F26" w:rsidP="00CA1E33">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INCOME TAX ASSESSMENT ACT - </w:t>
      </w:r>
      <w:r w:rsidR="00CA1E33">
        <w:rPr>
          <w:rFonts w:ascii="Arial" w:hAnsi="Arial" w:cs="Arial"/>
          <w:sz w:val="34"/>
          <w:szCs w:val="34"/>
        </w:rPr>
        <w:t>CENTS PER KILOMETRE DEDUCTION RATE FOR MOTOR VEHICLE EXPENSES</w:t>
      </w:r>
    </w:p>
    <w:p w14:paraId="19409EF3" w14:textId="77777777" w:rsidR="0099555F" w:rsidRDefault="0099555F" w:rsidP="0099555F">
      <w:pPr>
        <w:pStyle w:val="Header"/>
        <w:tabs>
          <w:tab w:val="clear" w:pos="4153"/>
          <w:tab w:val="clear" w:pos="8306"/>
        </w:tabs>
        <w:jc w:val="center"/>
        <w:rPr>
          <w:rFonts w:ascii="Arial" w:hAnsi="Arial" w:cs="Arial"/>
          <w:szCs w:val="24"/>
        </w:rPr>
      </w:pPr>
    </w:p>
    <w:p w14:paraId="19409EF4" w14:textId="77777777" w:rsidR="001F2A16" w:rsidRPr="001F2A16" w:rsidRDefault="001F2A16" w:rsidP="0099555F">
      <w:pPr>
        <w:pStyle w:val="Header"/>
        <w:tabs>
          <w:tab w:val="clear" w:pos="4153"/>
          <w:tab w:val="clear" w:pos="8306"/>
        </w:tabs>
        <w:jc w:val="center"/>
        <w:rPr>
          <w:rFonts w:ascii="Arial" w:hAnsi="Arial" w:cs="Arial"/>
          <w:szCs w:val="24"/>
        </w:rPr>
      </w:pPr>
    </w:p>
    <w:p w14:paraId="19409EF5" w14:textId="77777777" w:rsidR="00486653" w:rsidRDefault="00486653" w:rsidP="00486653">
      <w:pPr>
        <w:pStyle w:val="Heading2"/>
        <w:rPr>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5E6CCE">
        <w:rPr>
          <w:sz w:val="24"/>
          <w:szCs w:val="24"/>
        </w:rPr>
        <w:t>General Outline of Instrument</w:t>
      </w:r>
    </w:p>
    <w:p w14:paraId="19409EF6" w14:textId="77777777" w:rsidR="00486653" w:rsidRPr="00E72FC7" w:rsidRDefault="00486653" w:rsidP="00486653"/>
    <w:p w14:paraId="19409EF7" w14:textId="0BA939DA" w:rsidR="00486653" w:rsidRPr="00A37352" w:rsidRDefault="00486653" w:rsidP="00486653">
      <w:pPr>
        <w:numPr>
          <w:ilvl w:val="0"/>
          <w:numId w:val="16"/>
        </w:numPr>
        <w:spacing w:after="120"/>
        <w:rPr>
          <w:rFonts w:ascii="Arial" w:hAnsi="Arial" w:cs="Arial"/>
          <w:sz w:val="22"/>
          <w:szCs w:val="22"/>
        </w:rPr>
      </w:pPr>
      <w:bookmarkStart w:id="12" w:name="IComments"/>
      <w:r>
        <w:rPr>
          <w:rFonts w:ascii="Arial" w:hAnsi="Arial" w:cs="Arial"/>
          <w:sz w:val="22"/>
          <w:szCs w:val="22"/>
        </w:rPr>
        <w:t xml:space="preserve">This instrument is made </w:t>
      </w:r>
      <w:r w:rsidRPr="00A37352">
        <w:rPr>
          <w:rFonts w:ascii="Arial" w:hAnsi="Arial" w:cs="Arial"/>
          <w:sz w:val="22"/>
          <w:szCs w:val="22"/>
        </w:rPr>
        <w:t>under</w:t>
      </w:r>
      <w:r w:rsidR="00C2628F">
        <w:rPr>
          <w:rFonts w:ascii="Arial" w:hAnsi="Arial" w:cs="Arial"/>
          <w:sz w:val="22"/>
          <w:szCs w:val="22"/>
        </w:rPr>
        <w:t xml:space="preserve"> sub</w:t>
      </w:r>
      <w:r w:rsidR="00C2628F" w:rsidRPr="00791475">
        <w:rPr>
          <w:rFonts w:ascii="Arial" w:hAnsi="Arial" w:cs="Arial"/>
          <w:sz w:val="22"/>
          <w:szCs w:val="22"/>
        </w:rPr>
        <w:t>section 28-25</w:t>
      </w:r>
      <w:r w:rsidR="00C2628F">
        <w:rPr>
          <w:rFonts w:ascii="Arial" w:hAnsi="Arial" w:cs="Arial"/>
          <w:sz w:val="22"/>
          <w:szCs w:val="22"/>
        </w:rPr>
        <w:t>(4)</w:t>
      </w:r>
      <w:r w:rsidR="00C2628F" w:rsidRPr="00791475">
        <w:rPr>
          <w:rFonts w:ascii="Arial" w:hAnsi="Arial" w:cs="Arial"/>
          <w:sz w:val="22"/>
          <w:szCs w:val="22"/>
        </w:rPr>
        <w:t xml:space="preserve"> of the </w:t>
      </w:r>
      <w:r w:rsidR="00C2628F" w:rsidRPr="00791475">
        <w:rPr>
          <w:rFonts w:ascii="Arial" w:hAnsi="Arial" w:cs="Arial"/>
          <w:i/>
          <w:sz w:val="22"/>
          <w:szCs w:val="22"/>
        </w:rPr>
        <w:t>Income Tax Assessment Act 1997.</w:t>
      </w:r>
    </w:p>
    <w:p w14:paraId="19409EFB" w14:textId="77777777" w:rsidR="00D77015" w:rsidRDefault="00D77015" w:rsidP="003D6719">
      <w:pPr>
        <w:spacing w:after="120"/>
        <w:rPr>
          <w:rFonts w:ascii="Arial" w:hAnsi="Arial" w:cs="Arial"/>
          <w:sz w:val="22"/>
          <w:szCs w:val="22"/>
        </w:rPr>
      </w:pPr>
    </w:p>
    <w:p w14:paraId="071941D7" w14:textId="092CEEB3" w:rsidR="009228B2" w:rsidRDefault="00486653" w:rsidP="009228B2">
      <w:pPr>
        <w:numPr>
          <w:ilvl w:val="0"/>
          <w:numId w:val="16"/>
        </w:numPr>
        <w:ind w:right="1464"/>
        <w:rPr>
          <w:rFonts w:ascii="Arial" w:hAnsi="Arial" w:cs="Arial"/>
          <w:sz w:val="22"/>
          <w:szCs w:val="22"/>
        </w:rPr>
      </w:pPr>
      <w:r w:rsidRPr="00791475">
        <w:rPr>
          <w:rFonts w:ascii="Arial" w:hAnsi="Arial" w:cs="Arial"/>
          <w:color w:val="000000"/>
          <w:sz w:val="22"/>
          <w:szCs w:val="22"/>
        </w:rPr>
        <w:t>The instrument</w:t>
      </w:r>
      <w:r w:rsidRPr="00791475">
        <w:rPr>
          <w:rFonts w:ascii="Arial" w:hAnsi="Arial" w:cs="Arial"/>
          <w:i/>
          <w:color w:val="000000"/>
          <w:sz w:val="22"/>
          <w:szCs w:val="22"/>
        </w:rPr>
        <w:t xml:space="preserve"> </w:t>
      </w:r>
      <w:r w:rsidR="00EA4140">
        <w:rPr>
          <w:rFonts w:ascii="Arial" w:hAnsi="Arial" w:cs="Arial"/>
          <w:sz w:val="22"/>
          <w:szCs w:val="22"/>
        </w:rPr>
        <w:t>sets</w:t>
      </w:r>
      <w:r w:rsidR="00CA1E33" w:rsidRPr="00791475">
        <w:rPr>
          <w:rFonts w:ascii="Arial" w:hAnsi="Arial" w:cs="Arial"/>
          <w:sz w:val="22"/>
          <w:szCs w:val="22"/>
        </w:rPr>
        <w:t xml:space="preserve"> the rate at which </w:t>
      </w:r>
      <w:r w:rsidR="00791475" w:rsidRPr="00791475">
        <w:rPr>
          <w:rFonts w:ascii="Arial" w:hAnsi="Arial" w:cs="Arial"/>
          <w:sz w:val="22"/>
          <w:szCs w:val="22"/>
        </w:rPr>
        <w:t xml:space="preserve">work-related </w:t>
      </w:r>
      <w:r w:rsidR="00CA1E33" w:rsidRPr="00791475">
        <w:rPr>
          <w:rFonts w:ascii="Arial" w:hAnsi="Arial" w:cs="Arial"/>
          <w:sz w:val="22"/>
          <w:szCs w:val="22"/>
        </w:rPr>
        <w:t xml:space="preserve">motor vehicle </w:t>
      </w:r>
      <w:r w:rsidR="00791475" w:rsidRPr="00791475">
        <w:rPr>
          <w:rFonts w:ascii="Arial" w:hAnsi="Arial" w:cs="Arial"/>
          <w:sz w:val="22"/>
          <w:szCs w:val="22"/>
        </w:rPr>
        <w:t xml:space="preserve">expense </w:t>
      </w:r>
      <w:r w:rsidR="00D47DB7">
        <w:rPr>
          <w:rFonts w:ascii="Arial" w:hAnsi="Arial" w:cs="Arial"/>
          <w:sz w:val="22"/>
          <w:szCs w:val="22"/>
        </w:rPr>
        <w:t>d</w:t>
      </w:r>
      <w:r w:rsidR="00D073B3">
        <w:rPr>
          <w:rFonts w:ascii="Arial" w:hAnsi="Arial" w:cs="Arial"/>
          <w:sz w:val="22"/>
          <w:szCs w:val="22"/>
        </w:rPr>
        <w:t>eductions may be claimed</w:t>
      </w:r>
      <w:r w:rsidR="003A0C90">
        <w:rPr>
          <w:rFonts w:ascii="Arial" w:hAnsi="Arial" w:cs="Arial"/>
          <w:sz w:val="22"/>
          <w:szCs w:val="22"/>
        </w:rPr>
        <w:t xml:space="preserve"> in an income year</w:t>
      </w:r>
      <w:r w:rsidR="00D073B3">
        <w:rPr>
          <w:rFonts w:ascii="Arial" w:hAnsi="Arial" w:cs="Arial"/>
          <w:sz w:val="22"/>
          <w:szCs w:val="22"/>
        </w:rPr>
        <w:t xml:space="preserve"> </w:t>
      </w:r>
      <w:r w:rsidR="000E65CF">
        <w:rPr>
          <w:rFonts w:ascii="Arial" w:hAnsi="Arial" w:cs="Arial"/>
          <w:sz w:val="22"/>
          <w:szCs w:val="22"/>
        </w:rPr>
        <w:t xml:space="preserve">when </w:t>
      </w:r>
      <w:r w:rsidR="00CA52C9">
        <w:rPr>
          <w:rFonts w:ascii="Arial" w:hAnsi="Arial" w:cs="Arial"/>
          <w:sz w:val="22"/>
          <w:szCs w:val="22"/>
        </w:rPr>
        <w:t xml:space="preserve">using </w:t>
      </w:r>
      <w:r w:rsidR="00D073B3">
        <w:rPr>
          <w:rFonts w:ascii="Arial" w:hAnsi="Arial" w:cs="Arial"/>
          <w:sz w:val="22"/>
          <w:szCs w:val="22"/>
        </w:rPr>
        <w:t>the cents per kilometre method.</w:t>
      </w:r>
    </w:p>
    <w:p w14:paraId="4AF865B4" w14:textId="6EFF9A69" w:rsidR="009228B2" w:rsidRDefault="00D073B3" w:rsidP="009228B2">
      <w:pPr>
        <w:ind w:left="720" w:right="1464"/>
        <w:rPr>
          <w:rFonts w:ascii="Arial" w:hAnsi="Arial" w:cs="Arial"/>
          <w:sz w:val="22"/>
          <w:szCs w:val="22"/>
        </w:rPr>
      </w:pPr>
      <w:r>
        <w:rPr>
          <w:rFonts w:ascii="Arial" w:hAnsi="Arial" w:cs="Arial"/>
          <w:sz w:val="22"/>
          <w:szCs w:val="22"/>
        </w:rPr>
        <w:t xml:space="preserve"> </w:t>
      </w:r>
    </w:p>
    <w:p w14:paraId="116E5A94" w14:textId="0B53070B" w:rsidR="009228B2" w:rsidRPr="009228B2" w:rsidRDefault="009228B2" w:rsidP="009228B2">
      <w:pPr>
        <w:numPr>
          <w:ilvl w:val="0"/>
          <w:numId w:val="16"/>
        </w:numPr>
        <w:ind w:right="1464"/>
        <w:rPr>
          <w:rFonts w:ascii="Arial" w:hAnsi="Arial" w:cs="Arial"/>
          <w:sz w:val="22"/>
          <w:szCs w:val="22"/>
        </w:rPr>
      </w:pPr>
      <w:r>
        <w:rPr>
          <w:rFonts w:ascii="Arial" w:hAnsi="Arial" w:cs="Arial"/>
          <w:sz w:val="22"/>
          <w:szCs w:val="22"/>
        </w:rPr>
        <w:t>The Commissioner of Taxation has determined the ra</w:t>
      </w:r>
      <w:r w:rsidR="007D784B">
        <w:rPr>
          <w:rFonts w:ascii="Arial" w:hAnsi="Arial" w:cs="Arial"/>
          <w:sz w:val="22"/>
          <w:szCs w:val="22"/>
        </w:rPr>
        <w:t xml:space="preserve">te to be 66 cents per kilometre for the income year commencing 1 July 2016. </w:t>
      </w:r>
    </w:p>
    <w:p w14:paraId="3596B6FF" w14:textId="77777777" w:rsidR="00791475" w:rsidRPr="00791475" w:rsidRDefault="00791475" w:rsidP="00791475">
      <w:pPr>
        <w:ind w:left="360" w:right="1464"/>
        <w:rPr>
          <w:rFonts w:ascii="Arial" w:hAnsi="Arial" w:cs="Arial"/>
          <w:sz w:val="22"/>
          <w:szCs w:val="22"/>
        </w:rPr>
      </w:pPr>
    </w:p>
    <w:p w14:paraId="19409F00" w14:textId="11F170F7" w:rsidR="00486653" w:rsidRDefault="00486653" w:rsidP="00486653">
      <w:pPr>
        <w:numPr>
          <w:ilvl w:val="0"/>
          <w:numId w:val="16"/>
        </w:numPr>
        <w:spacing w:after="120"/>
        <w:rPr>
          <w:rFonts w:ascii="Arial" w:hAnsi="Arial" w:cs="Arial"/>
          <w:sz w:val="22"/>
          <w:szCs w:val="22"/>
        </w:rPr>
      </w:pPr>
      <w:r>
        <w:rPr>
          <w:rFonts w:ascii="Arial" w:hAnsi="Arial" w:cs="Arial"/>
          <w:sz w:val="22"/>
          <w:szCs w:val="22"/>
        </w:rPr>
        <w:t xml:space="preserve">The instrument is a legislative instrument for the purposes of the </w:t>
      </w:r>
      <w:r w:rsidR="0037001A">
        <w:rPr>
          <w:rFonts w:ascii="Arial" w:hAnsi="Arial" w:cs="Arial"/>
          <w:i/>
          <w:sz w:val="22"/>
          <w:szCs w:val="22"/>
        </w:rPr>
        <w:t>Legislation</w:t>
      </w:r>
      <w:r>
        <w:rPr>
          <w:rFonts w:ascii="Arial" w:hAnsi="Arial" w:cs="Arial"/>
          <w:i/>
          <w:sz w:val="22"/>
          <w:szCs w:val="22"/>
        </w:rPr>
        <w:t xml:space="preserve"> Act 2003</w:t>
      </w:r>
      <w:r>
        <w:rPr>
          <w:rFonts w:ascii="Arial" w:hAnsi="Arial" w:cs="Arial"/>
          <w:sz w:val="22"/>
          <w:szCs w:val="22"/>
        </w:rPr>
        <w:t>.</w:t>
      </w:r>
    </w:p>
    <w:p w14:paraId="09F920D5" w14:textId="77777777" w:rsidR="0013604D" w:rsidRPr="0099625E" w:rsidRDefault="0013604D" w:rsidP="0099625E">
      <w:pPr>
        <w:ind w:left="360"/>
        <w:rPr>
          <w:rFonts w:ascii="Arial" w:hAnsi="Arial" w:cs="Arial"/>
        </w:rPr>
      </w:pPr>
    </w:p>
    <w:p w14:paraId="43A41CFE" w14:textId="56E7973D" w:rsidR="0013604D" w:rsidRPr="00E524D9" w:rsidRDefault="0013604D" w:rsidP="00486653">
      <w:pPr>
        <w:numPr>
          <w:ilvl w:val="0"/>
          <w:numId w:val="16"/>
        </w:numPr>
        <w:spacing w:after="120"/>
        <w:rPr>
          <w:rFonts w:ascii="Arial" w:hAnsi="Arial" w:cs="Arial"/>
          <w:sz w:val="22"/>
          <w:szCs w:val="22"/>
        </w:rPr>
      </w:pPr>
      <w:r w:rsidRPr="0013604D">
        <w:rPr>
          <w:rFonts w:ascii="Arial" w:hAnsi="Arial" w:cs="Arial"/>
          <w:sz w:val="22"/>
          <w:szCs w:val="22"/>
        </w:rPr>
        <w:t xml:space="preserve">Under subsection 33(3) of the </w:t>
      </w:r>
      <w:r w:rsidRPr="0013604D">
        <w:rPr>
          <w:rFonts w:ascii="Arial" w:hAnsi="Arial" w:cs="Arial"/>
          <w:i/>
          <w:iCs/>
          <w:sz w:val="22"/>
          <w:szCs w:val="22"/>
        </w:rPr>
        <w:t>Acts Interpretation Act 1901</w:t>
      </w:r>
      <w:r w:rsidRPr="0013604D">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9409F01" w14:textId="77777777" w:rsidR="00486653" w:rsidRPr="00081FDE" w:rsidRDefault="00486653" w:rsidP="00486653">
      <w:pPr>
        <w:spacing w:after="120"/>
        <w:rPr>
          <w:rFonts w:ascii="Arial" w:hAnsi="Arial" w:cs="Arial"/>
          <w:sz w:val="22"/>
          <w:szCs w:val="22"/>
        </w:rPr>
      </w:pPr>
    </w:p>
    <w:bookmarkEnd w:id="12"/>
    <w:p w14:paraId="19409F03" w14:textId="2B16D63F" w:rsidR="00486653" w:rsidRDefault="00486653" w:rsidP="0002515A">
      <w:pPr>
        <w:pStyle w:val="Heading2"/>
        <w:rPr>
          <w:sz w:val="24"/>
          <w:szCs w:val="24"/>
        </w:rPr>
      </w:pPr>
      <w:r w:rsidRPr="005E6CCE">
        <w:rPr>
          <w:sz w:val="24"/>
          <w:szCs w:val="24"/>
        </w:rPr>
        <w:t xml:space="preserve">Date </w:t>
      </w:r>
      <w:r w:rsidRPr="00DC656D">
        <w:rPr>
          <w:sz w:val="24"/>
          <w:szCs w:val="24"/>
        </w:rPr>
        <w:t>of effect</w:t>
      </w:r>
    </w:p>
    <w:p w14:paraId="2625E643" w14:textId="77777777" w:rsidR="0002515A" w:rsidRPr="0002515A" w:rsidRDefault="0002515A" w:rsidP="0002515A"/>
    <w:p w14:paraId="19409F04" w14:textId="3391317F" w:rsidR="00380CC4" w:rsidRPr="00795D0C" w:rsidRDefault="00380CC4" w:rsidP="00380CC4">
      <w:pPr>
        <w:numPr>
          <w:ilvl w:val="0"/>
          <w:numId w:val="16"/>
        </w:numPr>
        <w:spacing w:after="120"/>
        <w:rPr>
          <w:rFonts w:ascii="Arial" w:hAnsi="Arial" w:cs="Arial"/>
          <w:color w:val="000000"/>
          <w:sz w:val="22"/>
          <w:szCs w:val="22"/>
        </w:rPr>
      </w:pPr>
      <w:r w:rsidRPr="00380CC4">
        <w:rPr>
          <w:rFonts w:ascii="Arial" w:hAnsi="Arial" w:cs="Arial"/>
          <w:sz w:val="22"/>
          <w:szCs w:val="22"/>
        </w:rPr>
        <w:t xml:space="preserve">The instrument </w:t>
      </w:r>
      <w:r w:rsidR="00E236DC">
        <w:rPr>
          <w:rFonts w:ascii="Arial" w:hAnsi="Arial" w:cs="Arial"/>
          <w:sz w:val="22"/>
          <w:szCs w:val="22"/>
        </w:rPr>
        <w:t>applies from</w:t>
      </w:r>
      <w:r w:rsidRPr="00380CC4">
        <w:rPr>
          <w:rFonts w:ascii="Arial" w:hAnsi="Arial" w:cs="Arial"/>
          <w:sz w:val="22"/>
          <w:szCs w:val="22"/>
        </w:rPr>
        <w:t xml:space="preserve"> </w:t>
      </w:r>
      <w:r w:rsidR="003D6719">
        <w:rPr>
          <w:rFonts w:ascii="Arial" w:hAnsi="Arial" w:cs="Arial"/>
          <w:sz w:val="22"/>
          <w:szCs w:val="22"/>
        </w:rPr>
        <w:t>1 July 2016</w:t>
      </w:r>
      <w:r w:rsidR="007D784B">
        <w:rPr>
          <w:rFonts w:ascii="Arial" w:hAnsi="Arial" w:cs="Arial"/>
          <w:sz w:val="22"/>
          <w:szCs w:val="22"/>
        </w:rPr>
        <w:t xml:space="preserve">. </w:t>
      </w:r>
    </w:p>
    <w:p w14:paraId="19409F08" w14:textId="77777777" w:rsidR="00486653" w:rsidRPr="000C390A" w:rsidRDefault="00486653" w:rsidP="00D77015">
      <w:pPr>
        <w:spacing w:after="120"/>
        <w:ind w:left="1080"/>
        <w:rPr>
          <w:rFonts w:ascii="Arial" w:hAnsi="Arial" w:cs="Arial"/>
          <w:i/>
          <w:color w:val="000000"/>
          <w:sz w:val="22"/>
          <w:szCs w:val="22"/>
        </w:rPr>
      </w:pPr>
    </w:p>
    <w:p w14:paraId="19409F09" w14:textId="77777777" w:rsidR="00486653" w:rsidRPr="005E6CCE" w:rsidRDefault="00486653" w:rsidP="00486653">
      <w:pPr>
        <w:pStyle w:val="Heading2"/>
        <w:rPr>
          <w:sz w:val="24"/>
          <w:szCs w:val="24"/>
        </w:rPr>
      </w:pPr>
      <w:r w:rsidRPr="007533B3">
        <w:rPr>
          <w:sz w:val="24"/>
          <w:szCs w:val="24"/>
        </w:rPr>
        <w:lastRenderedPageBreak/>
        <w:t>What is this instrument about</w:t>
      </w:r>
    </w:p>
    <w:p w14:paraId="19409F0A" w14:textId="77777777" w:rsidR="00486653" w:rsidRPr="009F31A4" w:rsidRDefault="00486653" w:rsidP="00486653">
      <w:pPr>
        <w:keepNext/>
        <w:keepLines/>
        <w:rPr>
          <w:rFonts w:ascii="Arial" w:hAnsi="Arial" w:cs="Arial"/>
        </w:rPr>
      </w:pPr>
    </w:p>
    <w:p w14:paraId="61DC9404" w14:textId="77777777" w:rsidR="003A0C90" w:rsidRDefault="00E236DC" w:rsidP="003A0C90">
      <w:pPr>
        <w:keepNext/>
        <w:keepLines/>
        <w:numPr>
          <w:ilvl w:val="0"/>
          <w:numId w:val="16"/>
        </w:numPr>
        <w:rPr>
          <w:rFonts w:ascii="Arial" w:hAnsi="Arial" w:cs="Arial"/>
          <w:sz w:val="22"/>
          <w:szCs w:val="22"/>
        </w:rPr>
      </w:pPr>
      <w:r>
        <w:rPr>
          <w:rFonts w:ascii="Arial" w:hAnsi="Arial" w:cs="Arial"/>
          <w:sz w:val="22"/>
          <w:szCs w:val="22"/>
        </w:rPr>
        <w:t xml:space="preserve">This instrument </w:t>
      </w:r>
      <w:r w:rsidR="00681720">
        <w:rPr>
          <w:rFonts w:ascii="Arial" w:hAnsi="Arial" w:cs="Arial"/>
          <w:sz w:val="22"/>
          <w:szCs w:val="22"/>
        </w:rPr>
        <w:t>set</w:t>
      </w:r>
      <w:r>
        <w:rPr>
          <w:rFonts w:ascii="Arial" w:hAnsi="Arial" w:cs="Arial"/>
          <w:sz w:val="22"/>
          <w:szCs w:val="22"/>
        </w:rPr>
        <w:t>s</w:t>
      </w:r>
      <w:r w:rsidR="00681720">
        <w:rPr>
          <w:rFonts w:ascii="Arial" w:hAnsi="Arial" w:cs="Arial"/>
          <w:sz w:val="22"/>
          <w:szCs w:val="22"/>
        </w:rPr>
        <w:t xml:space="preserve"> the rate at which </w:t>
      </w:r>
      <w:r w:rsidR="00CA52C9">
        <w:rPr>
          <w:rFonts w:ascii="Arial" w:hAnsi="Arial" w:cs="Arial"/>
          <w:sz w:val="22"/>
          <w:szCs w:val="22"/>
        </w:rPr>
        <w:t xml:space="preserve">work-related </w:t>
      </w:r>
      <w:r w:rsidR="00681720">
        <w:rPr>
          <w:rFonts w:ascii="Arial" w:hAnsi="Arial" w:cs="Arial"/>
          <w:sz w:val="22"/>
          <w:szCs w:val="22"/>
        </w:rPr>
        <w:t>motor vehicle expense deductions may be claimed</w:t>
      </w:r>
      <w:r>
        <w:rPr>
          <w:rFonts w:ascii="Arial" w:hAnsi="Arial" w:cs="Arial"/>
          <w:sz w:val="22"/>
          <w:szCs w:val="22"/>
        </w:rPr>
        <w:t xml:space="preserve"> in an income year</w:t>
      </w:r>
      <w:r w:rsidR="00681720">
        <w:rPr>
          <w:rFonts w:ascii="Arial" w:hAnsi="Arial" w:cs="Arial"/>
          <w:sz w:val="22"/>
          <w:szCs w:val="22"/>
        </w:rPr>
        <w:t xml:space="preserve"> </w:t>
      </w:r>
      <w:r w:rsidR="000E65CF">
        <w:rPr>
          <w:rFonts w:ascii="Arial" w:hAnsi="Arial" w:cs="Arial"/>
          <w:sz w:val="22"/>
          <w:szCs w:val="22"/>
        </w:rPr>
        <w:t xml:space="preserve">when </w:t>
      </w:r>
      <w:r w:rsidR="00CD44DB">
        <w:rPr>
          <w:rFonts w:ascii="Arial" w:hAnsi="Arial" w:cs="Arial"/>
          <w:sz w:val="22"/>
          <w:szCs w:val="22"/>
        </w:rPr>
        <w:t>using</w:t>
      </w:r>
      <w:r w:rsidR="00681720">
        <w:rPr>
          <w:rFonts w:ascii="Arial" w:hAnsi="Arial" w:cs="Arial"/>
          <w:sz w:val="22"/>
          <w:szCs w:val="22"/>
        </w:rPr>
        <w:t xml:space="preserve"> the cents per kilometre method. </w:t>
      </w:r>
    </w:p>
    <w:p w14:paraId="0B5594D7" w14:textId="77777777" w:rsidR="003A0C90" w:rsidRDefault="003A0C90" w:rsidP="003A0C90">
      <w:pPr>
        <w:keepNext/>
        <w:keepLines/>
        <w:ind w:left="720"/>
        <w:rPr>
          <w:rFonts w:ascii="Arial" w:hAnsi="Arial" w:cs="Arial"/>
          <w:sz w:val="22"/>
          <w:szCs w:val="22"/>
        </w:rPr>
      </w:pPr>
    </w:p>
    <w:p w14:paraId="35CC4872" w14:textId="06BBF4F5" w:rsidR="003A0C90" w:rsidRPr="00FD00B7" w:rsidRDefault="00660CDB" w:rsidP="00FD00B7">
      <w:pPr>
        <w:keepNext/>
        <w:keepLines/>
        <w:numPr>
          <w:ilvl w:val="0"/>
          <w:numId w:val="16"/>
        </w:numPr>
        <w:rPr>
          <w:rFonts w:ascii="Arial" w:hAnsi="Arial" w:cs="Arial"/>
          <w:sz w:val="22"/>
          <w:szCs w:val="22"/>
        </w:rPr>
      </w:pPr>
      <w:r>
        <w:rPr>
          <w:rFonts w:ascii="Arial" w:hAnsi="Arial" w:cs="Arial"/>
          <w:sz w:val="22"/>
          <w:szCs w:val="22"/>
        </w:rPr>
        <w:t>This instrument sets the</w:t>
      </w:r>
      <w:r w:rsidR="00E236DC" w:rsidRPr="003A0C90">
        <w:rPr>
          <w:rFonts w:ascii="Arial" w:hAnsi="Arial" w:cs="Arial"/>
          <w:sz w:val="22"/>
          <w:szCs w:val="22"/>
        </w:rPr>
        <w:t xml:space="preserve"> rate at 66 cents per kilometre for the income year commencing 1 J</w:t>
      </w:r>
      <w:r w:rsidR="009228B2">
        <w:rPr>
          <w:rFonts w:ascii="Arial" w:hAnsi="Arial" w:cs="Arial"/>
          <w:sz w:val="22"/>
          <w:szCs w:val="22"/>
        </w:rPr>
        <w:t>uly 2016</w:t>
      </w:r>
      <w:r w:rsidR="00FD00B7">
        <w:rPr>
          <w:rFonts w:ascii="Arial" w:hAnsi="Arial" w:cs="Arial"/>
          <w:sz w:val="22"/>
          <w:szCs w:val="22"/>
        </w:rPr>
        <w:t xml:space="preserve">, and this rate remains applicable </w:t>
      </w:r>
      <w:r w:rsidR="0053237F">
        <w:rPr>
          <w:rFonts w:ascii="Arial" w:hAnsi="Arial" w:cs="Arial"/>
          <w:sz w:val="22"/>
          <w:szCs w:val="22"/>
        </w:rPr>
        <w:t xml:space="preserve">to subsequent income years </w:t>
      </w:r>
      <w:r w:rsidR="00FD00B7">
        <w:rPr>
          <w:rFonts w:ascii="Arial" w:hAnsi="Arial" w:cs="Arial"/>
          <w:sz w:val="22"/>
          <w:szCs w:val="22"/>
        </w:rPr>
        <w:t xml:space="preserve">until </w:t>
      </w:r>
      <w:r w:rsidR="003A0C90" w:rsidRPr="00FD00B7">
        <w:rPr>
          <w:rFonts w:ascii="Arial" w:hAnsi="Arial" w:cs="Arial"/>
          <w:sz w:val="22"/>
          <w:szCs w:val="22"/>
        </w:rPr>
        <w:t>such time as the Commissioner of Taxation determines</w:t>
      </w:r>
      <w:r w:rsidR="0053237F">
        <w:rPr>
          <w:rFonts w:ascii="Arial" w:hAnsi="Arial" w:cs="Arial"/>
          <w:sz w:val="22"/>
          <w:szCs w:val="22"/>
        </w:rPr>
        <w:t xml:space="preserve">, having regard to subsection 28-25(5), </w:t>
      </w:r>
      <w:r w:rsidR="003A0C90" w:rsidRPr="00FD00B7">
        <w:rPr>
          <w:rFonts w:ascii="Arial" w:hAnsi="Arial" w:cs="Arial"/>
          <w:sz w:val="22"/>
          <w:szCs w:val="22"/>
        </w:rPr>
        <w:t xml:space="preserve"> that it should be varied.</w:t>
      </w:r>
    </w:p>
    <w:p w14:paraId="2BB6CE75" w14:textId="0EC72E34" w:rsidR="00E236DC" w:rsidRDefault="00E236DC" w:rsidP="003A0C90">
      <w:pPr>
        <w:keepNext/>
        <w:keepLines/>
        <w:ind w:left="720"/>
        <w:rPr>
          <w:rFonts w:ascii="Arial" w:hAnsi="Arial" w:cs="Arial"/>
          <w:sz w:val="22"/>
          <w:szCs w:val="22"/>
        </w:rPr>
      </w:pPr>
    </w:p>
    <w:p w14:paraId="1FE1FD05" w14:textId="77777777" w:rsidR="00681720" w:rsidRPr="00681720" w:rsidRDefault="00681720" w:rsidP="00681720">
      <w:pPr>
        <w:keepNext/>
        <w:keepLines/>
        <w:rPr>
          <w:rFonts w:ascii="Arial" w:hAnsi="Arial" w:cs="Arial"/>
          <w:sz w:val="22"/>
          <w:szCs w:val="22"/>
        </w:rPr>
      </w:pPr>
    </w:p>
    <w:p w14:paraId="19409F0F" w14:textId="77777777" w:rsidR="00486653" w:rsidRPr="005E6CCE" w:rsidRDefault="00486653" w:rsidP="00486653">
      <w:pPr>
        <w:pStyle w:val="Heading2"/>
        <w:rPr>
          <w:sz w:val="24"/>
          <w:szCs w:val="24"/>
        </w:rPr>
      </w:pPr>
      <w:r>
        <w:rPr>
          <w:sz w:val="24"/>
          <w:szCs w:val="24"/>
        </w:rPr>
        <w:t>What is the e</w:t>
      </w:r>
      <w:r w:rsidRPr="005E6CCE">
        <w:rPr>
          <w:sz w:val="24"/>
          <w:szCs w:val="24"/>
        </w:rPr>
        <w:t>ffect of this instrument</w:t>
      </w:r>
    </w:p>
    <w:p w14:paraId="19409F10" w14:textId="77777777" w:rsidR="00486653" w:rsidRPr="000C390A" w:rsidRDefault="00486653" w:rsidP="00486653">
      <w:pPr>
        <w:keepNext/>
        <w:keepLines/>
        <w:rPr>
          <w:rFonts w:ascii="Arial" w:hAnsi="Arial" w:cs="Arial"/>
          <w:color w:val="000000"/>
        </w:rPr>
      </w:pPr>
    </w:p>
    <w:p w14:paraId="03203CDC" w14:textId="2A548960" w:rsidR="00CF4028" w:rsidRDefault="00486653" w:rsidP="00CD44DB">
      <w:pPr>
        <w:keepNext/>
        <w:keepLines/>
        <w:numPr>
          <w:ilvl w:val="0"/>
          <w:numId w:val="16"/>
        </w:numPr>
        <w:rPr>
          <w:rFonts w:ascii="Arial" w:hAnsi="Arial" w:cs="Arial"/>
          <w:color w:val="000000"/>
          <w:sz w:val="22"/>
          <w:szCs w:val="22"/>
        </w:rPr>
      </w:pPr>
      <w:r w:rsidRPr="000C390A">
        <w:rPr>
          <w:rFonts w:ascii="Arial" w:hAnsi="Arial" w:cs="Arial"/>
          <w:color w:val="000000"/>
          <w:sz w:val="22"/>
          <w:szCs w:val="22"/>
        </w:rPr>
        <w:t>The effect of this instrument is</w:t>
      </w:r>
      <w:r w:rsidR="00673B37" w:rsidRPr="000C390A">
        <w:rPr>
          <w:rFonts w:ascii="Arial" w:hAnsi="Arial" w:cs="Arial"/>
          <w:color w:val="000000"/>
          <w:sz w:val="22"/>
          <w:szCs w:val="22"/>
        </w:rPr>
        <w:t xml:space="preserve"> </w:t>
      </w:r>
      <w:r w:rsidR="00CD44DB">
        <w:rPr>
          <w:rFonts w:ascii="Arial" w:hAnsi="Arial" w:cs="Arial"/>
          <w:color w:val="000000"/>
          <w:sz w:val="22"/>
          <w:szCs w:val="22"/>
        </w:rPr>
        <w:t xml:space="preserve">to </w:t>
      </w:r>
      <w:r w:rsidR="007D784B">
        <w:rPr>
          <w:rFonts w:ascii="Arial" w:hAnsi="Arial" w:cs="Arial"/>
          <w:color w:val="000000"/>
          <w:sz w:val="22"/>
          <w:szCs w:val="22"/>
        </w:rPr>
        <w:t>ensure</w:t>
      </w:r>
      <w:r w:rsidR="00CD44DB">
        <w:rPr>
          <w:rFonts w:ascii="Arial" w:hAnsi="Arial" w:cs="Arial"/>
          <w:color w:val="000000"/>
          <w:sz w:val="22"/>
          <w:szCs w:val="22"/>
        </w:rPr>
        <w:t xml:space="preserve"> </w:t>
      </w:r>
      <w:r w:rsidR="00681720" w:rsidRPr="00CD44DB">
        <w:rPr>
          <w:rFonts w:ascii="Arial" w:hAnsi="Arial" w:cs="Arial"/>
          <w:color w:val="000000"/>
          <w:sz w:val="22"/>
          <w:szCs w:val="22"/>
        </w:rPr>
        <w:t>taxpayers</w:t>
      </w:r>
      <w:r w:rsidR="00991369">
        <w:rPr>
          <w:rFonts w:ascii="Arial" w:hAnsi="Arial" w:cs="Arial"/>
          <w:color w:val="000000"/>
          <w:sz w:val="22"/>
          <w:szCs w:val="22"/>
        </w:rPr>
        <w:t xml:space="preserve"> and tax practitioners</w:t>
      </w:r>
      <w:r w:rsidR="00681720" w:rsidRPr="00CD44DB">
        <w:rPr>
          <w:rFonts w:ascii="Arial" w:hAnsi="Arial" w:cs="Arial"/>
          <w:color w:val="000000"/>
          <w:sz w:val="22"/>
          <w:szCs w:val="22"/>
        </w:rPr>
        <w:t xml:space="preserve"> </w:t>
      </w:r>
      <w:r w:rsidR="007D784B">
        <w:rPr>
          <w:rFonts w:ascii="Arial" w:hAnsi="Arial" w:cs="Arial"/>
          <w:color w:val="000000"/>
          <w:sz w:val="22"/>
          <w:szCs w:val="22"/>
        </w:rPr>
        <w:t>have</w:t>
      </w:r>
      <w:r w:rsidR="00681720" w:rsidRPr="00CD44DB">
        <w:rPr>
          <w:rFonts w:ascii="Arial" w:hAnsi="Arial" w:cs="Arial"/>
          <w:color w:val="000000"/>
          <w:sz w:val="22"/>
          <w:szCs w:val="22"/>
        </w:rPr>
        <w:t xml:space="preserve"> certainty about the rate at which work-r</w:t>
      </w:r>
      <w:r w:rsidR="0048780D">
        <w:rPr>
          <w:rFonts w:ascii="Arial" w:hAnsi="Arial" w:cs="Arial"/>
          <w:color w:val="000000"/>
          <w:sz w:val="22"/>
          <w:szCs w:val="22"/>
        </w:rPr>
        <w:t>elated motor vehicle expense deductions</w:t>
      </w:r>
      <w:r w:rsidR="000E65CF">
        <w:rPr>
          <w:rFonts w:ascii="Arial" w:hAnsi="Arial" w:cs="Arial"/>
          <w:color w:val="000000"/>
          <w:sz w:val="22"/>
          <w:szCs w:val="22"/>
        </w:rPr>
        <w:t xml:space="preserve"> </w:t>
      </w:r>
      <w:r w:rsidR="00991369">
        <w:rPr>
          <w:rFonts w:ascii="Arial" w:hAnsi="Arial" w:cs="Arial"/>
          <w:color w:val="000000"/>
          <w:sz w:val="22"/>
          <w:szCs w:val="22"/>
        </w:rPr>
        <w:t xml:space="preserve">may be claimed </w:t>
      </w:r>
      <w:r w:rsidR="00681720" w:rsidRPr="00CD44DB">
        <w:rPr>
          <w:rFonts w:ascii="Arial" w:hAnsi="Arial" w:cs="Arial"/>
          <w:color w:val="000000"/>
          <w:sz w:val="22"/>
          <w:szCs w:val="22"/>
        </w:rPr>
        <w:t>using the cents per kilometre method.</w:t>
      </w:r>
      <w:r w:rsidR="00CD44DB">
        <w:rPr>
          <w:rFonts w:ascii="Arial" w:hAnsi="Arial" w:cs="Arial"/>
          <w:color w:val="000000"/>
          <w:sz w:val="22"/>
          <w:szCs w:val="22"/>
        </w:rPr>
        <w:t xml:space="preserve"> </w:t>
      </w:r>
    </w:p>
    <w:p w14:paraId="0826E219" w14:textId="77777777" w:rsidR="00991369" w:rsidRDefault="00991369" w:rsidP="00991369">
      <w:pPr>
        <w:keepNext/>
        <w:keepLines/>
        <w:ind w:left="720"/>
        <w:rPr>
          <w:rFonts w:ascii="Arial" w:hAnsi="Arial" w:cs="Arial"/>
          <w:color w:val="000000"/>
          <w:sz w:val="22"/>
          <w:szCs w:val="22"/>
        </w:rPr>
      </w:pPr>
    </w:p>
    <w:p w14:paraId="7ED3C74F" w14:textId="35E67AA7" w:rsidR="00660CDB" w:rsidRDefault="00660CDB" w:rsidP="00CD44DB">
      <w:pPr>
        <w:keepNext/>
        <w:keepLines/>
        <w:numPr>
          <w:ilvl w:val="0"/>
          <w:numId w:val="16"/>
        </w:numPr>
        <w:rPr>
          <w:rFonts w:ascii="Arial" w:hAnsi="Arial" w:cs="Arial"/>
          <w:color w:val="000000"/>
          <w:sz w:val="22"/>
          <w:szCs w:val="22"/>
        </w:rPr>
      </w:pPr>
      <w:r>
        <w:rPr>
          <w:rFonts w:ascii="Arial" w:hAnsi="Arial" w:cs="Arial"/>
          <w:color w:val="000000"/>
          <w:sz w:val="22"/>
          <w:szCs w:val="22"/>
        </w:rPr>
        <w:t xml:space="preserve">This instrument </w:t>
      </w:r>
      <w:r w:rsidR="00991369">
        <w:rPr>
          <w:rFonts w:ascii="Arial" w:hAnsi="Arial" w:cs="Arial"/>
          <w:color w:val="000000"/>
          <w:sz w:val="22"/>
          <w:szCs w:val="22"/>
        </w:rPr>
        <w:t>provides further certainty by</w:t>
      </w:r>
      <w:r>
        <w:rPr>
          <w:rFonts w:ascii="Arial" w:hAnsi="Arial" w:cs="Arial"/>
          <w:color w:val="000000"/>
          <w:sz w:val="22"/>
          <w:szCs w:val="22"/>
        </w:rPr>
        <w:t xml:space="preserve"> </w:t>
      </w:r>
      <w:r w:rsidR="00991369">
        <w:rPr>
          <w:rFonts w:ascii="Arial" w:hAnsi="Arial" w:cs="Arial"/>
          <w:color w:val="000000"/>
          <w:sz w:val="22"/>
          <w:szCs w:val="22"/>
        </w:rPr>
        <w:t xml:space="preserve">ensuring that the rate remains </w:t>
      </w:r>
      <w:r w:rsidR="00831AA1">
        <w:rPr>
          <w:rFonts w:ascii="Arial" w:hAnsi="Arial" w:cs="Arial"/>
          <w:color w:val="000000"/>
          <w:sz w:val="22"/>
          <w:szCs w:val="22"/>
        </w:rPr>
        <w:t>applicable</w:t>
      </w:r>
      <w:r w:rsidR="00991369">
        <w:rPr>
          <w:rFonts w:ascii="Arial" w:hAnsi="Arial" w:cs="Arial"/>
          <w:color w:val="000000"/>
          <w:sz w:val="22"/>
          <w:szCs w:val="22"/>
        </w:rPr>
        <w:t xml:space="preserve"> until the Commissioner of Taxation</w:t>
      </w:r>
      <w:r w:rsidR="007E561C">
        <w:rPr>
          <w:rFonts w:ascii="Arial" w:hAnsi="Arial" w:cs="Arial"/>
          <w:color w:val="000000"/>
          <w:sz w:val="22"/>
          <w:szCs w:val="22"/>
        </w:rPr>
        <w:t>,</w:t>
      </w:r>
      <w:r w:rsidR="00C21862" w:rsidRPr="00C21862">
        <w:rPr>
          <w:rFonts w:ascii="Arial" w:hAnsi="Arial" w:cs="Arial"/>
          <w:sz w:val="22"/>
          <w:szCs w:val="22"/>
        </w:rPr>
        <w:t xml:space="preserve"> </w:t>
      </w:r>
      <w:r w:rsidR="00C21862">
        <w:rPr>
          <w:rFonts w:ascii="Arial" w:hAnsi="Arial" w:cs="Arial"/>
          <w:sz w:val="22"/>
          <w:szCs w:val="22"/>
        </w:rPr>
        <w:t>having regard to subsection 28-25(5),</w:t>
      </w:r>
      <w:r w:rsidR="00991369">
        <w:rPr>
          <w:rFonts w:ascii="Arial" w:hAnsi="Arial" w:cs="Arial"/>
          <w:color w:val="000000"/>
          <w:sz w:val="22"/>
          <w:szCs w:val="22"/>
        </w:rPr>
        <w:t xml:space="preserve"> determines that it should be varied. </w:t>
      </w:r>
    </w:p>
    <w:p w14:paraId="5F012BC1" w14:textId="77777777" w:rsidR="009228B2" w:rsidRDefault="009228B2" w:rsidP="007D784B">
      <w:pPr>
        <w:keepNext/>
        <w:keepLines/>
        <w:ind w:left="720"/>
        <w:rPr>
          <w:rFonts w:ascii="Arial" w:hAnsi="Arial" w:cs="Arial"/>
          <w:color w:val="000000"/>
          <w:sz w:val="22"/>
          <w:szCs w:val="22"/>
        </w:rPr>
      </w:pPr>
    </w:p>
    <w:p w14:paraId="19409F16" w14:textId="77777777" w:rsidR="00486653" w:rsidRPr="009F31A4" w:rsidRDefault="00486653" w:rsidP="00486653">
      <w:pPr>
        <w:rPr>
          <w:rFonts w:ascii="Arial" w:hAnsi="Arial" w:cs="Arial"/>
        </w:rPr>
      </w:pPr>
    </w:p>
    <w:p w14:paraId="19409F17" w14:textId="77777777" w:rsidR="00486653" w:rsidRPr="005E6CCE" w:rsidRDefault="00486653" w:rsidP="00486653">
      <w:pPr>
        <w:pStyle w:val="Heading2"/>
        <w:rPr>
          <w:sz w:val="24"/>
          <w:szCs w:val="24"/>
        </w:rPr>
      </w:pPr>
      <w:r w:rsidRPr="005E6CCE">
        <w:rPr>
          <w:sz w:val="24"/>
          <w:szCs w:val="24"/>
        </w:rPr>
        <w:t>Background</w:t>
      </w:r>
    </w:p>
    <w:p w14:paraId="19409F18" w14:textId="77777777" w:rsidR="00486653" w:rsidRPr="009F31A4" w:rsidRDefault="00486653" w:rsidP="00486653">
      <w:pPr>
        <w:keepNext/>
        <w:keepLines/>
        <w:rPr>
          <w:rFonts w:ascii="Arial" w:hAnsi="Arial" w:cs="Arial"/>
          <w:b/>
        </w:rPr>
      </w:pPr>
    </w:p>
    <w:p w14:paraId="0E6E41CC" w14:textId="390F48A7" w:rsidR="00995200" w:rsidRDefault="00777DC1" w:rsidP="00995200">
      <w:pPr>
        <w:numPr>
          <w:ilvl w:val="0"/>
          <w:numId w:val="16"/>
        </w:numPr>
        <w:rPr>
          <w:rFonts w:ascii="Arial" w:hAnsi="Arial" w:cs="Arial"/>
          <w:sz w:val="22"/>
          <w:szCs w:val="22"/>
        </w:rPr>
      </w:pPr>
      <w:r>
        <w:rPr>
          <w:rFonts w:ascii="Arial" w:hAnsi="Arial" w:cs="Arial"/>
          <w:sz w:val="22"/>
          <w:szCs w:val="22"/>
        </w:rPr>
        <w:t>In the 2015</w:t>
      </w:r>
      <w:r w:rsidR="00995200">
        <w:rPr>
          <w:rFonts w:ascii="Arial" w:hAnsi="Arial" w:cs="Arial"/>
          <w:sz w:val="22"/>
          <w:szCs w:val="22"/>
        </w:rPr>
        <w:t xml:space="preserve"> </w:t>
      </w:r>
      <w:r>
        <w:rPr>
          <w:rFonts w:ascii="Arial" w:hAnsi="Arial" w:cs="Arial"/>
          <w:sz w:val="22"/>
          <w:szCs w:val="22"/>
        </w:rPr>
        <w:t xml:space="preserve">Federal Budget the Government announced its intention to modernise the ‘cents per kilometre method’ by replacing three rates based on engine size with one rate set at 66 cents per kilometre </w:t>
      </w:r>
      <w:r w:rsidR="00995200">
        <w:rPr>
          <w:rFonts w:ascii="Arial" w:hAnsi="Arial" w:cs="Arial"/>
          <w:sz w:val="22"/>
          <w:szCs w:val="22"/>
        </w:rPr>
        <w:t xml:space="preserve">to apply for all motor vehicles. </w:t>
      </w:r>
      <w:r w:rsidRPr="00995200">
        <w:rPr>
          <w:rFonts w:ascii="Arial" w:hAnsi="Arial" w:cs="Arial"/>
          <w:sz w:val="22"/>
          <w:szCs w:val="22"/>
        </w:rPr>
        <w:t xml:space="preserve">The </w:t>
      </w:r>
      <w:r w:rsidR="004815C3" w:rsidRPr="00995200">
        <w:rPr>
          <w:rFonts w:ascii="Arial" w:hAnsi="Arial" w:cs="Arial"/>
          <w:i/>
          <w:sz w:val="22"/>
          <w:szCs w:val="22"/>
        </w:rPr>
        <w:t>Tax and Superannuation Laws Amendment (2015 Measures No. 5) Act 2015</w:t>
      </w:r>
      <w:r w:rsidRPr="00995200">
        <w:rPr>
          <w:rFonts w:ascii="Arial" w:hAnsi="Arial" w:cs="Arial"/>
          <w:i/>
          <w:sz w:val="22"/>
          <w:szCs w:val="22"/>
        </w:rPr>
        <w:t xml:space="preserve"> </w:t>
      </w:r>
      <w:r w:rsidR="004815C3" w:rsidRPr="00995200">
        <w:rPr>
          <w:rFonts w:ascii="Arial" w:hAnsi="Arial" w:cs="Arial"/>
          <w:sz w:val="22"/>
          <w:szCs w:val="22"/>
        </w:rPr>
        <w:t xml:space="preserve">received </w:t>
      </w:r>
      <w:r w:rsidR="00870F26">
        <w:rPr>
          <w:rFonts w:ascii="Arial" w:hAnsi="Arial" w:cs="Arial"/>
          <w:sz w:val="22"/>
          <w:szCs w:val="22"/>
        </w:rPr>
        <w:t>Royal A</w:t>
      </w:r>
      <w:r w:rsidR="004815C3" w:rsidRPr="00995200">
        <w:rPr>
          <w:rFonts w:ascii="Arial" w:hAnsi="Arial" w:cs="Arial"/>
          <w:sz w:val="22"/>
          <w:szCs w:val="22"/>
        </w:rPr>
        <w:t xml:space="preserve">ssent </w:t>
      </w:r>
      <w:r w:rsidR="00DE58F6">
        <w:rPr>
          <w:rFonts w:ascii="Arial" w:hAnsi="Arial" w:cs="Arial"/>
          <w:sz w:val="22"/>
          <w:szCs w:val="22"/>
        </w:rPr>
        <w:t xml:space="preserve">on 30 November 2015, enacting </w:t>
      </w:r>
      <w:r w:rsidR="004815C3" w:rsidRPr="00995200">
        <w:rPr>
          <w:rFonts w:ascii="Arial" w:hAnsi="Arial" w:cs="Arial"/>
          <w:sz w:val="22"/>
          <w:szCs w:val="22"/>
        </w:rPr>
        <w:t>the</w:t>
      </w:r>
      <w:r w:rsidR="00995200" w:rsidRPr="00995200">
        <w:rPr>
          <w:rFonts w:ascii="Arial" w:hAnsi="Arial" w:cs="Arial"/>
          <w:sz w:val="22"/>
          <w:szCs w:val="22"/>
        </w:rPr>
        <w:t>se changes</w:t>
      </w:r>
      <w:r w:rsidR="004815C3" w:rsidRPr="00995200">
        <w:rPr>
          <w:rFonts w:ascii="Arial" w:hAnsi="Arial" w:cs="Arial"/>
          <w:sz w:val="22"/>
          <w:szCs w:val="22"/>
        </w:rPr>
        <w:t xml:space="preserve"> to the </w:t>
      </w:r>
      <w:r w:rsidR="004815C3" w:rsidRPr="00995200">
        <w:rPr>
          <w:rFonts w:ascii="Arial" w:hAnsi="Arial" w:cs="Arial"/>
          <w:i/>
          <w:sz w:val="22"/>
          <w:szCs w:val="22"/>
        </w:rPr>
        <w:t>Income Tax Assessment Act 1997.</w:t>
      </w:r>
      <w:r w:rsidR="004815C3" w:rsidRPr="00995200">
        <w:rPr>
          <w:rFonts w:ascii="Arial" w:hAnsi="Arial" w:cs="Arial"/>
          <w:sz w:val="22"/>
          <w:szCs w:val="22"/>
        </w:rPr>
        <w:t xml:space="preserve"> </w:t>
      </w:r>
    </w:p>
    <w:p w14:paraId="1FD843F8" w14:textId="77777777" w:rsidR="00995200" w:rsidRDefault="00995200" w:rsidP="00995200">
      <w:pPr>
        <w:ind w:left="720"/>
        <w:rPr>
          <w:rFonts w:ascii="Arial" w:hAnsi="Arial" w:cs="Arial"/>
          <w:sz w:val="22"/>
          <w:szCs w:val="22"/>
        </w:rPr>
      </w:pPr>
    </w:p>
    <w:p w14:paraId="0FAA880E" w14:textId="4CC9A5CE" w:rsidR="00FB3E04" w:rsidRDefault="00FB3E04" w:rsidP="00FB3E04">
      <w:pPr>
        <w:numPr>
          <w:ilvl w:val="0"/>
          <w:numId w:val="16"/>
        </w:numPr>
        <w:rPr>
          <w:rFonts w:ascii="Arial" w:hAnsi="Arial" w:cs="Arial"/>
          <w:sz w:val="22"/>
          <w:szCs w:val="22"/>
        </w:rPr>
      </w:pPr>
      <w:r>
        <w:rPr>
          <w:rFonts w:ascii="Arial" w:hAnsi="Arial" w:cs="Arial"/>
          <w:sz w:val="22"/>
          <w:szCs w:val="22"/>
        </w:rPr>
        <w:t>S</w:t>
      </w:r>
      <w:r w:rsidR="00870F26">
        <w:rPr>
          <w:rFonts w:ascii="Arial" w:hAnsi="Arial" w:cs="Arial"/>
          <w:sz w:val="22"/>
          <w:szCs w:val="22"/>
        </w:rPr>
        <w:t>ubs</w:t>
      </w:r>
      <w:r w:rsidR="00995200" w:rsidRPr="00995200">
        <w:rPr>
          <w:rFonts w:ascii="Arial" w:hAnsi="Arial" w:cs="Arial"/>
          <w:sz w:val="22"/>
          <w:szCs w:val="22"/>
        </w:rPr>
        <w:t>ection 28-25</w:t>
      </w:r>
      <w:r>
        <w:rPr>
          <w:rFonts w:ascii="Arial" w:hAnsi="Arial" w:cs="Arial"/>
          <w:sz w:val="22"/>
          <w:szCs w:val="22"/>
        </w:rPr>
        <w:t>(4)</w:t>
      </w:r>
      <w:r w:rsidR="00995200" w:rsidRPr="00995200">
        <w:rPr>
          <w:rFonts w:ascii="Arial" w:hAnsi="Arial" w:cs="Arial"/>
          <w:sz w:val="22"/>
          <w:szCs w:val="22"/>
        </w:rPr>
        <w:t xml:space="preserve"> of the </w:t>
      </w:r>
      <w:r w:rsidR="00995200" w:rsidRPr="00995200">
        <w:rPr>
          <w:rFonts w:ascii="Arial" w:hAnsi="Arial" w:cs="Arial"/>
          <w:i/>
          <w:sz w:val="22"/>
          <w:szCs w:val="22"/>
        </w:rPr>
        <w:t xml:space="preserve">Income Tax Assessment Act 1997 </w:t>
      </w:r>
      <w:r w:rsidR="00995200" w:rsidRPr="00995200">
        <w:rPr>
          <w:rFonts w:ascii="Arial" w:hAnsi="Arial" w:cs="Arial"/>
          <w:sz w:val="22"/>
          <w:szCs w:val="22"/>
        </w:rPr>
        <w:t>enables the Commissioner</w:t>
      </w:r>
      <w:r>
        <w:rPr>
          <w:rFonts w:ascii="Arial" w:hAnsi="Arial" w:cs="Arial"/>
          <w:sz w:val="22"/>
          <w:szCs w:val="22"/>
        </w:rPr>
        <w:t xml:space="preserve"> of Taxation</w:t>
      </w:r>
      <w:r w:rsidR="00995200" w:rsidRPr="00995200">
        <w:rPr>
          <w:rFonts w:ascii="Arial" w:hAnsi="Arial" w:cs="Arial"/>
          <w:sz w:val="22"/>
          <w:szCs w:val="22"/>
        </w:rPr>
        <w:t xml:space="preserve"> to determine rates of cents per kilometre for cars for an income year. </w:t>
      </w:r>
    </w:p>
    <w:p w14:paraId="070F1362" w14:textId="77777777" w:rsidR="00FB3E04" w:rsidRPr="00FB3E04" w:rsidRDefault="00FB3E04" w:rsidP="00FB3E04">
      <w:pPr>
        <w:rPr>
          <w:rFonts w:ascii="Arial" w:hAnsi="Arial" w:cs="Arial"/>
          <w:sz w:val="22"/>
          <w:szCs w:val="22"/>
        </w:rPr>
      </w:pPr>
    </w:p>
    <w:p w14:paraId="1E8705D0" w14:textId="499A60C1" w:rsidR="00807D21" w:rsidRDefault="00FB3E04" w:rsidP="00807D21">
      <w:pPr>
        <w:numPr>
          <w:ilvl w:val="0"/>
          <w:numId w:val="16"/>
        </w:numPr>
        <w:rPr>
          <w:rFonts w:ascii="Arial" w:hAnsi="Arial" w:cs="Arial"/>
          <w:sz w:val="22"/>
          <w:szCs w:val="22"/>
        </w:rPr>
      </w:pPr>
      <w:r>
        <w:rPr>
          <w:rFonts w:ascii="Arial" w:hAnsi="Arial" w:cs="Arial"/>
          <w:sz w:val="22"/>
          <w:szCs w:val="22"/>
        </w:rPr>
        <w:t>S</w:t>
      </w:r>
      <w:r w:rsidR="00870F26">
        <w:rPr>
          <w:rFonts w:ascii="Arial" w:hAnsi="Arial" w:cs="Arial"/>
          <w:sz w:val="22"/>
          <w:szCs w:val="22"/>
        </w:rPr>
        <w:t>ubs</w:t>
      </w:r>
      <w:r>
        <w:rPr>
          <w:rFonts w:ascii="Arial" w:hAnsi="Arial" w:cs="Arial"/>
          <w:sz w:val="22"/>
          <w:szCs w:val="22"/>
        </w:rPr>
        <w:t xml:space="preserve">ection 28-25(5) of the </w:t>
      </w:r>
      <w:r>
        <w:rPr>
          <w:rFonts w:ascii="Arial" w:hAnsi="Arial" w:cs="Arial"/>
          <w:i/>
          <w:sz w:val="22"/>
          <w:szCs w:val="22"/>
        </w:rPr>
        <w:t xml:space="preserve">Income Tax Assessment Act 1997 </w:t>
      </w:r>
      <w:r w:rsidR="00870F26">
        <w:rPr>
          <w:rFonts w:ascii="Arial" w:hAnsi="Arial" w:cs="Arial"/>
          <w:sz w:val="22"/>
          <w:szCs w:val="22"/>
        </w:rPr>
        <w:t xml:space="preserve">requires </w:t>
      </w:r>
      <w:r w:rsidR="00807D21">
        <w:rPr>
          <w:rFonts w:ascii="Arial" w:hAnsi="Arial" w:cs="Arial"/>
          <w:sz w:val="22"/>
          <w:szCs w:val="22"/>
        </w:rPr>
        <w:t>that the Commissioner of Taxation</w:t>
      </w:r>
      <w:r w:rsidR="00DE58F6">
        <w:rPr>
          <w:rFonts w:ascii="Arial" w:hAnsi="Arial" w:cs="Arial"/>
          <w:sz w:val="22"/>
          <w:szCs w:val="22"/>
        </w:rPr>
        <w:t>, when determining the rate,</w:t>
      </w:r>
      <w:r w:rsidR="00807D21">
        <w:rPr>
          <w:rFonts w:ascii="Arial" w:hAnsi="Arial" w:cs="Arial"/>
          <w:sz w:val="22"/>
          <w:szCs w:val="22"/>
        </w:rPr>
        <w:t xml:space="preserve"> have regard to the average operating costs for the cars to be covered by that rate.</w:t>
      </w:r>
    </w:p>
    <w:p w14:paraId="2CB0D772" w14:textId="77777777" w:rsidR="00807D21" w:rsidRPr="00807D21" w:rsidRDefault="00807D21" w:rsidP="00807D21">
      <w:pPr>
        <w:ind w:left="360"/>
        <w:rPr>
          <w:rFonts w:ascii="Arial" w:hAnsi="Arial" w:cs="Arial"/>
        </w:rPr>
      </w:pPr>
    </w:p>
    <w:p w14:paraId="63541B86" w14:textId="62FC2A52" w:rsidR="00807D21" w:rsidRPr="00807D21" w:rsidRDefault="00807D21" w:rsidP="00807D21">
      <w:pPr>
        <w:numPr>
          <w:ilvl w:val="0"/>
          <w:numId w:val="16"/>
        </w:numPr>
        <w:rPr>
          <w:rFonts w:ascii="Arial" w:hAnsi="Arial" w:cs="Arial"/>
          <w:sz w:val="22"/>
          <w:szCs w:val="22"/>
        </w:rPr>
      </w:pPr>
      <w:r>
        <w:rPr>
          <w:rFonts w:ascii="Arial" w:hAnsi="Arial" w:cs="Arial"/>
          <w:sz w:val="22"/>
          <w:szCs w:val="22"/>
        </w:rPr>
        <w:t>After due consideration, the Commissioner has determined that the rate of 66 cents per kilometre will apply for the income year commencing 1 July 2016</w:t>
      </w:r>
      <w:r w:rsidR="00831AA1">
        <w:rPr>
          <w:rFonts w:ascii="Arial" w:hAnsi="Arial" w:cs="Arial"/>
          <w:sz w:val="22"/>
          <w:szCs w:val="22"/>
        </w:rPr>
        <w:t>.</w:t>
      </w:r>
      <w:r w:rsidR="00D05844">
        <w:rPr>
          <w:rFonts w:ascii="Arial" w:hAnsi="Arial" w:cs="Arial"/>
          <w:sz w:val="22"/>
          <w:szCs w:val="22"/>
        </w:rPr>
        <w:t xml:space="preserve"> This instrument sets that rate.</w:t>
      </w:r>
    </w:p>
    <w:p w14:paraId="19409F1A" w14:textId="77777777" w:rsidR="00486653" w:rsidRPr="009F31A4" w:rsidRDefault="00486653" w:rsidP="00486653">
      <w:pPr>
        <w:rPr>
          <w:rFonts w:ascii="Arial" w:hAnsi="Arial" w:cs="Arial"/>
        </w:rPr>
      </w:pPr>
    </w:p>
    <w:p w14:paraId="19409F1B" w14:textId="77777777" w:rsidR="00486653" w:rsidRPr="00C534A8" w:rsidRDefault="00486653" w:rsidP="00486653">
      <w:pPr>
        <w:pStyle w:val="Heading2"/>
        <w:rPr>
          <w:sz w:val="24"/>
          <w:szCs w:val="24"/>
        </w:rPr>
      </w:pPr>
      <w:r w:rsidRPr="00C534A8">
        <w:rPr>
          <w:sz w:val="24"/>
          <w:szCs w:val="24"/>
        </w:rPr>
        <w:t>Consultation:</w:t>
      </w:r>
    </w:p>
    <w:p w14:paraId="19409F1C" w14:textId="77777777" w:rsidR="00486653" w:rsidRPr="00C534A8" w:rsidRDefault="00486653" w:rsidP="00486653">
      <w:pPr>
        <w:keepNext/>
        <w:keepLines/>
        <w:rPr>
          <w:rFonts w:ascii="Arial" w:hAnsi="Arial" w:cs="Arial"/>
          <w:color w:val="000000"/>
        </w:rPr>
      </w:pPr>
    </w:p>
    <w:p w14:paraId="64B782C1" w14:textId="6B51BFC3" w:rsidR="00F93305" w:rsidRPr="00CC42B8" w:rsidRDefault="00486653" w:rsidP="00F93305">
      <w:pPr>
        <w:numPr>
          <w:ilvl w:val="0"/>
          <w:numId w:val="16"/>
        </w:numPr>
        <w:rPr>
          <w:rFonts w:ascii="Arial" w:hAnsi="Arial" w:cs="Arial"/>
          <w:color w:val="000000"/>
          <w:sz w:val="22"/>
          <w:szCs w:val="22"/>
        </w:rPr>
      </w:pPr>
      <w:r w:rsidRPr="00CC42B8">
        <w:rPr>
          <w:rFonts w:ascii="Arial" w:hAnsi="Arial" w:cs="Arial"/>
          <w:color w:val="000000"/>
          <w:sz w:val="22"/>
          <w:szCs w:val="22"/>
        </w:rPr>
        <w:t>This instrument was developed in consultation</w:t>
      </w:r>
      <w:r w:rsidR="0023733A" w:rsidRPr="00CC42B8">
        <w:rPr>
          <w:rFonts w:ascii="Arial" w:hAnsi="Arial" w:cs="Arial"/>
          <w:color w:val="000000"/>
          <w:sz w:val="22"/>
          <w:szCs w:val="22"/>
        </w:rPr>
        <w:t xml:space="preserve"> </w:t>
      </w:r>
      <w:r w:rsidR="00085EC5">
        <w:rPr>
          <w:rFonts w:ascii="Arial" w:hAnsi="Arial" w:cs="Arial"/>
          <w:color w:val="000000"/>
          <w:sz w:val="22"/>
          <w:szCs w:val="22"/>
        </w:rPr>
        <w:t>with</w:t>
      </w:r>
      <w:r w:rsidR="00870F26">
        <w:rPr>
          <w:rFonts w:ascii="Arial" w:hAnsi="Arial" w:cs="Arial"/>
          <w:color w:val="000000"/>
          <w:sz w:val="22"/>
          <w:szCs w:val="22"/>
        </w:rPr>
        <w:t xml:space="preserve"> </w:t>
      </w:r>
      <w:r w:rsidR="00085EC5">
        <w:rPr>
          <w:rFonts w:ascii="Arial" w:hAnsi="Arial" w:cs="Arial"/>
          <w:color w:val="000000"/>
          <w:sz w:val="22"/>
          <w:szCs w:val="22"/>
        </w:rPr>
        <w:t>internal</w:t>
      </w:r>
      <w:r w:rsidR="00F93305" w:rsidRPr="00CC42B8">
        <w:rPr>
          <w:rFonts w:ascii="Arial" w:hAnsi="Arial" w:cs="Arial"/>
          <w:color w:val="000000"/>
          <w:sz w:val="22"/>
          <w:szCs w:val="22"/>
        </w:rPr>
        <w:t xml:space="preserve"> Australian Taxation Office (ATO) </w:t>
      </w:r>
      <w:r w:rsidR="00085EC5">
        <w:rPr>
          <w:rFonts w:ascii="Arial" w:hAnsi="Arial" w:cs="Arial"/>
          <w:color w:val="000000"/>
          <w:sz w:val="22"/>
          <w:szCs w:val="22"/>
        </w:rPr>
        <w:t xml:space="preserve">staff </w:t>
      </w:r>
      <w:r w:rsidR="00F93305" w:rsidRPr="00CC42B8">
        <w:rPr>
          <w:rFonts w:ascii="Arial" w:hAnsi="Arial" w:cs="Arial"/>
          <w:color w:val="000000"/>
          <w:sz w:val="22"/>
          <w:szCs w:val="22"/>
        </w:rPr>
        <w:t xml:space="preserve">and staff from the Australian Bureau of Statistics (ABS). </w:t>
      </w:r>
    </w:p>
    <w:p w14:paraId="3CCA215C" w14:textId="77777777" w:rsidR="00F93305" w:rsidRPr="00CC42B8" w:rsidRDefault="00F93305" w:rsidP="00F93305">
      <w:pPr>
        <w:ind w:left="720"/>
        <w:rPr>
          <w:rFonts w:ascii="Arial" w:hAnsi="Arial" w:cs="Arial"/>
          <w:i/>
          <w:color w:val="000000"/>
          <w:sz w:val="22"/>
          <w:szCs w:val="22"/>
          <w:highlight w:val="yellow"/>
        </w:rPr>
      </w:pPr>
    </w:p>
    <w:p w14:paraId="29AC5FA2" w14:textId="2DEB944B" w:rsidR="00C534A8" w:rsidRPr="00CC42B8" w:rsidRDefault="00DF10A1" w:rsidP="00C534A8">
      <w:pPr>
        <w:numPr>
          <w:ilvl w:val="0"/>
          <w:numId w:val="16"/>
        </w:numPr>
        <w:rPr>
          <w:rFonts w:ascii="Arial" w:hAnsi="Arial" w:cs="Arial"/>
          <w:color w:val="000000"/>
          <w:sz w:val="22"/>
          <w:szCs w:val="22"/>
        </w:rPr>
      </w:pPr>
      <w:r>
        <w:rPr>
          <w:rFonts w:ascii="Arial" w:hAnsi="Arial" w:cs="Arial"/>
          <w:color w:val="000000"/>
          <w:sz w:val="22"/>
          <w:szCs w:val="22"/>
        </w:rPr>
        <w:t>I</w:t>
      </w:r>
      <w:r w:rsidRPr="00CC42B8">
        <w:rPr>
          <w:rFonts w:ascii="Arial" w:hAnsi="Arial" w:cs="Arial"/>
          <w:color w:val="000000"/>
          <w:sz w:val="22"/>
          <w:szCs w:val="22"/>
        </w:rPr>
        <w:t xml:space="preserve">n </w:t>
      </w:r>
      <w:r w:rsidR="00F93305" w:rsidRPr="00CC42B8">
        <w:rPr>
          <w:rFonts w:ascii="Arial" w:hAnsi="Arial" w:cs="Arial"/>
          <w:color w:val="000000"/>
          <w:sz w:val="22"/>
          <w:szCs w:val="22"/>
        </w:rPr>
        <w:t>May 2016 the ABS</w:t>
      </w:r>
      <w:r>
        <w:rPr>
          <w:rFonts w:ascii="Arial" w:hAnsi="Arial" w:cs="Arial"/>
          <w:color w:val="000000"/>
          <w:sz w:val="22"/>
          <w:szCs w:val="22"/>
        </w:rPr>
        <w:t xml:space="preserve"> was consulted. </w:t>
      </w:r>
      <w:r w:rsidR="0035090E" w:rsidRPr="00CC42B8">
        <w:rPr>
          <w:rFonts w:ascii="Arial" w:hAnsi="Arial" w:cs="Arial"/>
          <w:color w:val="000000"/>
          <w:sz w:val="22"/>
          <w:szCs w:val="22"/>
        </w:rPr>
        <w:t xml:space="preserve">Historically, the expenditure data used to determine the appropriate rate was sourced from the Household Expenditure </w:t>
      </w:r>
      <w:r w:rsidR="0035090E" w:rsidRPr="00CC42B8">
        <w:rPr>
          <w:rFonts w:ascii="Arial" w:hAnsi="Arial" w:cs="Arial"/>
          <w:color w:val="000000"/>
          <w:sz w:val="22"/>
          <w:szCs w:val="22"/>
        </w:rPr>
        <w:lastRenderedPageBreak/>
        <w:t xml:space="preserve">Survey (HES). </w:t>
      </w:r>
      <w:r>
        <w:rPr>
          <w:rFonts w:ascii="Arial" w:hAnsi="Arial" w:cs="Arial"/>
          <w:color w:val="000000"/>
          <w:sz w:val="22"/>
          <w:szCs w:val="22"/>
        </w:rPr>
        <w:t>The ABS</w:t>
      </w:r>
      <w:r w:rsidR="0035090E" w:rsidRPr="00CC42B8">
        <w:rPr>
          <w:rFonts w:ascii="Arial" w:hAnsi="Arial" w:cs="Arial"/>
          <w:color w:val="000000"/>
          <w:sz w:val="22"/>
          <w:szCs w:val="22"/>
        </w:rPr>
        <w:t xml:space="preserve"> advised that this Survey was last conducted in 2009-10, and there is no more recent expenditure data available. The ABS </w:t>
      </w:r>
      <w:r w:rsidR="00CC42B8" w:rsidRPr="00CC42B8">
        <w:rPr>
          <w:rFonts w:ascii="Arial" w:hAnsi="Arial" w:cs="Arial"/>
          <w:color w:val="000000"/>
          <w:sz w:val="22"/>
          <w:szCs w:val="22"/>
        </w:rPr>
        <w:t xml:space="preserve">further </w:t>
      </w:r>
      <w:r w:rsidR="0035090E" w:rsidRPr="00CC42B8">
        <w:rPr>
          <w:rFonts w:ascii="Arial" w:hAnsi="Arial" w:cs="Arial"/>
          <w:color w:val="000000"/>
          <w:sz w:val="22"/>
          <w:szCs w:val="22"/>
        </w:rPr>
        <w:t xml:space="preserve">advised that the 2015-16 HES </w:t>
      </w:r>
      <w:proofErr w:type="gramStart"/>
      <w:r w:rsidR="0035090E" w:rsidRPr="00CC42B8">
        <w:rPr>
          <w:rFonts w:ascii="Arial" w:hAnsi="Arial" w:cs="Arial"/>
          <w:color w:val="000000"/>
          <w:sz w:val="22"/>
          <w:szCs w:val="22"/>
        </w:rPr>
        <w:t>is</w:t>
      </w:r>
      <w:proofErr w:type="gramEnd"/>
      <w:r w:rsidR="0035090E" w:rsidRPr="00CC42B8">
        <w:rPr>
          <w:rFonts w:ascii="Arial" w:hAnsi="Arial" w:cs="Arial"/>
          <w:color w:val="000000"/>
          <w:sz w:val="22"/>
          <w:szCs w:val="22"/>
        </w:rPr>
        <w:t xml:space="preserve"> currently in the field being collected, with data f</w:t>
      </w:r>
      <w:r w:rsidR="00C534A8" w:rsidRPr="00CC42B8">
        <w:rPr>
          <w:rFonts w:ascii="Arial" w:hAnsi="Arial" w:cs="Arial"/>
          <w:color w:val="000000"/>
          <w:sz w:val="22"/>
          <w:szCs w:val="22"/>
        </w:rPr>
        <w:t>rom this survey expected in mid-</w:t>
      </w:r>
      <w:r w:rsidR="0035090E" w:rsidRPr="00CC42B8">
        <w:rPr>
          <w:rFonts w:ascii="Arial" w:hAnsi="Arial" w:cs="Arial"/>
          <w:color w:val="000000"/>
          <w:sz w:val="22"/>
          <w:szCs w:val="22"/>
        </w:rPr>
        <w:t>2017.</w:t>
      </w:r>
    </w:p>
    <w:p w14:paraId="529ED459" w14:textId="77777777" w:rsidR="00C534A8" w:rsidRPr="004D1E24" w:rsidRDefault="00C534A8" w:rsidP="004D1E24">
      <w:pPr>
        <w:ind w:left="360"/>
        <w:rPr>
          <w:rFonts w:ascii="Arial" w:hAnsi="Arial" w:cs="Arial"/>
          <w:color w:val="000000"/>
        </w:rPr>
      </w:pPr>
    </w:p>
    <w:p w14:paraId="6411FEB7" w14:textId="54DD8E09" w:rsidR="00C534A8" w:rsidRDefault="00F93305" w:rsidP="00C534A8">
      <w:pPr>
        <w:numPr>
          <w:ilvl w:val="0"/>
          <w:numId w:val="16"/>
        </w:numPr>
        <w:rPr>
          <w:rFonts w:ascii="Arial" w:hAnsi="Arial" w:cs="Arial"/>
          <w:color w:val="000000"/>
          <w:sz w:val="22"/>
          <w:szCs w:val="22"/>
        </w:rPr>
      </w:pPr>
      <w:r w:rsidRPr="00CC42B8">
        <w:rPr>
          <w:rFonts w:ascii="Arial" w:hAnsi="Arial" w:cs="Arial"/>
          <w:color w:val="000000"/>
          <w:sz w:val="22"/>
          <w:szCs w:val="22"/>
        </w:rPr>
        <w:t xml:space="preserve">However, </w:t>
      </w:r>
      <w:r w:rsidR="0035090E" w:rsidRPr="00CC42B8">
        <w:rPr>
          <w:rFonts w:ascii="Arial" w:hAnsi="Arial" w:cs="Arial"/>
          <w:color w:val="000000"/>
          <w:sz w:val="22"/>
          <w:szCs w:val="22"/>
        </w:rPr>
        <w:t>the ABS did advise</w:t>
      </w:r>
      <w:r w:rsidRPr="00CC42B8">
        <w:rPr>
          <w:rFonts w:ascii="Arial" w:hAnsi="Arial" w:cs="Arial"/>
          <w:color w:val="000000"/>
          <w:sz w:val="22"/>
          <w:szCs w:val="22"/>
        </w:rPr>
        <w:t xml:space="preserve"> that the Transport group and </w:t>
      </w:r>
      <w:proofErr w:type="gramStart"/>
      <w:r w:rsidRPr="00CC42B8">
        <w:rPr>
          <w:rFonts w:ascii="Arial" w:hAnsi="Arial" w:cs="Arial"/>
          <w:color w:val="000000"/>
          <w:sz w:val="22"/>
          <w:szCs w:val="22"/>
        </w:rPr>
        <w:t>Automotive</w:t>
      </w:r>
      <w:proofErr w:type="gramEnd"/>
      <w:r w:rsidRPr="00CC42B8">
        <w:rPr>
          <w:rFonts w:ascii="Arial" w:hAnsi="Arial" w:cs="Arial"/>
          <w:color w:val="000000"/>
          <w:sz w:val="22"/>
          <w:szCs w:val="22"/>
        </w:rPr>
        <w:t xml:space="preserve"> fuel component have fallen in their contribution to the CPI.</w:t>
      </w:r>
      <w:r w:rsidR="0035090E" w:rsidRPr="00CC42B8">
        <w:rPr>
          <w:rFonts w:ascii="Arial" w:hAnsi="Arial" w:cs="Arial"/>
          <w:color w:val="000000"/>
          <w:sz w:val="22"/>
          <w:szCs w:val="22"/>
        </w:rPr>
        <w:t xml:space="preserve"> While this does not directly reflect a drop in average private motor vehicle expenses, it does show a drop in fuel prices. Fuel prices, on the available data, are the biggest motor vehicle expense after the vehicle purchase price. </w:t>
      </w:r>
      <w:r w:rsidR="00C534A8" w:rsidRPr="00CC42B8">
        <w:rPr>
          <w:rFonts w:ascii="Arial" w:hAnsi="Arial" w:cs="Arial"/>
          <w:color w:val="000000"/>
          <w:sz w:val="22"/>
          <w:szCs w:val="22"/>
        </w:rPr>
        <w:t>The Commissioner has therefore determined that there is no evidence to warrant an increase in the cents per kilometre rate.</w:t>
      </w:r>
    </w:p>
    <w:p w14:paraId="273FDF09" w14:textId="77777777" w:rsidR="0099625E" w:rsidRPr="00CC42B8" w:rsidRDefault="0099625E" w:rsidP="004D1E24">
      <w:pPr>
        <w:rPr>
          <w:rFonts w:ascii="Arial" w:hAnsi="Arial" w:cs="Arial"/>
          <w:color w:val="000000"/>
          <w:sz w:val="22"/>
          <w:szCs w:val="22"/>
        </w:rPr>
      </w:pPr>
    </w:p>
    <w:p w14:paraId="7574E300" w14:textId="6FE36D6B" w:rsidR="00CC42B8" w:rsidRDefault="00CC42B8" w:rsidP="00CC42B8">
      <w:pPr>
        <w:numPr>
          <w:ilvl w:val="0"/>
          <w:numId w:val="16"/>
        </w:numPr>
        <w:rPr>
          <w:rFonts w:ascii="Arial" w:hAnsi="Arial" w:cs="Arial"/>
          <w:color w:val="000000"/>
          <w:sz w:val="22"/>
          <w:szCs w:val="22"/>
        </w:rPr>
      </w:pPr>
      <w:r w:rsidRPr="00CC42B8">
        <w:rPr>
          <w:rFonts w:ascii="Arial" w:hAnsi="Arial" w:cs="Arial"/>
          <w:color w:val="000000"/>
          <w:sz w:val="22"/>
          <w:szCs w:val="22"/>
        </w:rPr>
        <w:t>The ATO Revenue Analysis Branch (RAB) was consulted on 18 May 2016, seeking an assessment of the regulatory impacts on the community and compliance costs that may be imposed by this instrument. RAB advised that there will be no or minimal impact for both implementation and ongoing compliance costs, and that the legislative instrument is minor or machinery in nature.</w:t>
      </w:r>
    </w:p>
    <w:p w14:paraId="149C4BBD" w14:textId="77777777" w:rsidR="0022634E" w:rsidRPr="004D1E24" w:rsidRDefault="0022634E" w:rsidP="004D1E24">
      <w:pPr>
        <w:ind w:left="360"/>
        <w:rPr>
          <w:rFonts w:ascii="Arial" w:hAnsi="Arial" w:cs="Arial"/>
          <w:color w:val="000000"/>
        </w:rPr>
      </w:pPr>
    </w:p>
    <w:p w14:paraId="5649ABB9" w14:textId="1303764F" w:rsidR="0099625E" w:rsidRDefault="0022634E" w:rsidP="004D1E24">
      <w:pPr>
        <w:pStyle w:val="Header"/>
        <w:numPr>
          <w:ilvl w:val="0"/>
          <w:numId w:val="39"/>
        </w:numPr>
        <w:rPr>
          <w:rFonts w:ascii="Arial" w:hAnsi="Arial" w:cs="Arial"/>
          <w:color w:val="000000"/>
          <w:sz w:val="22"/>
          <w:szCs w:val="22"/>
        </w:rPr>
      </w:pPr>
      <w:r>
        <w:rPr>
          <w:rFonts w:ascii="Arial" w:hAnsi="Arial" w:cs="Arial"/>
          <w:color w:val="000000"/>
          <w:sz w:val="22"/>
          <w:szCs w:val="22"/>
        </w:rPr>
        <w:t>The making and publication of the cents per kilometre deduction rate for motor vehicle expenses is a routine part of tax administration.</w:t>
      </w:r>
    </w:p>
    <w:p w14:paraId="32D4EBD9" w14:textId="77777777" w:rsidR="0099625E" w:rsidRPr="004D1E24" w:rsidRDefault="0099625E" w:rsidP="004D1E24">
      <w:pPr>
        <w:pStyle w:val="Header"/>
        <w:ind w:left="720"/>
        <w:rPr>
          <w:rFonts w:ascii="Arial" w:hAnsi="Arial" w:cs="Arial"/>
          <w:color w:val="000000"/>
          <w:sz w:val="22"/>
          <w:szCs w:val="22"/>
        </w:rPr>
      </w:pPr>
    </w:p>
    <w:p w14:paraId="5B6409E9" w14:textId="7DAFA9BF" w:rsidR="0022634E" w:rsidRDefault="0022634E" w:rsidP="004D1E24">
      <w:pPr>
        <w:pStyle w:val="NumberedList"/>
        <w:numPr>
          <w:ilvl w:val="0"/>
          <w:numId w:val="39"/>
        </w:numPr>
        <w:rPr>
          <w:rFonts w:ascii="Arial" w:hAnsi="Arial" w:cs="Arial"/>
          <w:color w:val="000000"/>
          <w:sz w:val="22"/>
          <w:szCs w:val="22"/>
        </w:rPr>
      </w:pPr>
      <w:r>
        <w:rPr>
          <w:rFonts w:ascii="Arial" w:hAnsi="Arial" w:cs="Arial"/>
          <w:color w:val="000000"/>
          <w:sz w:val="22"/>
          <w:szCs w:val="22"/>
        </w:rPr>
        <w:t xml:space="preserve">The rate </w:t>
      </w:r>
      <w:r w:rsidR="0099625E">
        <w:rPr>
          <w:rFonts w:ascii="Arial" w:hAnsi="Arial" w:cs="Arial"/>
          <w:color w:val="000000"/>
          <w:sz w:val="22"/>
          <w:szCs w:val="22"/>
        </w:rPr>
        <w:t xml:space="preserve">to </w:t>
      </w:r>
      <w:r>
        <w:rPr>
          <w:rFonts w:ascii="Arial" w:hAnsi="Arial" w:cs="Arial"/>
          <w:color w:val="000000"/>
          <w:sz w:val="22"/>
          <w:szCs w:val="22"/>
        </w:rPr>
        <w:t xml:space="preserve">apply from 1 July in any year </w:t>
      </w:r>
      <w:r w:rsidR="0099625E">
        <w:rPr>
          <w:rFonts w:ascii="Arial" w:hAnsi="Arial" w:cs="Arial"/>
          <w:color w:val="000000"/>
          <w:sz w:val="22"/>
          <w:szCs w:val="22"/>
        </w:rPr>
        <w:t xml:space="preserve">will </w:t>
      </w:r>
      <w:r w:rsidR="004D1E24">
        <w:rPr>
          <w:rFonts w:ascii="Arial" w:hAnsi="Arial" w:cs="Arial"/>
          <w:color w:val="000000"/>
          <w:sz w:val="22"/>
          <w:szCs w:val="22"/>
        </w:rPr>
        <w:t xml:space="preserve">be determined by the Commissioner of Taxation, who will </w:t>
      </w:r>
      <w:r w:rsidR="0053237F">
        <w:rPr>
          <w:rFonts w:ascii="Arial" w:hAnsi="Arial" w:cs="Arial"/>
          <w:color w:val="000000"/>
          <w:sz w:val="22"/>
          <w:szCs w:val="22"/>
        </w:rPr>
        <w:t>consider</w:t>
      </w:r>
      <w:r w:rsidR="004D1E24">
        <w:rPr>
          <w:rFonts w:ascii="Arial" w:hAnsi="Arial" w:cs="Arial"/>
          <w:color w:val="000000"/>
          <w:sz w:val="22"/>
          <w:szCs w:val="22"/>
        </w:rPr>
        <w:t xml:space="preserve"> the average operating costs of cars to be covered by the rate</w:t>
      </w:r>
      <w:r w:rsidR="003B1D0E">
        <w:rPr>
          <w:rFonts w:ascii="Arial" w:hAnsi="Arial" w:cs="Arial"/>
          <w:color w:val="000000"/>
          <w:sz w:val="22"/>
          <w:szCs w:val="22"/>
        </w:rPr>
        <w:t>.</w:t>
      </w:r>
      <w:r w:rsidR="007E561C">
        <w:rPr>
          <w:rFonts w:ascii="Arial" w:hAnsi="Arial" w:cs="Arial"/>
          <w:color w:val="000000"/>
          <w:sz w:val="22"/>
          <w:szCs w:val="22"/>
        </w:rPr>
        <w:t xml:space="preserve"> If the Commissioner determines that the current rate remains applicable,</w:t>
      </w:r>
      <w:r w:rsidR="003B1D0E">
        <w:rPr>
          <w:rFonts w:ascii="Arial" w:hAnsi="Arial" w:cs="Arial"/>
          <w:color w:val="000000"/>
          <w:sz w:val="22"/>
          <w:szCs w:val="22"/>
        </w:rPr>
        <w:t xml:space="preserve"> the current determination will remain in force</w:t>
      </w:r>
      <w:r w:rsidR="007E561C">
        <w:rPr>
          <w:rFonts w:ascii="Arial" w:hAnsi="Arial" w:cs="Arial"/>
          <w:sz w:val="22"/>
          <w:szCs w:val="22"/>
        </w:rPr>
        <w:t>.</w:t>
      </w:r>
      <w:r w:rsidR="007E561C">
        <w:rPr>
          <w:rFonts w:ascii="Arial" w:hAnsi="Arial" w:cs="Arial"/>
          <w:color w:val="000000"/>
          <w:sz w:val="22"/>
          <w:szCs w:val="22"/>
        </w:rPr>
        <w:t xml:space="preserve"> </w:t>
      </w:r>
      <w:r w:rsidR="004D1E24">
        <w:rPr>
          <w:rFonts w:ascii="Arial" w:hAnsi="Arial" w:cs="Arial"/>
          <w:color w:val="000000"/>
          <w:sz w:val="22"/>
          <w:szCs w:val="22"/>
        </w:rPr>
        <w:t>This will ensure that legislative requirements are fulfilled</w:t>
      </w:r>
      <w:r w:rsidR="0053237F">
        <w:rPr>
          <w:rFonts w:ascii="Arial" w:hAnsi="Arial" w:cs="Arial"/>
          <w:color w:val="000000"/>
          <w:sz w:val="22"/>
          <w:szCs w:val="22"/>
        </w:rPr>
        <w:t xml:space="preserve"> for each income year</w:t>
      </w:r>
      <w:r w:rsidR="004D1E24">
        <w:rPr>
          <w:rFonts w:ascii="Arial" w:hAnsi="Arial" w:cs="Arial"/>
          <w:color w:val="000000"/>
          <w:sz w:val="22"/>
          <w:szCs w:val="22"/>
        </w:rPr>
        <w:t>.</w:t>
      </w:r>
      <w:r>
        <w:rPr>
          <w:rFonts w:ascii="Arial" w:hAnsi="Arial" w:cs="Arial"/>
          <w:color w:val="000000"/>
          <w:sz w:val="22"/>
          <w:szCs w:val="22"/>
        </w:rPr>
        <w:t xml:space="preserve"> </w:t>
      </w:r>
    </w:p>
    <w:p w14:paraId="28EACC80" w14:textId="77777777" w:rsidR="0099625E" w:rsidRDefault="0099625E" w:rsidP="004D1E24">
      <w:pPr>
        <w:pStyle w:val="NumberedList"/>
        <w:numPr>
          <w:ilvl w:val="0"/>
          <w:numId w:val="0"/>
        </w:numPr>
        <w:rPr>
          <w:rFonts w:ascii="Arial" w:hAnsi="Arial" w:cs="Arial"/>
          <w:color w:val="000000"/>
          <w:sz w:val="22"/>
          <w:szCs w:val="22"/>
        </w:rPr>
      </w:pPr>
    </w:p>
    <w:p w14:paraId="1144C8A6" w14:textId="129D0C3F" w:rsidR="003404BE" w:rsidRPr="004D1E24" w:rsidRDefault="00DF10A1" w:rsidP="004D1E24">
      <w:pPr>
        <w:numPr>
          <w:ilvl w:val="0"/>
          <w:numId w:val="16"/>
        </w:numPr>
        <w:rPr>
          <w:rFonts w:ascii="Arial" w:hAnsi="Arial" w:cs="Arial"/>
          <w:i/>
          <w:color w:val="000000"/>
          <w:sz w:val="22"/>
          <w:szCs w:val="22"/>
        </w:rPr>
      </w:pPr>
      <w:r>
        <w:rPr>
          <w:rFonts w:ascii="Arial" w:hAnsi="Arial" w:cs="Arial"/>
          <w:color w:val="000000"/>
          <w:sz w:val="22"/>
          <w:szCs w:val="22"/>
        </w:rPr>
        <w:t>No further consultation has been undertaken in the development of this instrument</w:t>
      </w:r>
      <w:r w:rsidRPr="00CC42B8" w:rsidDel="00DF10A1">
        <w:rPr>
          <w:rFonts w:ascii="Arial" w:hAnsi="Arial" w:cs="Arial"/>
          <w:color w:val="000000"/>
          <w:sz w:val="22"/>
          <w:szCs w:val="22"/>
        </w:rPr>
        <w:t xml:space="preserve"> </w:t>
      </w:r>
      <w:r w:rsidR="00486653" w:rsidRPr="00CC42B8">
        <w:rPr>
          <w:rFonts w:ascii="Arial" w:hAnsi="Arial" w:cs="Arial"/>
          <w:color w:val="000000"/>
          <w:sz w:val="22"/>
          <w:szCs w:val="22"/>
        </w:rPr>
        <w:t xml:space="preserve">because the instrument </w:t>
      </w:r>
      <w:r w:rsidR="00CA52C9" w:rsidRPr="00CC42B8">
        <w:rPr>
          <w:rFonts w:ascii="Arial" w:hAnsi="Arial" w:cs="Arial"/>
          <w:color w:val="000000"/>
          <w:sz w:val="22"/>
          <w:szCs w:val="22"/>
        </w:rPr>
        <w:t xml:space="preserve">does not </w:t>
      </w:r>
      <w:r w:rsidR="00DE58F6" w:rsidRPr="00CC42B8">
        <w:rPr>
          <w:rFonts w:ascii="Arial" w:hAnsi="Arial" w:cs="Arial"/>
          <w:color w:val="000000"/>
          <w:sz w:val="22"/>
          <w:szCs w:val="22"/>
        </w:rPr>
        <w:t>vary</w:t>
      </w:r>
      <w:r w:rsidR="00CA52C9" w:rsidRPr="00CC42B8">
        <w:rPr>
          <w:rFonts w:ascii="Arial" w:hAnsi="Arial" w:cs="Arial"/>
          <w:color w:val="000000"/>
          <w:sz w:val="22"/>
          <w:szCs w:val="22"/>
        </w:rPr>
        <w:t xml:space="preserve"> the cents per kilometre rate</w:t>
      </w:r>
      <w:r w:rsidR="00DE58F6" w:rsidRPr="00CC42B8">
        <w:rPr>
          <w:rFonts w:ascii="Arial" w:hAnsi="Arial" w:cs="Arial"/>
          <w:color w:val="000000"/>
          <w:sz w:val="22"/>
          <w:szCs w:val="22"/>
        </w:rPr>
        <w:t xml:space="preserve"> of 66 cents</w:t>
      </w:r>
      <w:r w:rsidR="00CA52C9" w:rsidRPr="00CC42B8">
        <w:rPr>
          <w:rFonts w:ascii="Arial" w:hAnsi="Arial" w:cs="Arial"/>
          <w:color w:val="000000"/>
          <w:sz w:val="22"/>
          <w:szCs w:val="22"/>
        </w:rPr>
        <w:t xml:space="preserve"> announced in the 2015-16 Budget Paper No. 2. </w:t>
      </w:r>
    </w:p>
    <w:p w14:paraId="16D24B25" w14:textId="77777777" w:rsidR="003404BE" w:rsidRDefault="003404BE" w:rsidP="00CA52C9">
      <w:pPr>
        <w:ind w:left="1080" w:right="1464"/>
        <w:rPr>
          <w:rFonts w:ascii="Arial" w:hAnsi="Arial" w:cs="Arial"/>
          <w:i/>
          <w:color w:val="000000"/>
          <w:sz w:val="22"/>
          <w:szCs w:val="22"/>
        </w:rPr>
      </w:pPr>
    </w:p>
    <w:p w14:paraId="0D046DBF" w14:textId="77777777" w:rsidR="003404BE" w:rsidRPr="001C6956" w:rsidRDefault="003404BE" w:rsidP="003404BE">
      <w:pPr>
        <w:ind w:left="1700"/>
        <w:rPr>
          <w:rFonts w:ascii="Arial" w:hAnsi="Arial" w:cs="Arial"/>
          <w:sz w:val="20"/>
        </w:rPr>
      </w:pPr>
    </w:p>
    <w:p w14:paraId="7DF2EDF5" w14:textId="77777777" w:rsidR="003404BE" w:rsidRPr="005F124F" w:rsidRDefault="003404BE" w:rsidP="003404BE">
      <w:pPr>
        <w:spacing w:after="60"/>
        <w:rPr>
          <w:rFonts w:ascii="Arial" w:hAnsi="Arial" w:cs="Arial"/>
          <w:i/>
          <w:sz w:val="20"/>
        </w:rPr>
      </w:pPr>
      <w:r w:rsidRPr="005F124F">
        <w:rPr>
          <w:rFonts w:ascii="Arial" w:hAnsi="Arial" w:cs="Arial"/>
          <w:i/>
          <w:sz w:val="20"/>
        </w:rPr>
        <w:t>Legislative references:</w:t>
      </w:r>
    </w:p>
    <w:p w14:paraId="6B9FD6D6" w14:textId="77777777" w:rsidR="003404BE" w:rsidRDefault="003404BE" w:rsidP="003404BE">
      <w:pPr>
        <w:spacing w:after="60"/>
        <w:rPr>
          <w:rFonts w:ascii="Arial" w:hAnsi="Arial" w:cs="Arial"/>
          <w:i/>
          <w:color w:val="0000FF"/>
          <w:sz w:val="20"/>
        </w:rPr>
      </w:pPr>
    </w:p>
    <w:p w14:paraId="6E01B784" w14:textId="77777777" w:rsidR="003404BE" w:rsidRPr="00EA4140" w:rsidRDefault="003404BE" w:rsidP="003404BE">
      <w:pPr>
        <w:spacing w:after="60"/>
        <w:rPr>
          <w:rFonts w:ascii="Arial" w:hAnsi="Arial" w:cs="Arial"/>
          <w:i/>
          <w:color w:val="000000"/>
          <w:sz w:val="20"/>
        </w:rPr>
      </w:pPr>
      <w:r w:rsidRPr="00EA4140">
        <w:rPr>
          <w:rFonts w:ascii="Arial" w:hAnsi="Arial" w:cs="Arial"/>
          <w:i/>
          <w:color w:val="000000"/>
          <w:sz w:val="20"/>
        </w:rPr>
        <w:t>Income Tax Assessment Act 1997</w:t>
      </w:r>
    </w:p>
    <w:p w14:paraId="52EA32D2" w14:textId="77777777" w:rsidR="003404BE" w:rsidRPr="00EA4140" w:rsidRDefault="003404BE" w:rsidP="003404BE">
      <w:pPr>
        <w:spacing w:after="60"/>
        <w:rPr>
          <w:rFonts w:ascii="Arial" w:hAnsi="Arial" w:cs="Arial"/>
          <w:i/>
          <w:color w:val="000000"/>
          <w:sz w:val="20"/>
        </w:rPr>
      </w:pPr>
      <w:r w:rsidRPr="00EA4140">
        <w:rPr>
          <w:rFonts w:ascii="Arial" w:hAnsi="Arial" w:cs="Arial"/>
          <w:i/>
          <w:color w:val="000000"/>
          <w:sz w:val="20"/>
        </w:rPr>
        <w:t>Legislation Act 2003</w:t>
      </w:r>
    </w:p>
    <w:p w14:paraId="7DAC8378" w14:textId="77777777" w:rsidR="003404BE" w:rsidRPr="00EA4140" w:rsidRDefault="003404BE" w:rsidP="003404BE">
      <w:pPr>
        <w:pStyle w:val="Heading2"/>
        <w:rPr>
          <w:rFonts w:cs="Arial"/>
          <w:b w:val="0"/>
          <w:i/>
          <w:sz w:val="20"/>
        </w:rPr>
      </w:pPr>
      <w:r w:rsidRPr="00EA4140">
        <w:rPr>
          <w:rFonts w:cs="Arial"/>
          <w:b w:val="0"/>
          <w:i/>
          <w:sz w:val="20"/>
        </w:rPr>
        <w:t>Tax and Superannuation Laws Amendment (2015 Measures No. 5) Act 2015</w:t>
      </w:r>
    </w:p>
    <w:p w14:paraId="1C997ED2" w14:textId="77777777" w:rsidR="003404BE" w:rsidRDefault="003404BE" w:rsidP="00A478DD">
      <w:pPr>
        <w:ind w:left="720" w:right="1464"/>
        <w:rPr>
          <w:rFonts w:ascii="Arial" w:hAnsi="Arial" w:cs="Arial"/>
          <w:i/>
          <w:color w:val="000000"/>
          <w:sz w:val="22"/>
          <w:szCs w:val="22"/>
        </w:rPr>
      </w:pPr>
    </w:p>
    <w:p w14:paraId="5E3C82FC" w14:textId="77777777" w:rsidR="003404BE" w:rsidRDefault="003404BE" w:rsidP="00A478DD">
      <w:pPr>
        <w:ind w:left="720" w:right="1464"/>
        <w:rPr>
          <w:rFonts w:ascii="Arial" w:hAnsi="Arial" w:cs="Arial"/>
          <w:i/>
          <w:color w:val="000000"/>
          <w:sz w:val="22"/>
          <w:szCs w:val="22"/>
        </w:rPr>
      </w:pPr>
    </w:p>
    <w:p w14:paraId="5279E911" w14:textId="5FEA59AD" w:rsidR="0022634E" w:rsidRDefault="0022634E">
      <w:pPr>
        <w:rPr>
          <w:rFonts w:ascii="Arial" w:hAnsi="Arial" w:cs="Arial"/>
          <w:i/>
          <w:color w:val="000000"/>
          <w:sz w:val="22"/>
          <w:szCs w:val="22"/>
        </w:rPr>
      </w:pPr>
      <w:r>
        <w:rPr>
          <w:rFonts w:ascii="Arial" w:hAnsi="Arial" w:cs="Arial"/>
          <w:i/>
          <w:color w:val="000000"/>
          <w:sz w:val="22"/>
          <w:szCs w:val="22"/>
        </w:rPr>
        <w:br w:type="page"/>
      </w:r>
    </w:p>
    <w:p w14:paraId="7D9C869A" w14:textId="77777777" w:rsidR="003404BE" w:rsidRDefault="003404BE" w:rsidP="00A478DD">
      <w:pPr>
        <w:ind w:left="720" w:right="1464"/>
        <w:rPr>
          <w:rFonts w:ascii="Arial" w:hAnsi="Arial" w:cs="Arial"/>
          <w:i/>
          <w:color w:val="000000"/>
          <w:sz w:val="22"/>
          <w:szCs w:val="22"/>
        </w:rPr>
      </w:pPr>
    </w:p>
    <w:p w14:paraId="19409F26" w14:textId="77777777" w:rsidR="00E53399" w:rsidRDefault="00E53399" w:rsidP="00E53399">
      <w:pPr>
        <w:autoSpaceDE w:val="0"/>
        <w:autoSpaceDN w:val="0"/>
        <w:adjustRightInd w:val="0"/>
        <w:rPr>
          <w:rFonts w:ascii="Arial" w:hAnsi="Arial" w:cs="Arial"/>
          <w:color w:val="0000FF"/>
          <w:sz w:val="22"/>
          <w:szCs w:val="22"/>
        </w:rPr>
      </w:pPr>
    </w:p>
    <w:p w14:paraId="159BE603" w14:textId="77777777" w:rsidR="003404BE" w:rsidRDefault="00E53399" w:rsidP="00A478DD">
      <w:pPr>
        <w:pStyle w:val="Heading3"/>
        <w:spacing w:before="0" w:after="0"/>
        <w:jc w:val="center"/>
      </w:pPr>
      <w:r>
        <w:t xml:space="preserve">Statement of compatibility </w:t>
      </w:r>
      <w:r w:rsidR="00C11D03">
        <w:t>with Human Rights</w:t>
      </w:r>
    </w:p>
    <w:p w14:paraId="0BBA7C40" w14:textId="77777777" w:rsidR="003404BE" w:rsidRDefault="003404BE" w:rsidP="00A478DD">
      <w:pPr>
        <w:pStyle w:val="Heading3"/>
        <w:spacing w:before="0" w:after="0"/>
        <w:jc w:val="center"/>
      </w:pPr>
    </w:p>
    <w:p w14:paraId="19409F29" w14:textId="18D3ADAD" w:rsidR="00C11D03" w:rsidRPr="00A478DD" w:rsidRDefault="004F5EB1" w:rsidP="00A478DD">
      <w:pPr>
        <w:pStyle w:val="Heading3"/>
        <w:spacing w:before="0" w:after="0"/>
        <w:rPr>
          <w:b w:val="0"/>
          <w:sz w:val="22"/>
          <w:szCs w:val="22"/>
        </w:rPr>
      </w:pPr>
      <w:r w:rsidRPr="00A478DD">
        <w:rPr>
          <w:b w:val="0"/>
          <w:sz w:val="22"/>
          <w:szCs w:val="22"/>
        </w:rPr>
        <w:t>P</w:t>
      </w:r>
      <w:r w:rsidR="00E53399" w:rsidRPr="00A478DD">
        <w:rPr>
          <w:b w:val="0"/>
          <w:sz w:val="22"/>
          <w:szCs w:val="22"/>
        </w:rPr>
        <w:t xml:space="preserve">repared in accordance with Part 3 of the </w:t>
      </w:r>
      <w:r w:rsidR="00E53399" w:rsidRPr="00A478DD">
        <w:rPr>
          <w:b w:val="0"/>
          <w:i/>
          <w:sz w:val="22"/>
          <w:szCs w:val="22"/>
        </w:rPr>
        <w:t>Human Rights (Parliamentary Scrutiny) Act 2011</w:t>
      </w:r>
    </w:p>
    <w:p w14:paraId="19409F2A" w14:textId="52112B40" w:rsidR="002A26FE" w:rsidRPr="00795D0C" w:rsidRDefault="002A26FE" w:rsidP="00C11D03">
      <w:pPr>
        <w:rPr>
          <w:rFonts w:ascii="Arial" w:hAnsi="Arial" w:cs="Arial"/>
          <w:i/>
          <w:color w:val="000000"/>
          <w:sz w:val="22"/>
          <w:szCs w:val="22"/>
        </w:rPr>
      </w:pPr>
    </w:p>
    <w:p w14:paraId="15B11BBE" w14:textId="77777777" w:rsidR="003404BE" w:rsidRDefault="003404BE" w:rsidP="00075B58">
      <w:pPr>
        <w:rPr>
          <w:rFonts w:ascii="Arial" w:hAnsi="Arial" w:cs="Arial"/>
          <w:b/>
          <w:i/>
          <w:color w:val="000000"/>
          <w:sz w:val="22"/>
          <w:szCs w:val="22"/>
        </w:rPr>
      </w:pPr>
    </w:p>
    <w:p w14:paraId="468200BE" w14:textId="0463661F" w:rsidR="003404BE" w:rsidRPr="00A478DD" w:rsidRDefault="003404BE" w:rsidP="00A478DD">
      <w:pPr>
        <w:jc w:val="center"/>
        <w:rPr>
          <w:rFonts w:ascii="Arial" w:hAnsi="Arial" w:cs="Arial"/>
          <w:b/>
          <w:color w:val="000000"/>
          <w:szCs w:val="24"/>
        </w:rPr>
      </w:pPr>
      <w:r w:rsidRPr="00A478DD">
        <w:rPr>
          <w:rFonts w:ascii="Arial" w:hAnsi="Arial" w:cs="Arial"/>
          <w:b/>
          <w:color w:val="000000"/>
          <w:szCs w:val="24"/>
        </w:rPr>
        <w:t>Cents per kilometre deduction rate for motor vehicles</w:t>
      </w:r>
    </w:p>
    <w:p w14:paraId="19409F2D" w14:textId="77777777" w:rsidR="00075B58" w:rsidRPr="00E00752" w:rsidRDefault="00075B58" w:rsidP="00075B58">
      <w:pPr>
        <w:rPr>
          <w:rFonts w:ascii="Arial" w:hAnsi="Arial" w:cs="Arial"/>
          <w:i/>
          <w:color w:val="000000"/>
          <w:sz w:val="22"/>
          <w:szCs w:val="22"/>
        </w:rPr>
      </w:pPr>
    </w:p>
    <w:p w14:paraId="19409F2E" w14:textId="77777777" w:rsidR="00075B58" w:rsidRPr="00E00752" w:rsidRDefault="00075B58" w:rsidP="00A478DD">
      <w:pPr>
        <w:autoSpaceDE w:val="0"/>
        <w:autoSpaceDN w:val="0"/>
        <w:adjustRightInd w:val="0"/>
        <w:rPr>
          <w:rFonts w:ascii="Arial" w:hAnsi="Arial" w:cs="Arial"/>
          <w:iCs/>
          <w:color w:val="000000"/>
          <w:sz w:val="22"/>
          <w:szCs w:val="22"/>
        </w:rPr>
      </w:pPr>
      <w:r w:rsidRPr="00E00752">
        <w:rPr>
          <w:rFonts w:ascii="Arial" w:hAnsi="Arial" w:cs="Arial"/>
          <w:color w:val="000000"/>
          <w:sz w:val="22"/>
          <w:szCs w:val="22"/>
        </w:rPr>
        <w:t xml:space="preserve">This Legislative Instrument is compatible with the human rights and freedoms recognised or declared in the international instruments listed in section 3 of the </w:t>
      </w:r>
      <w:r w:rsidRPr="00E00752">
        <w:rPr>
          <w:rFonts w:ascii="Arial" w:hAnsi="Arial" w:cs="Arial"/>
          <w:i/>
          <w:color w:val="000000"/>
          <w:sz w:val="22"/>
          <w:szCs w:val="22"/>
        </w:rPr>
        <w:t>Human Rights (Parliamentary Scrutiny) Act 2011</w:t>
      </w:r>
      <w:r w:rsidRPr="00E00752">
        <w:rPr>
          <w:rFonts w:ascii="Arial" w:hAnsi="Arial" w:cs="Arial"/>
          <w:color w:val="000000"/>
          <w:sz w:val="22"/>
          <w:szCs w:val="22"/>
        </w:rPr>
        <w:t xml:space="preserve">. </w:t>
      </w:r>
    </w:p>
    <w:p w14:paraId="19409F2F" w14:textId="77777777" w:rsidR="00075B58" w:rsidRPr="00E00752" w:rsidRDefault="00075B58" w:rsidP="003404BE">
      <w:pPr>
        <w:autoSpaceDE w:val="0"/>
        <w:autoSpaceDN w:val="0"/>
        <w:adjustRightInd w:val="0"/>
        <w:rPr>
          <w:rFonts w:ascii="Arial" w:hAnsi="Arial" w:cs="Arial"/>
          <w:color w:val="000000"/>
          <w:sz w:val="22"/>
          <w:szCs w:val="22"/>
        </w:rPr>
      </w:pPr>
    </w:p>
    <w:p w14:paraId="19409F30" w14:textId="17CD4BAA" w:rsidR="00075B58" w:rsidRDefault="00075B58" w:rsidP="00A478DD">
      <w:pPr>
        <w:jc w:val="both"/>
        <w:rPr>
          <w:rFonts w:ascii="Arial" w:hAnsi="Arial" w:cs="Arial"/>
          <w:b/>
          <w:sz w:val="22"/>
          <w:szCs w:val="22"/>
        </w:rPr>
      </w:pPr>
      <w:r w:rsidRPr="00E00752">
        <w:rPr>
          <w:rFonts w:ascii="Arial" w:hAnsi="Arial" w:cs="Arial"/>
          <w:b/>
          <w:sz w:val="22"/>
          <w:szCs w:val="22"/>
        </w:rPr>
        <w:t>Overview of the Legislative Instrument</w:t>
      </w:r>
    </w:p>
    <w:p w14:paraId="745178B8" w14:textId="77777777" w:rsidR="003404BE" w:rsidRPr="00E00752" w:rsidRDefault="003404BE" w:rsidP="00A478DD">
      <w:pPr>
        <w:jc w:val="both"/>
        <w:rPr>
          <w:rFonts w:ascii="Arial" w:hAnsi="Arial" w:cs="Arial"/>
          <w:b/>
          <w:sz w:val="22"/>
          <w:szCs w:val="22"/>
        </w:rPr>
      </w:pPr>
    </w:p>
    <w:p w14:paraId="58CB90A0" w14:textId="08EC6AA3" w:rsidR="00A25A9E" w:rsidRDefault="00DE58F6" w:rsidP="00A478DD">
      <w:pPr>
        <w:rPr>
          <w:rFonts w:ascii="Arial" w:hAnsi="Arial" w:cs="Arial"/>
          <w:sz w:val="22"/>
          <w:szCs w:val="22"/>
        </w:rPr>
      </w:pPr>
      <w:r>
        <w:rPr>
          <w:rFonts w:ascii="Arial" w:hAnsi="Arial" w:cs="Arial"/>
          <w:sz w:val="22"/>
          <w:szCs w:val="22"/>
        </w:rPr>
        <w:t xml:space="preserve">Under </w:t>
      </w:r>
      <w:r w:rsidR="00C2628F">
        <w:rPr>
          <w:rFonts w:ascii="Arial" w:hAnsi="Arial" w:cs="Arial"/>
          <w:sz w:val="22"/>
          <w:szCs w:val="22"/>
        </w:rPr>
        <w:t>subsection</w:t>
      </w:r>
      <w:r w:rsidRPr="00791475">
        <w:rPr>
          <w:rFonts w:ascii="Arial" w:hAnsi="Arial" w:cs="Arial"/>
          <w:sz w:val="22"/>
          <w:szCs w:val="22"/>
        </w:rPr>
        <w:t xml:space="preserve"> 28-25</w:t>
      </w:r>
      <w:r w:rsidR="00C2628F">
        <w:rPr>
          <w:rFonts w:ascii="Arial" w:hAnsi="Arial" w:cs="Arial"/>
          <w:sz w:val="22"/>
          <w:szCs w:val="22"/>
        </w:rPr>
        <w:t>(4)</w:t>
      </w:r>
      <w:r w:rsidRPr="00791475">
        <w:rPr>
          <w:rFonts w:ascii="Arial" w:hAnsi="Arial" w:cs="Arial"/>
          <w:sz w:val="22"/>
          <w:szCs w:val="22"/>
        </w:rPr>
        <w:t xml:space="preserve"> of the </w:t>
      </w:r>
      <w:r w:rsidRPr="00791475">
        <w:rPr>
          <w:rFonts w:ascii="Arial" w:hAnsi="Arial" w:cs="Arial"/>
          <w:i/>
          <w:sz w:val="22"/>
          <w:szCs w:val="22"/>
        </w:rPr>
        <w:t>Income Tax Assessment Act 199</w:t>
      </w:r>
      <w:r>
        <w:rPr>
          <w:rFonts w:ascii="Arial" w:hAnsi="Arial" w:cs="Arial"/>
          <w:i/>
          <w:sz w:val="22"/>
          <w:szCs w:val="22"/>
        </w:rPr>
        <w:t xml:space="preserve">7, </w:t>
      </w:r>
      <w:r w:rsidRPr="00DE58F6">
        <w:rPr>
          <w:rFonts w:ascii="Arial" w:hAnsi="Arial" w:cs="Arial"/>
          <w:sz w:val="22"/>
          <w:szCs w:val="22"/>
        </w:rPr>
        <w:t xml:space="preserve">the Commissioner of Taxation </w:t>
      </w:r>
      <w:r w:rsidR="00CF05DF">
        <w:rPr>
          <w:rFonts w:ascii="Arial" w:hAnsi="Arial" w:cs="Arial"/>
          <w:sz w:val="22"/>
          <w:szCs w:val="22"/>
        </w:rPr>
        <w:t>will</w:t>
      </w:r>
      <w:r w:rsidRPr="00DE58F6">
        <w:rPr>
          <w:rFonts w:ascii="Arial" w:hAnsi="Arial" w:cs="Arial"/>
          <w:sz w:val="22"/>
          <w:szCs w:val="22"/>
        </w:rPr>
        <w:t xml:space="preserve"> determine the rate at which </w:t>
      </w:r>
      <w:r w:rsidR="00A25A9E" w:rsidRPr="00DE58F6">
        <w:rPr>
          <w:rFonts w:ascii="Arial" w:hAnsi="Arial" w:cs="Arial"/>
          <w:sz w:val="22"/>
          <w:szCs w:val="22"/>
        </w:rPr>
        <w:t>work-related motor vehicle expense deductions may be claimed in an income year using the cents per kilometre method.</w:t>
      </w:r>
      <w:r w:rsidR="003404BE">
        <w:rPr>
          <w:rFonts w:ascii="Arial" w:hAnsi="Arial" w:cs="Arial"/>
          <w:sz w:val="22"/>
          <w:szCs w:val="22"/>
        </w:rPr>
        <w:t xml:space="preserve"> </w:t>
      </w:r>
      <w:r w:rsidR="00A25A9E">
        <w:rPr>
          <w:rFonts w:ascii="Arial" w:hAnsi="Arial" w:cs="Arial"/>
          <w:sz w:val="22"/>
          <w:szCs w:val="22"/>
        </w:rPr>
        <w:t xml:space="preserve"> </w:t>
      </w:r>
    </w:p>
    <w:p w14:paraId="3FEE17B9" w14:textId="77777777" w:rsidR="0099625E" w:rsidRDefault="0099625E" w:rsidP="00A478DD">
      <w:pPr>
        <w:rPr>
          <w:rFonts w:ascii="Arial" w:hAnsi="Arial" w:cs="Arial"/>
          <w:sz w:val="22"/>
          <w:szCs w:val="22"/>
        </w:rPr>
      </w:pPr>
    </w:p>
    <w:p w14:paraId="147835CD" w14:textId="11FD27A6" w:rsidR="00A25A9E" w:rsidRPr="009228B2" w:rsidRDefault="00A25A9E" w:rsidP="00A478DD">
      <w:pPr>
        <w:rPr>
          <w:rFonts w:ascii="Arial" w:hAnsi="Arial" w:cs="Arial"/>
          <w:sz w:val="22"/>
          <w:szCs w:val="22"/>
        </w:rPr>
      </w:pPr>
      <w:r>
        <w:rPr>
          <w:rFonts w:ascii="Arial" w:hAnsi="Arial" w:cs="Arial"/>
          <w:sz w:val="22"/>
          <w:szCs w:val="22"/>
        </w:rPr>
        <w:t xml:space="preserve">The Commissioner of Taxation </w:t>
      </w:r>
      <w:r w:rsidR="00DE58F6">
        <w:rPr>
          <w:rFonts w:ascii="Arial" w:hAnsi="Arial" w:cs="Arial"/>
          <w:sz w:val="22"/>
          <w:szCs w:val="22"/>
        </w:rPr>
        <w:t xml:space="preserve">by this instrument </w:t>
      </w:r>
      <w:r w:rsidR="00D05844">
        <w:rPr>
          <w:rFonts w:ascii="Arial" w:hAnsi="Arial" w:cs="Arial"/>
          <w:sz w:val="22"/>
          <w:szCs w:val="22"/>
        </w:rPr>
        <w:t xml:space="preserve">has </w:t>
      </w:r>
      <w:r>
        <w:rPr>
          <w:rFonts w:ascii="Arial" w:hAnsi="Arial" w:cs="Arial"/>
          <w:sz w:val="22"/>
          <w:szCs w:val="22"/>
        </w:rPr>
        <w:t>determined the</w:t>
      </w:r>
      <w:r w:rsidR="009A4074">
        <w:rPr>
          <w:rFonts w:ascii="Arial" w:hAnsi="Arial" w:cs="Arial"/>
          <w:sz w:val="22"/>
          <w:szCs w:val="22"/>
        </w:rPr>
        <w:t xml:space="preserve"> </w:t>
      </w:r>
      <w:r>
        <w:rPr>
          <w:rFonts w:ascii="Arial" w:hAnsi="Arial" w:cs="Arial"/>
          <w:sz w:val="22"/>
          <w:szCs w:val="22"/>
        </w:rPr>
        <w:t>ra</w:t>
      </w:r>
      <w:r w:rsidR="00DE58F6">
        <w:rPr>
          <w:rFonts w:ascii="Arial" w:hAnsi="Arial" w:cs="Arial"/>
          <w:sz w:val="22"/>
          <w:szCs w:val="22"/>
        </w:rPr>
        <w:t xml:space="preserve">te to be </w:t>
      </w:r>
      <w:r>
        <w:rPr>
          <w:rFonts w:ascii="Arial" w:hAnsi="Arial" w:cs="Arial"/>
          <w:sz w:val="22"/>
          <w:szCs w:val="22"/>
        </w:rPr>
        <w:t xml:space="preserve">66 cents per kilometre for the income year commencing 1 July 2016. </w:t>
      </w:r>
    </w:p>
    <w:p w14:paraId="19409F32" w14:textId="77777777" w:rsidR="00075B58" w:rsidRPr="00E00752" w:rsidRDefault="00075B58" w:rsidP="00A478DD">
      <w:pPr>
        <w:rPr>
          <w:rFonts w:ascii="Arial" w:hAnsi="Arial" w:cs="Arial"/>
          <w:sz w:val="22"/>
          <w:szCs w:val="22"/>
        </w:rPr>
      </w:pPr>
    </w:p>
    <w:p w14:paraId="19409F33" w14:textId="77777777" w:rsidR="00075B58" w:rsidRDefault="00075B58" w:rsidP="00A478DD">
      <w:pPr>
        <w:rPr>
          <w:rFonts w:ascii="Arial" w:hAnsi="Arial" w:cs="Arial"/>
          <w:b/>
          <w:sz w:val="22"/>
          <w:szCs w:val="22"/>
        </w:rPr>
      </w:pPr>
      <w:r w:rsidRPr="00E00752">
        <w:rPr>
          <w:rFonts w:ascii="Arial" w:hAnsi="Arial" w:cs="Arial"/>
          <w:b/>
          <w:sz w:val="22"/>
          <w:szCs w:val="22"/>
        </w:rPr>
        <w:t>Human rights implications</w:t>
      </w:r>
    </w:p>
    <w:p w14:paraId="44BDEC7C" w14:textId="77777777" w:rsidR="003404BE" w:rsidRPr="00E00752" w:rsidRDefault="003404BE" w:rsidP="00A478DD">
      <w:pPr>
        <w:rPr>
          <w:rFonts w:ascii="Arial" w:hAnsi="Arial" w:cs="Arial"/>
          <w:b/>
          <w:sz w:val="22"/>
          <w:szCs w:val="22"/>
        </w:rPr>
      </w:pPr>
    </w:p>
    <w:p w14:paraId="19409F34" w14:textId="5AE2EC6E" w:rsidR="00075B58" w:rsidRPr="00E00752" w:rsidRDefault="00075B58" w:rsidP="00A478DD">
      <w:pPr>
        <w:rPr>
          <w:rFonts w:ascii="Arial" w:hAnsi="Arial" w:cs="Arial"/>
          <w:sz w:val="22"/>
          <w:szCs w:val="22"/>
        </w:rPr>
      </w:pPr>
      <w:r w:rsidRPr="00E00752">
        <w:rPr>
          <w:rFonts w:ascii="Arial" w:hAnsi="Arial" w:cs="Arial"/>
          <w:sz w:val="22"/>
          <w:szCs w:val="22"/>
        </w:rPr>
        <w:t>This Legislative Instrument does not engage any of the applicable rights or freedoms.</w:t>
      </w:r>
      <w:r w:rsidR="003404BE">
        <w:rPr>
          <w:rFonts w:ascii="Arial" w:hAnsi="Arial" w:cs="Arial"/>
          <w:sz w:val="22"/>
          <w:szCs w:val="22"/>
        </w:rPr>
        <w:t xml:space="preserve"> It is minor and machinery in nature.</w:t>
      </w:r>
      <w:r w:rsidRPr="00E00752">
        <w:rPr>
          <w:rFonts w:ascii="Arial" w:hAnsi="Arial" w:cs="Arial"/>
          <w:sz w:val="22"/>
          <w:szCs w:val="22"/>
        </w:rPr>
        <w:t xml:space="preserve"> </w:t>
      </w:r>
    </w:p>
    <w:p w14:paraId="19409F35" w14:textId="77777777" w:rsidR="00075B58" w:rsidRPr="00E00752" w:rsidRDefault="00075B58" w:rsidP="00A478DD">
      <w:pPr>
        <w:rPr>
          <w:rFonts w:ascii="Arial" w:hAnsi="Arial" w:cs="Arial"/>
          <w:b/>
          <w:sz w:val="22"/>
          <w:szCs w:val="22"/>
        </w:rPr>
      </w:pPr>
    </w:p>
    <w:p w14:paraId="19409F36" w14:textId="77777777" w:rsidR="00075B58" w:rsidRDefault="00075B58" w:rsidP="00A478DD">
      <w:pPr>
        <w:rPr>
          <w:rFonts w:ascii="Arial" w:hAnsi="Arial" w:cs="Arial"/>
          <w:b/>
          <w:sz w:val="22"/>
          <w:szCs w:val="22"/>
        </w:rPr>
      </w:pPr>
      <w:r w:rsidRPr="00E00752">
        <w:rPr>
          <w:rFonts w:ascii="Arial" w:hAnsi="Arial" w:cs="Arial"/>
          <w:b/>
          <w:sz w:val="22"/>
          <w:szCs w:val="22"/>
        </w:rPr>
        <w:t>Conclusion</w:t>
      </w:r>
    </w:p>
    <w:p w14:paraId="631765D8" w14:textId="77777777" w:rsidR="003404BE" w:rsidRPr="00E00752" w:rsidRDefault="003404BE" w:rsidP="00A478DD">
      <w:pPr>
        <w:rPr>
          <w:rFonts w:ascii="Arial" w:hAnsi="Arial" w:cs="Arial"/>
          <w:b/>
          <w:sz w:val="22"/>
          <w:szCs w:val="22"/>
        </w:rPr>
      </w:pPr>
    </w:p>
    <w:p w14:paraId="19409F3B" w14:textId="3AFB2B32" w:rsidR="00075B58" w:rsidRPr="00EA4140" w:rsidRDefault="00075B58" w:rsidP="00A478DD">
      <w:pPr>
        <w:rPr>
          <w:rFonts w:ascii="Arial" w:hAnsi="Arial" w:cs="Arial"/>
          <w:sz w:val="22"/>
          <w:szCs w:val="22"/>
        </w:rPr>
      </w:pPr>
      <w:r w:rsidRPr="00E00752">
        <w:rPr>
          <w:rFonts w:ascii="Arial" w:hAnsi="Arial" w:cs="Arial"/>
          <w:sz w:val="22"/>
          <w:szCs w:val="22"/>
        </w:rPr>
        <w:t>This Legislative Instrument is compatible with human rights as it does not raise any human rights issues.</w:t>
      </w:r>
    </w:p>
    <w:p w14:paraId="19409F3C" w14:textId="77777777" w:rsidR="00075B58" w:rsidRDefault="00075B58" w:rsidP="00075B58">
      <w:pPr>
        <w:autoSpaceDE w:val="0"/>
        <w:autoSpaceDN w:val="0"/>
        <w:adjustRightInd w:val="0"/>
        <w:rPr>
          <w:rFonts w:ascii="Arial" w:hAnsi="Arial" w:cs="Arial"/>
          <w:b/>
          <w:i/>
          <w:iCs/>
          <w:color w:val="000000"/>
          <w:sz w:val="22"/>
          <w:szCs w:val="22"/>
        </w:rPr>
      </w:pPr>
    </w:p>
    <w:p w14:paraId="19409F5A" w14:textId="77777777" w:rsidR="00D77015" w:rsidRPr="0067541C" w:rsidRDefault="00D77015" w:rsidP="00486653">
      <w:pPr>
        <w:spacing w:after="120"/>
        <w:rPr>
          <w:rFonts w:ascii="Arial" w:hAnsi="Arial" w:cs="Arial"/>
          <w:sz w:val="22"/>
          <w:szCs w:val="22"/>
        </w:rPr>
      </w:pPr>
    </w:p>
    <w:p w14:paraId="19409F67" w14:textId="58F505E0" w:rsidR="008540EA" w:rsidRPr="00EA4140" w:rsidRDefault="008540EA" w:rsidP="00FE17ED">
      <w:pPr>
        <w:pStyle w:val="Heading2"/>
        <w:rPr>
          <w:rFonts w:cs="Arial"/>
          <w:b w:val="0"/>
          <w:i/>
          <w:sz w:val="20"/>
        </w:rPr>
      </w:pPr>
    </w:p>
    <w:sectPr w:rsidR="008540EA" w:rsidRPr="00EA4140"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DD25A" w14:textId="77777777" w:rsidR="0070431A" w:rsidRDefault="0070431A">
      <w:r>
        <w:separator/>
      </w:r>
    </w:p>
  </w:endnote>
  <w:endnote w:type="continuationSeparator" w:id="0">
    <w:p w14:paraId="4DFB3C49" w14:textId="77777777" w:rsidR="0070431A" w:rsidRDefault="0070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20CA7" w14:textId="77777777" w:rsidR="0070431A" w:rsidRDefault="0070431A">
      <w:r>
        <w:separator/>
      </w:r>
    </w:p>
  </w:footnote>
  <w:footnote w:type="continuationSeparator" w:id="0">
    <w:p w14:paraId="201ACD18" w14:textId="77777777" w:rsidR="0070431A" w:rsidRDefault="00704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9F6C"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9409F6D" w14:textId="230C25CD" w:rsidR="00587C50" w:rsidRPr="0067541C" w:rsidRDefault="00587C50">
    <w:pPr>
      <w:pStyle w:val="Header"/>
      <w:rPr>
        <w:rFonts w:ascii="Arial" w:hAnsi="Arial" w:cs="Arial"/>
        <w:sz w:val="52"/>
      </w:rPr>
    </w:pPr>
    <w:r w:rsidRPr="0067541C">
      <w:rPr>
        <w:rFonts w:ascii="Arial" w:hAnsi="Arial" w:cs="Arial"/>
        <w:b/>
        <w:sz w:val="52"/>
      </w:rPr>
      <w:t xml:space="preserve">TD </w:t>
    </w:r>
  </w:p>
  <w:p w14:paraId="19409F6E"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FD50C4">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9F6F"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9F70" w14:textId="77777777"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19409F71" w14:textId="7393FE32"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FF280B" w:rsidRPr="00FF280B">
      <w:rPr>
        <w:rFonts w:ascii="Arial" w:hAnsi="Arial" w:cs="Arial"/>
        <w:b/>
        <w:sz w:val="28"/>
        <w:szCs w:val="28"/>
      </w:rPr>
      <w:t>2016/IND/0062</w:t>
    </w:r>
  </w:p>
  <w:p w14:paraId="19409F72"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9409F74" wp14:editId="19409F75">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9409F73"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C4F29DF"/>
    <w:multiLevelType w:val="hybridMultilevel"/>
    <w:tmpl w:val="DCBC9C94"/>
    <w:lvl w:ilvl="0" w:tplc="9C98EA0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9">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FCC3903"/>
    <w:multiLevelType w:val="hybridMultilevel"/>
    <w:tmpl w:val="4FB8CD3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4">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8">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9F5D3E"/>
    <w:multiLevelType w:val="hybridMultilevel"/>
    <w:tmpl w:val="F3441D88"/>
    <w:lvl w:ilvl="0" w:tplc="0C090001">
      <w:start w:val="1"/>
      <w:numFmt w:val="decimal"/>
      <w:pStyle w:val="NumberedList"/>
      <w:lvlText w:val="%1."/>
      <w:lvlJc w:val="left"/>
      <w:pPr>
        <w:tabs>
          <w:tab w:val="num" w:pos="360"/>
        </w:tabs>
        <w:ind w:left="360" w:hanging="360"/>
      </w:p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6">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2"/>
  </w:num>
  <w:num w:numId="4">
    <w:abstractNumId w:val="36"/>
  </w:num>
  <w:num w:numId="5">
    <w:abstractNumId w:val="4"/>
  </w:num>
  <w:num w:numId="6">
    <w:abstractNumId w:val="12"/>
  </w:num>
  <w:num w:numId="7">
    <w:abstractNumId w:val="30"/>
  </w:num>
  <w:num w:numId="8">
    <w:abstractNumId w:val="29"/>
  </w:num>
  <w:num w:numId="9">
    <w:abstractNumId w:val="24"/>
  </w:num>
  <w:num w:numId="10">
    <w:abstractNumId w:val="20"/>
  </w:num>
  <w:num w:numId="11">
    <w:abstractNumId w:val="38"/>
  </w:num>
  <w:num w:numId="12">
    <w:abstractNumId w:val="31"/>
  </w:num>
  <w:num w:numId="13">
    <w:abstractNumId w:val="34"/>
  </w:num>
  <w:num w:numId="14">
    <w:abstractNumId w:val="33"/>
  </w:num>
  <w:num w:numId="15">
    <w:abstractNumId w:val="19"/>
  </w:num>
  <w:num w:numId="16">
    <w:abstractNumId w:val="21"/>
  </w:num>
  <w:num w:numId="17">
    <w:abstractNumId w:val="10"/>
  </w:num>
  <w:num w:numId="18">
    <w:abstractNumId w:val="15"/>
  </w:num>
  <w:num w:numId="19">
    <w:abstractNumId w:val="2"/>
  </w:num>
  <w:num w:numId="20">
    <w:abstractNumId w:val="1"/>
  </w:num>
  <w:num w:numId="21">
    <w:abstractNumId w:val="11"/>
  </w:num>
  <w:num w:numId="22">
    <w:abstractNumId w:val="27"/>
  </w:num>
  <w:num w:numId="23">
    <w:abstractNumId w:val="8"/>
  </w:num>
  <w:num w:numId="24">
    <w:abstractNumId w:val="18"/>
  </w:num>
  <w:num w:numId="25">
    <w:abstractNumId w:val="26"/>
  </w:num>
  <w:num w:numId="26">
    <w:abstractNumId w:val="25"/>
  </w:num>
  <w:num w:numId="27">
    <w:abstractNumId w:val="7"/>
  </w:num>
  <w:num w:numId="28">
    <w:abstractNumId w:val="28"/>
  </w:num>
  <w:num w:numId="29">
    <w:abstractNumId w:val="17"/>
  </w:num>
  <w:num w:numId="30">
    <w:abstractNumId w:val="13"/>
  </w:num>
  <w:num w:numId="31">
    <w:abstractNumId w:val="5"/>
  </w:num>
  <w:num w:numId="32">
    <w:abstractNumId w:val="0"/>
  </w:num>
  <w:num w:numId="33">
    <w:abstractNumId w:val="6"/>
  </w:num>
  <w:num w:numId="34">
    <w:abstractNumId w:val="23"/>
  </w:num>
  <w:num w:numId="35">
    <w:abstractNumId w:val="32"/>
  </w:num>
  <w:num w:numId="36">
    <w:abstractNumId w:val="16"/>
  </w:num>
  <w:num w:numId="37">
    <w:abstractNumId w:val="37"/>
  </w:num>
  <w:num w:numId="38">
    <w:abstractNumId w:val="9"/>
  </w:num>
  <w:num w:numId="39">
    <w:abstractNumId w:val="2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15A"/>
    <w:rsid w:val="0002568B"/>
    <w:rsid w:val="00043FA7"/>
    <w:rsid w:val="000552E8"/>
    <w:rsid w:val="00056585"/>
    <w:rsid w:val="0005674F"/>
    <w:rsid w:val="00065C6E"/>
    <w:rsid w:val="00073F1B"/>
    <w:rsid w:val="00075B58"/>
    <w:rsid w:val="00085EC5"/>
    <w:rsid w:val="000A4DB9"/>
    <w:rsid w:val="000B11DD"/>
    <w:rsid w:val="000C390A"/>
    <w:rsid w:val="000C77DD"/>
    <w:rsid w:val="000E295B"/>
    <w:rsid w:val="000E45A0"/>
    <w:rsid w:val="000E65CF"/>
    <w:rsid w:val="00107460"/>
    <w:rsid w:val="00112415"/>
    <w:rsid w:val="00120354"/>
    <w:rsid w:val="0013604D"/>
    <w:rsid w:val="0013678D"/>
    <w:rsid w:val="00140A34"/>
    <w:rsid w:val="00146ED8"/>
    <w:rsid w:val="00167202"/>
    <w:rsid w:val="001828A4"/>
    <w:rsid w:val="001A3BE2"/>
    <w:rsid w:val="001C35E7"/>
    <w:rsid w:val="001C4578"/>
    <w:rsid w:val="001F28A6"/>
    <w:rsid w:val="001F2A16"/>
    <w:rsid w:val="001F6921"/>
    <w:rsid w:val="001F7C3E"/>
    <w:rsid w:val="00201969"/>
    <w:rsid w:val="00213FA5"/>
    <w:rsid w:val="0022634E"/>
    <w:rsid w:val="0023733A"/>
    <w:rsid w:val="0024044F"/>
    <w:rsid w:val="002442FB"/>
    <w:rsid w:val="00245D00"/>
    <w:rsid w:val="00257F2D"/>
    <w:rsid w:val="00262F9F"/>
    <w:rsid w:val="00266D2D"/>
    <w:rsid w:val="0027331F"/>
    <w:rsid w:val="00274704"/>
    <w:rsid w:val="00285E76"/>
    <w:rsid w:val="002949C3"/>
    <w:rsid w:val="002A10A4"/>
    <w:rsid w:val="002A26FE"/>
    <w:rsid w:val="002B1423"/>
    <w:rsid w:val="002F1257"/>
    <w:rsid w:val="00310C61"/>
    <w:rsid w:val="003171B3"/>
    <w:rsid w:val="00321A28"/>
    <w:rsid w:val="0032559D"/>
    <w:rsid w:val="00326754"/>
    <w:rsid w:val="003404BE"/>
    <w:rsid w:val="00344575"/>
    <w:rsid w:val="0035090E"/>
    <w:rsid w:val="0035113C"/>
    <w:rsid w:val="00354525"/>
    <w:rsid w:val="0037001A"/>
    <w:rsid w:val="00380CC4"/>
    <w:rsid w:val="00395D77"/>
    <w:rsid w:val="003A0C90"/>
    <w:rsid w:val="003B1D0E"/>
    <w:rsid w:val="003C0686"/>
    <w:rsid w:val="003D08CF"/>
    <w:rsid w:val="003D0CBA"/>
    <w:rsid w:val="003D0F6A"/>
    <w:rsid w:val="003D4BA8"/>
    <w:rsid w:val="003D6719"/>
    <w:rsid w:val="003E5269"/>
    <w:rsid w:val="00405394"/>
    <w:rsid w:val="004066E4"/>
    <w:rsid w:val="0040680B"/>
    <w:rsid w:val="00407361"/>
    <w:rsid w:val="00417C55"/>
    <w:rsid w:val="00424A7B"/>
    <w:rsid w:val="00441771"/>
    <w:rsid w:val="004447C1"/>
    <w:rsid w:val="004524B0"/>
    <w:rsid w:val="0046211F"/>
    <w:rsid w:val="0046787B"/>
    <w:rsid w:val="004815C3"/>
    <w:rsid w:val="0048232C"/>
    <w:rsid w:val="004859E3"/>
    <w:rsid w:val="00486653"/>
    <w:rsid w:val="0048780D"/>
    <w:rsid w:val="004A4BD6"/>
    <w:rsid w:val="004A5FDA"/>
    <w:rsid w:val="004B30AE"/>
    <w:rsid w:val="004D098C"/>
    <w:rsid w:val="004D1E24"/>
    <w:rsid w:val="004D24A9"/>
    <w:rsid w:val="004E5357"/>
    <w:rsid w:val="004F4A07"/>
    <w:rsid w:val="004F5EB1"/>
    <w:rsid w:val="004F6887"/>
    <w:rsid w:val="005030AD"/>
    <w:rsid w:val="0051249C"/>
    <w:rsid w:val="00513C0E"/>
    <w:rsid w:val="005163CC"/>
    <w:rsid w:val="005176E7"/>
    <w:rsid w:val="00520330"/>
    <w:rsid w:val="00524B6B"/>
    <w:rsid w:val="0053237F"/>
    <w:rsid w:val="005413EE"/>
    <w:rsid w:val="00587443"/>
    <w:rsid w:val="00587C50"/>
    <w:rsid w:val="005917F3"/>
    <w:rsid w:val="005B0ACD"/>
    <w:rsid w:val="005B50A2"/>
    <w:rsid w:val="005C3408"/>
    <w:rsid w:val="005D611B"/>
    <w:rsid w:val="005F1ACE"/>
    <w:rsid w:val="005F256D"/>
    <w:rsid w:val="0060183A"/>
    <w:rsid w:val="00603110"/>
    <w:rsid w:val="00611C8E"/>
    <w:rsid w:val="00631F30"/>
    <w:rsid w:val="00642420"/>
    <w:rsid w:val="00646158"/>
    <w:rsid w:val="00660CDB"/>
    <w:rsid w:val="0066622C"/>
    <w:rsid w:val="00666487"/>
    <w:rsid w:val="006715C7"/>
    <w:rsid w:val="00673B37"/>
    <w:rsid w:val="00681720"/>
    <w:rsid w:val="006945EA"/>
    <w:rsid w:val="006B5470"/>
    <w:rsid w:val="006D0138"/>
    <w:rsid w:val="006D6F52"/>
    <w:rsid w:val="00701718"/>
    <w:rsid w:val="0070431A"/>
    <w:rsid w:val="00710359"/>
    <w:rsid w:val="00712FFF"/>
    <w:rsid w:val="00722DBF"/>
    <w:rsid w:val="00735157"/>
    <w:rsid w:val="007421C2"/>
    <w:rsid w:val="00775490"/>
    <w:rsid w:val="00777DC1"/>
    <w:rsid w:val="00791475"/>
    <w:rsid w:val="00795D0C"/>
    <w:rsid w:val="007A55BA"/>
    <w:rsid w:val="007C1FBD"/>
    <w:rsid w:val="007D784B"/>
    <w:rsid w:val="007E22F5"/>
    <w:rsid w:val="007E561C"/>
    <w:rsid w:val="007F25F3"/>
    <w:rsid w:val="007F4901"/>
    <w:rsid w:val="00807D21"/>
    <w:rsid w:val="00831AA1"/>
    <w:rsid w:val="00836B02"/>
    <w:rsid w:val="008467D4"/>
    <w:rsid w:val="00850FB0"/>
    <w:rsid w:val="0085238E"/>
    <w:rsid w:val="008540EA"/>
    <w:rsid w:val="00866A00"/>
    <w:rsid w:val="008702A6"/>
    <w:rsid w:val="00870F26"/>
    <w:rsid w:val="008757CE"/>
    <w:rsid w:val="0088392C"/>
    <w:rsid w:val="0089223A"/>
    <w:rsid w:val="00897C0E"/>
    <w:rsid w:val="00897E31"/>
    <w:rsid w:val="008A046F"/>
    <w:rsid w:val="008A405A"/>
    <w:rsid w:val="008A63BD"/>
    <w:rsid w:val="008A6A6A"/>
    <w:rsid w:val="008B650A"/>
    <w:rsid w:val="008B787C"/>
    <w:rsid w:val="008C3898"/>
    <w:rsid w:val="008C66CC"/>
    <w:rsid w:val="008F483C"/>
    <w:rsid w:val="008F63E2"/>
    <w:rsid w:val="009032D9"/>
    <w:rsid w:val="00905A52"/>
    <w:rsid w:val="009122A8"/>
    <w:rsid w:val="00912D61"/>
    <w:rsid w:val="009228B2"/>
    <w:rsid w:val="009322D7"/>
    <w:rsid w:val="00932BDE"/>
    <w:rsid w:val="00967725"/>
    <w:rsid w:val="009902F8"/>
    <w:rsid w:val="00991369"/>
    <w:rsid w:val="00993BB8"/>
    <w:rsid w:val="00995200"/>
    <w:rsid w:val="0099555F"/>
    <w:rsid w:val="0099625E"/>
    <w:rsid w:val="009A22A1"/>
    <w:rsid w:val="009A4074"/>
    <w:rsid w:val="009B3A1B"/>
    <w:rsid w:val="009B6332"/>
    <w:rsid w:val="009C0912"/>
    <w:rsid w:val="009D6694"/>
    <w:rsid w:val="009F0300"/>
    <w:rsid w:val="00A167A8"/>
    <w:rsid w:val="00A21F0A"/>
    <w:rsid w:val="00A25A9E"/>
    <w:rsid w:val="00A26011"/>
    <w:rsid w:val="00A478DD"/>
    <w:rsid w:val="00A506C2"/>
    <w:rsid w:val="00A62886"/>
    <w:rsid w:val="00A74C38"/>
    <w:rsid w:val="00A77D24"/>
    <w:rsid w:val="00A8572F"/>
    <w:rsid w:val="00A93E07"/>
    <w:rsid w:val="00A979CF"/>
    <w:rsid w:val="00AA3E52"/>
    <w:rsid w:val="00AA4DF8"/>
    <w:rsid w:val="00AB780C"/>
    <w:rsid w:val="00AD5ADE"/>
    <w:rsid w:val="00AE7138"/>
    <w:rsid w:val="00AF4CAF"/>
    <w:rsid w:val="00B117BA"/>
    <w:rsid w:val="00B20D87"/>
    <w:rsid w:val="00B5753C"/>
    <w:rsid w:val="00B578AC"/>
    <w:rsid w:val="00B6433F"/>
    <w:rsid w:val="00B64CF5"/>
    <w:rsid w:val="00B76C9B"/>
    <w:rsid w:val="00B823A1"/>
    <w:rsid w:val="00B8428B"/>
    <w:rsid w:val="00BA41F5"/>
    <w:rsid w:val="00BB3C9C"/>
    <w:rsid w:val="00BF3AC2"/>
    <w:rsid w:val="00BF4822"/>
    <w:rsid w:val="00C01D22"/>
    <w:rsid w:val="00C104B6"/>
    <w:rsid w:val="00C10F02"/>
    <w:rsid w:val="00C114F4"/>
    <w:rsid w:val="00C11D03"/>
    <w:rsid w:val="00C21862"/>
    <w:rsid w:val="00C2628F"/>
    <w:rsid w:val="00C31967"/>
    <w:rsid w:val="00C371DE"/>
    <w:rsid w:val="00C409AE"/>
    <w:rsid w:val="00C42D50"/>
    <w:rsid w:val="00C534A8"/>
    <w:rsid w:val="00C54DF8"/>
    <w:rsid w:val="00C60B49"/>
    <w:rsid w:val="00C7440A"/>
    <w:rsid w:val="00C865ED"/>
    <w:rsid w:val="00C8775A"/>
    <w:rsid w:val="00CA0877"/>
    <w:rsid w:val="00CA1E33"/>
    <w:rsid w:val="00CA52C9"/>
    <w:rsid w:val="00CA6B59"/>
    <w:rsid w:val="00CB3B6C"/>
    <w:rsid w:val="00CC1833"/>
    <w:rsid w:val="00CC189F"/>
    <w:rsid w:val="00CC3368"/>
    <w:rsid w:val="00CC42B8"/>
    <w:rsid w:val="00CD44DB"/>
    <w:rsid w:val="00CF05DF"/>
    <w:rsid w:val="00CF19C4"/>
    <w:rsid w:val="00CF4028"/>
    <w:rsid w:val="00D05844"/>
    <w:rsid w:val="00D073B3"/>
    <w:rsid w:val="00D13C04"/>
    <w:rsid w:val="00D20A78"/>
    <w:rsid w:val="00D278BA"/>
    <w:rsid w:val="00D40454"/>
    <w:rsid w:val="00D4059C"/>
    <w:rsid w:val="00D4789C"/>
    <w:rsid w:val="00D47DB7"/>
    <w:rsid w:val="00D53D8F"/>
    <w:rsid w:val="00D61C76"/>
    <w:rsid w:val="00D77015"/>
    <w:rsid w:val="00D92B48"/>
    <w:rsid w:val="00DB149F"/>
    <w:rsid w:val="00DB1693"/>
    <w:rsid w:val="00DD5B07"/>
    <w:rsid w:val="00DE58F6"/>
    <w:rsid w:val="00DE6821"/>
    <w:rsid w:val="00DF10A1"/>
    <w:rsid w:val="00DF2022"/>
    <w:rsid w:val="00DF34BE"/>
    <w:rsid w:val="00DF5D59"/>
    <w:rsid w:val="00E00752"/>
    <w:rsid w:val="00E200CB"/>
    <w:rsid w:val="00E236DC"/>
    <w:rsid w:val="00E239E4"/>
    <w:rsid w:val="00E36A38"/>
    <w:rsid w:val="00E53399"/>
    <w:rsid w:val="00E77995"/>
    <w:rsid w:val="00E87099"/>
    <w:rsid w:val="00EA22A2"/>
    <w:rsid w:val="00EA28E6"/>
    <w:rsid w:val="00EA4140"/>
    <w:rsid w:val="00EE713D"/>
    <w:rsid w:val="00EF78C4"/>
    <w:rsid w:val="00F04CD7"/>
    <w:rsid w:val="00F23E15"/>
    <w:rsid w:val="00F244A2"/>
    <w:rsid w:val="00F35064"/>
    <w:rsid w:val="00F374D8"/>
    <w:rsid w:val="00F43249"/>
    <w:rsid w:val="00F5684D"/>
    <w:rsid w:val="00F57AB6"/>
    <w:rsid w:val="00F6480F"/>
    <w:rsid w:val="00F86713"/>
    <w:rsid w:val="00F932E0"/>
    <w:rsid w:val="00F93305"/>
    <w:rsid w:val="00F94EDB"/>
    <w:rsid w:val="00FB3E04"/>
    <w:rsid w:val="00FB7701"/>
    <w:rsid w:val="00FC40F0"/>
    <w:rsid w:val="00FC6D3B"/>
    <w:rsid w:val="00FD00B7"/>
    <w:rsid w:val="00FD0129"/>
    <w:rsid w:val="00FD075A"/>
    <w:rsid w:val="00FD50C4"/>
    <w:rsid w:val="00FE17ED"/>
    <w:rsid w:val="00FF2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0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274704"/>
    <w:rPr>
      <w:color w:val="800080" w:themeColor="followedHyperlink"/>
      <w:u w:val="single"/>
    </w:rPr>
  </w:style>
  <w:style w:type="character" w:customStyle="1" w:styleId="HeaderChar">
    <w:name w:val="Header Char"/>
    <w:basedOn w:val="DefaultParagraphFont"/>
    <w:link w:val="Header"/>
    <w:rsid w:val="0022634E"/>
    <w:rPr>
      <w:sz w:val="24"/>
    </w:rPr>
  </w:style>
  <w:style w:type="paragraph" w:customStyle="1" w:styleId="NumberedList">
    <w:name w:val="Numbered List"/>
    <w:basedOn w:val="Normal"/>
    <w:rsid w:val="0022634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274704"/>
    <w:rPr>
      <w:color w:val="800080" w:themeColor="followedHyperlink"/>
      <w:u w:val="single"/>
    </w:rPr>
  </w:style>
  <w:style w:type="character" w:customStyle="1" w:styleId="HeaderChar">
    <w:name w:val="Header Char"/>
    <w:basedOn w:val="DefaultParagraphFont"/>
    <w:link w:val="Header"/>
    <w:rsid w:val="0022634E"/>
    <w:rPr>
      <w:sz w:val="24"/>
    </w:rPr>
  </w:style>
  <w:style w:type="paragraph" w:customStyle="1" w:styleId="NumberedList">
    <w:name w:val="Numbered List"/>
    <w:basedOn w:val="Normal"/>
    <w:rsid w:val="0022634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5874">
      <w:bodyDiv w:val="1"/>
      <w:marLeft w:val="0"/>
      <w:marRight w:val="0"/>
      <w:marTop w:val="0"/>
      <w:marBottom w:val="0"/>
      <w:divBdr>
        <w:top w:val="none" w:sz="0" w:space="0" w:color="auto"/>
        <w:left w:val="none" w:sz="0" w:space="0" w:color="auto"/>
        <w:bottom w:val="none" w:sz="0" w:space="0" w:color="auto"/>
        <w:right w:val="none" w:sz="0" w:space="0" w:color="auto"/>
      </w:divBdr>
    </w:div>
    <w:div w:id="357119744">
      <w:bodyDiv w:val="1"/>
      <w:marLeft w:val="0"/>
      <w:marRight w:val="0"/>
      <w:marTop w:val="0"/>
      <w:marBottom w:val="0"/>
      <w:divBdr>
        <w:top w:val="none" w:sz="0" w:space="0" w:color="auto"/>
        <w:left w:val="none" w:sz="0" w:space="0" w:color="auto"/>
        <w:bottom w:val="none" w:sz="0" w:space="0" w:color="auto"/>
        <w:right w:val="none" w:sz="0" w:space="0" w:color="auto"/>
      </w:divBdr>
    </w:div>
    <w:div w:id="369644983">
      <w:bodyDiv w:val="1"/>
      <w:marLeft w:val="0"/>
      <w:marRight w:val="0"/>
      <w:marTop w:val="0"/>
      <w:marBottom w:val="0"/>
      <w:divBdr>
        <w:top w:val="none" w:sz="0" w:space="0" w:color="auto"/>
        <w:left w:val="none" w:sz="0" w:space="0" w:color="auto"/>
        <w:bottom w:val="none" w:sz="0" w:space="0" w:color="auto"/>
        <w:right w:val="none" w:sz="0" w:space="0" w:color="auto"/>
      </w:divBdr>
    </w:div>
    <w:div w:id="585109881">
      <w:bodyDiv w:val="1"/>
      <w:marLeft w:val="0"/>
      <w:marRight w:val="0"/>
      <w:marTop w:val="0"/>
      <w:marBottom w:val="0"/>
      <w:divBdr>
        <w:top w:val="none" w:sz="0" w:space="0" w:color="auto"/>
        <w:left w:val="none" w:sz="0" w:space="0" w:color="auto"/>
        <w:bottom w:val="none" w:sz="0" w:space="0" w:color="auto"/>
        <w:right w:val="none" w:sz="0" w:space="0" w:color="auto"/>
      </w:divBdr>
    </w:div>
    <w:div w:id="936720217">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352605173">
      <w:bodyDiv w:val="1"/>
      <w:marLeft w:val="0"/>
      <w:marRight w:val="0"/>
      <w:marTop w:val="0"/>
      <w:marBottom w:val="0"/>
      <w:divBdr>
        <w:top w:val="none" w:sz="0" w:space="0" w:color="auto"/>
        <w:left w:val="none" w:sz="0" w:space="0" w:color="auto"/>
        <w:bottom w:val="none" w:sz="0" w:space="0" w:color="auto"/>
        <w:right w:val="none" w:sz="0" w:space="0" w:color="auto"/>
      </w:divBdr>
    </w:div>
    <w:div w:id="1354724521">
      <w:bodyDiv w:val="1"/>
      <w:marLeft w:val="0"/>
      <w:marRight w:val="0"/>
      <w:marTop w:val="0"/>
      <w:marBottom w:val="0"/>
      <w:divBdr>
        <w:top w:val="none" w:sz="0" w:space="0" w:color="auto"/>
        <w:left w:val="none" w:sz="0" w:space="0" w:color="auto"/>
        <w:bottom w:val="none" w:sz="0" w:space="0" w:color="auto"/>
        <w:right w:val="none" w:sz="0" w:space="0" w:color="auto"/>
      </w:divBdr>
    </w:div>
    <w:div w:id="1436438636">
      <w:bodyDiv w:val="1"/>
      <w:marLeft w:val="0"/>
      <w:marRight w:val="0"/>
      <w:marTop w:val="0"/>
      <w:marBottom w:val="0"/>
      <w:divBdr>
        <w:top w:val="none" w:sz="0" w:space="0" w:color="auto"/>
        <w:left w:val="none" w:sz="0" w:space="0" w:color="auto"/>
        <w:bottom w:val="none" w:sz="0" w:space="0" w:color="auto"/>
        <w:right w:val="none" w:sz="0" w:space="0" w:color="auto"/>
      </w:divBdr>
      <w:divsChild>
        <w:div w:id="121466180">
          <w:marLeft w:val="0"/>
          <w:marRight w:val="0"/>
          <w:marTop w:val="0"/>
          <w:marBottom w:val="0"/>
          <w:divBdr>
            <w:top w:val="none" w:sz="0" w:space="0" w:color="auto"/>
            <w:left w:val="none" w:sz="0" w:space="0" w:color="auto"/>
            <w:bottom w:val="none" w:sz="0" w:space="0" w:color="auto"/>
            <w:right w:val="none" w:sz="0" w:space="0" w:color="auto"/>
          </w:divBdr>
        </w:div>
        <w:div w:id="1648127263">
          <w:marLeft w:val="0"/>
          <w:marRight w:val="0"/>
          <w:marTop w:val="0"/>
          <w:marBottom w:val="0"/>
          <w:divBdr>
            <w:top w:val="none" w:sz="0" w:space="0" w:color="auto"/>
            <w:left w:val="none" w:sz="0" w:space="0" w:color="auto"/>
            <w:bottom w:val="none" w:sz="0" w:space="0" w:color="auto"/>
            <w:right w:val="none" w:sz="0" w:space="0" w:color="auto"/>
          </w:divBdr>
        </w:div>
        <w:div w:id="1664624403">
          <w:marLeft w:val="0"/>
          <w:marRight w:val="0"/>
          <w:marTop w:val="0"/>
          <w:marBottom w:val="0"/>
          <w:divBdr>
            <w:top w:val="none" w:sz="0" w:space="0" w:color="auto"/>
            <w:left w:val="none" w:sz="0" w:space="0" w:color="auto"/>
            <w:bottom w:val="none" w:sz="0" w:space="0" w:color="auto"/>
            <w:right w:val="none" w:sz="0" w:space="0" w:color="auto"/>
          </w:divBdr>
        </w:div>
        <w:div w:id="148787558">
          <w:marLeft w:val="0"/>
          <w:marRight w:val="0"/>
          <w:marTop w:val="0"/>
          <w:marBottom w:val="0"/>
          <w:divBdr>
            <w:top w:val="none" w:sz="0" w:space="0" w:color="auto"/>
            <w:left w:val="none" w:sz="0" w:space="0" w:color="auto"/>
            <w:bottom w:val="none" w:sz="0" w:space="0" w:color="auto"/>
            <w:right w:val="none" w:sz="0" w:space="0" w:color="auto"/>
          </w:divBdr>
        </w:div>
        <w:div w:id="1733238434">
          <w:marLeft w:val="0"/>
          <w:marRight w:val="0"/>
          <w:marTop w:val="0"/>
          <w:marBottom w:val="0"/>
          <w:divBdr>
            <w:top w:val="none" w:sz="0" w:space="0" w:color="auto"/>
            <w:left w:val="none" w:sz="0" w:space="0" w:color="auto"/>
            <w:bottom w:val="none" w:sz="0" w:space="0" w:color="auto"/>
            <w:right w:val="none" w:sz="0" w:space="0" w:color="auto"/>
          </w:divBdr>
        </w:div>
        <w:div w:id="862868376">
          <w:marLeft w:val="0"/>
          <w:marRight w:val="0"/>
          <w:marTop w:val="0"/>
          <w:marBottom w:val="0"/>
          <w:divBdr>
            <w:top w:val="none" w:sz="0" w:space="0" w:color="auto"/>
            <w:left w:val="none" w:sz="0" w:space="0" w:color="auto"/>
            <w:bottom w:val="none" w:sz="0" w:space="0" w:color="auto"/>
            <w:right w:val="none" w:sz="0" w:space="0" w:color="auto"/>
          </w:divBdr>
        </w:div>
        <w:div w:id="328337010">
          <w:marLeft w:val="0"/>
          <w:marRight w:val="0"/>
          <w:marTop w:val="0"/>
          <w:marBottom w:val="0"/>
          <w:divBdr>
            <w:top w:val="none" w:sz="0" w:space="0" w:color="auto"/>
            <w:left w:val="none" w:sz="0" w:space="0" w:color="auto"/>
            <w:bottom w:val="none" w:sz="0" w:space="0" w:color="auto"/>
            <w:right w:val="none" w:sz="0" w:space="0" w:color="auto"/>
          </w:divBdr>
        </w:div>
        <w:div w:id="1229337557">
          <w:marLeft w:val="0"/>
          <w:marRight w:val="0"/>
          <w:marTop w:val="0"/>
          <w:marBottom w:val="0"/>
          <w:divBdr>
            <w:top w:val="none" w:sz="0" w:space="0" w:color="auto"/>
            <w:left w:val="none" w:sz="0" w:space="0" w:color="auto"/>
            <w:bottom w:val="none" w:sz="0" w:space="0" w:color="auto"/>
            <w:right w:val="none" w:sz="0" w:space="0" w:color="auto"/>
          </w:divBdr>
        </w:div>
        <w:div w:id="68816114">
          <w:marLeft w:val="0"/>
          <w:marRight w:val="0"/>
          <w:marTop w:val="0"/>
          <w:marBottom w:val="0"/>
          <w:divBdr>
            <w:top w:val="none" w:sz="0" w:space="0" w:color="auto"/>
            <w:left w:val="none" w:sz="0" w:space="0" w:color="auto"/>
            <w:bottom w:val="none" w:sz="0" w:space="0" w:color="auto"/>
            <w:right w:val="none" w:sz="0" w:space="0" w:color="auto"/>
          </w:divBdr>
        </w:div>
        <w:div w:id="709111481">
          <w:marLeft w:val="0"/>
          <w:marRight w:val="0"/>
          <w:marTop w:val="0"/>
          <w:marBottom w:val="0"/>
          <w:divBdr>
            <w:top w:val="none" w:sz="0" w:space="0" w:color="auto"/>
            <w:left w:val="none" w:sz="0" w:space="0" w:color="auto"/>
            <w:bottom w:val="none" w:sz="0" w:space="0" w:color="auto"/>
            <w:right w:val="none" w:sz="0" w:space="0" w:color="auto"/>
          </w:divBdr>
        </w:div>
        <w:div w:id="97798771">
          <w:marLeft w:val="0"/>
          <w:marRight w:val="0"/>
          <w:marTop w:val="0"/>
          <w:marBottom w:val="0"/>
          <w:divBdr>
            <w:top w:val="none" w:sz="0" w:space="0" w:color="auto"/>
            <w:left w:val="none" w:sz="0" w:space="0" w:color="auto"/>
            <w:bottom w:val="none" w:sz="0" w:space="0" w:color="auto"/>
            <w:right w:val="none" w:sz="0" w:space="0" w:color="auto"/>
          </w:divBdr>
        </w:div>
        <w:div w:id="711806761">
          <w:marLeft w:val="0"/>
          <w:marRight w:val="0"/>
          <w:marTop w:val="0"/>
          <w:marBottom w:val="0"/>
          <w:divBdr>
            <w:top w:val="none" w:sz="0" w:space="0" w:color="auto"/>
            <w:left w:val="none" w:sz="0" w:space="0" w:color="auto"/>
            <w:bottom w:val="none" w:sz="0" w:space="0" w:color="auto"/>
            <w:right w:val="none" w:sz="0" w:space="0" w:color="auto"/>
          </w:divBdr>
        </w:div>
        <w:div w:id="1735270983">
          <w:marLeft w:val="0"/>
          <w:marRight w:val="0"/>
          <w:marTop w:val="0"/>
          <w:marBottom w:val="0"/>
          <w:divBdr>
            <w:top w:val="none" w:sz="0" w:space="0" w:color="auto"/>
            <w:left w:val="none" w:sz="0" w:space="0" w:color="auto"/>
            <w:bottom w:val="none" w:sz="0" w:space="0" w:color="auto"/>
            <w:right w:val="none" w:sz="0" w:space="0" w:color="auto"/>
          </w:divBdr>
        </w:div>
        <w:div w:id="269050506">
          <w:marLeft w:val="0"/>
          <w:marRight w:val="0"/>
          <w:marTop w:val="0"/>
          <w:marBottom w:val="0"/>
          <w:divBdr>
            <w:top w:val="none" w:sz="0" w:space="0" w:color="auto"/>
            <w:left w:val="none" w:sz="0" w:space="0" w:color="auto"/>
            <w:bottom w:val="none" w:sz="0" w:space="0" w:color="auto"/>
            <w:right w:val="none" w:sz="0" w:space="0" w:color="auto"/>
          </w:divBdr>
        </w:div>
        <w:div w:id="1984237951">
          <w:marLeft w:val="0"/>
          <w:marRight w:val="0"/>
          <w:marTop w:val="0"/>
          <w:marBottom w:val="0"/>
          <w:divBdr>
            <w:top w:val="none" w:sz="0" w:space="0" w:color="auto"/>
            <w:left w:val="none" w:sz="0" w:space="0" w:color="auto"/>
            <w:bottom w:val="none" w:sz="0" w:space="0" w:color="auto"/>
            <w:right w:val="none" w:sz="0" w:space="0" w:color="auto"/>
          </w:divBdr>
        </w:div>
        <w:div w:id="916282883">
          <w:marLeft w:val="0"/>
          <w:marRight w:val="0"/>
          <w:marTop w:val="0"/>
          <w:marBottom w:val="0"/>
          <w:divBdr>
            <w:top w:val="none" w:sz="0" w:space="0" w:color="auto"/>
            <w:left w:val="none" w:sz="0" w:space="0" w:color="auto"/>
            <w:bottom w:val="none" w:sz="0" w:space="0" w:color="auto"/>
            <w:right w:val="none" w:sz="0" w:space="0" w:color="auto"/>
          </w:divBdr>
        </w:div>
        <w:div w:id="783234584">
          <w:marLeft w:val="0"/>
          <w:marRight w:val="0"/>
          <w:marTop w:val="0"/>
          <w:marBottom w:val="0"/>
          <w:divBdr>
            <w:top w:val="none" w:sz="0" w:space="0" w:color="auto"/>
            <w:left w:val="none" w:sz="0" w:space="0" w:color="auto"/>
            <w:bottom w:val="none" w:sz="0" w:space="0" w:color="auto"/>
            <w:right w:val="none" w:sz="0" w:space="0" w:color="auto"/>
          </w:divBdr>
        </w:div>
        <w:div w:id="1450707550">
          <w:marLeft w:val="0"/>
          <w:marRight w:val="0"/>
          <w:marTop w:val="0"/>
          <w:marBottom w:val="0"/>
          <w:divBdr>
            <w:top w:val="none" w:sz="0" w:space="0" w:color="auto"/>
            <w:left w:val="none" w:sz="0" w:space="0" w:color="auto"/>
            <w:bottom w:val="none" w:sz="0" w:space="0" w:color="auto"/>
            <w:right w:val="none" w:sz="0" w:space="0" w:color="auto"/>
          </w:divBdr>
        </w:div>
        <w:div w:id="1282224201">
          <w:marLeft w:val="0"/>
          <w:marRight w:val="0"/>
          <w:marTop w:val="0"/>
          <w:marBottom w:val="0"/>
          <w:divBdr>
            <w:top w:val="none" w:sz="0" w:space="0" w:color="auto"/>
            <w:left w:val="none" w:sz="0" w:space="0" w:color="auto"/>
            <w:bottom w:val="none" w:sz="0" w:space="0" w:color="auto"/>
            <w:right w:val="none" w:sz="0" w:space="0" w:color="auto"/>
          </w:divBdr>
        </w:div>
        <w:div w:id="1838496876">
          <w:marLeft w:val="0"/>
          <w:marRight w:val="0"/>
          <w:marTop w:val="0"/>
          <w:marBottom w:val="0"/>
          <w:divBdr>
            <w:top w:val="none" w:sz="0" w:space="0" w:color="auto"/>
            <w:left w:val="none" w:sz="0" w:space="0" w:color="auto"/>
            <w:bottom w:val="none" w:sz="0" w:space="0" w:color="auto"/>
            <w:right w:val="none" w:sz="0" w:space="0" w:color="auto"/>
          </w:divBdr>
        </w:div>
        <w:div w:id="85418074">
          <w:marLeft w:val="0"/>
          <w:marRight w:val="0"/>
          <w:marTop w:val="0"/>
          <w:marBottom w:val="0"/>
          <w:divBdr>
            <w:top w:val="none" w:sz="0" w:space="0" w:color="auto"/>
            <w:left w:val="none" w:sz="0" w:space="0" w:color="auto"/>
            <w:bottom w:val="none" w:sz="0" w:space="0" w:color="auto"/>
            <w:right w:val="none" w:sz="0" w:space="0" w:color="auto"/>
          </w:divBdr>
        </w:div>
        <w:div w:id="91122419">
          <w:marLeft w:val="0"/>
          <w:marRight w:val="0"/>
          <w:marTop w:val="0"/>
          <w:marBottom w:val="0"/>
          <w:divBdr>
            <w:top w:val="none" w:sz="0" w:space="0" w:color="auto"/>
            <w:left w:val="none" w:sz="0" w:space="0" w:color="auto"/>
            <w:bottom w:val="none" w:sz="0" w:space="0" w:color="auto"/>
            <w:right w:val="none" w:sz="0" w:space="0" w:color="auto"/>
          </w:divBdr>
        </w:div>
        <w:div w:id="167410219">
          <w:marLeft w:val="0"/>
          <w:marRight w:val="0"/>
          <w:marTop w:val="0"/>
          <w:marBottom w:val="0"/>
          <w:divBdr>
            <w:top w:val="none" w:sz="0" w:space="0" w:color="auto"/>
            <w:left w:val="none" w:sz="0" w:space="0" w:color="auto"/>
            <w:bottom w:val="none" w:sz="0" w:space="0" w:color="auto"/>
            <w:right w:val="none" w:sz="0" w:space="0" w:color="auto"/>
          </w:divBdr>
        </w:div>
        <w:div w:id="1781560547">
          <w:marLeft w:val="0"/>
          <w:marRight w:val="0"/>
          <w:marTop w:val="0"/>
          <w:marBottom w:val="0"/>
          <w:divBdr>
            <w:top w:val="none" w:sz="0" w:space="0" w:color="auto"/>
            <w:left w:val="none" w:sz="0" w:space="0" w:color="auto"/>
            <w:bottom w:val="none" w:sz="0" w:space="0" w:color="auto"/>
            <w:right w:val="none" w:sz="0" w:space="0" w:color="auto"/>
          </w:divBdr>
        </w:div>
        <w:div w:id="1310746350">
          <w:marLeft w:val="0"/>
          <w:marRight w:val="0"/>
          <w:marTop w:val="0"/>
          <w:marBottom w:val="0"/>
          <w:divBdr>
            <w:top w:val="none" w:sz="0" w:space="0" w:color="auto"/>
            <w:left w:val="none" w:sz="0" w:space="0" w:color="auto"/>
            <w:bottom w:val="none" w:sz="0" w:space="0" w:color="auto"/>
            <w:right w:val="none" w:sz="0" w:space="0" w:color="auto"/>
          </w:divBdr>
        </w:div>
        <w:div w:id="1422993686">
          <w:marLeft w:val="0"/>
          <w:marRight w:val="0"/>
          <w:marTop w:val="0"/>
          <w:marBottom w:val="0"/>
          <w:divBdr>
            <w:top w:val="none" w:sz="0" w:space="0" w:color="auto"/>
            <w:left w:val="none" w:sz="0" w:space="0" w:color="auto"/>
            <w:bottom w:val="none" w:sz="0" w:space="0" w:color="auto"/>
            <w:right w:val="none" w:sz="0" w:space="0" w:color="auto"/>
          </w:divBdr>
        </w:div>
        <w:div w:id="1424448105">
          <w:marLeft w:val="0"/>
          <w:marRight w:val="0"/>
          <w:marTop w:val="0"/>
          <w:marBottom w:val="0"/>
          <w:divBdr>
            <w:top w:val="none" w:sz="0" w:space="0" w:color="auto"/>
            <w:left w:val="none" w:sz="0" w:space="0" w:color="auto"/>
            <w:bottom w:val="none" w:sz="0" w:space="0" w:color="auto"/>
            <w:right w:val="none" w:sz="0" w:space="0" w:color="auto"/>
          </w:divBdr>
        </w:div>
        <w:div w:id="222379007">
          <w:marLeft w:val="0"/>
          <w:marRight w:val="0"/>
          <w:marTop w:val="0"/>
          <w:marBottom w:val="0"/>
          <w:divBdr>
            <w:top w:val="none" w:sz="0" w:space="0" w:color="auto"/>
            <w:left w:val="none" w:sz="0" w:space="0" w:color="auto"/>
            <w:bottom w:val="none" w:sz="0" w:space="0" w:color="auto"/>
            <w:right w:val="none" w:sz="0" w:space="0" w:color="auto"/>
          </w:divBdr>
        </w:div>
        <w:div w:id="779033735">
          <w:marLeft w:val="0"/>
          <w:marRight w:val="0"/>
          <w:marTop w:val="0"/>
          <w:marBottom w:val="0"/>
          <w:divBdr>
            <w:top w:val="none" w:sz="0" w:space="0" w:color="auto"/>
            <w:left w:val="none" w:sz="0" w:space="0" w:color="auto"/>
            <w:bottom w:val="none" w:sz="0" w:space="0" w:color="auto"/>
            <w:right w:val="none" w:sz="0" w:space="0" w:color="auto"/>
          </w:divBdr>
        </w:div>
        <w:div w:id="171846027">
          <w:marLeft w:val="0"/>
          <w:marRight w:val="0"/>
          <w:marTop w:val="0"/>
          <w:marBottom w:val="0"/>
          <w:divBdr>
            <w:top w:val="none" w:sz="0" w:space="0" w:color="auto"/>
            <w:left w:val="none" w:sz="0" w:space="0" w:color="auto"/>
            <w:bottom w:val="none" w:sz="0" w:space="0" w:color="auto"/>
            <w:right w:val="none" w:sz="0" w:space="0" w:color="auto"/>
          </w:divBdr>
        </w:div>
        <w:div w:id="1600723019">
          <w:marLeft w:val="0"/>
          <w:marRight w:val="0"/>
          <w:marTop w:val="0"/>
          <w:marBottom w:val="0"/>
          <w:divBdr>
            <w:top w:val="none" w:sz="0" w:space="0" w:color="auto"/>
            <w:left w:val="none" w:sz="0" w:space="0" w:color="auto"/>
            <w:bottom w:val="none" w:sz="0" w:space="0" w:color="auto"/>
            <w:right w:val="none" w:sz="0" w:space="0" w:color="auto"/>
          </w:divBdr>
        </w:div>
        <w:div w:id="1906719723">
          <w:marLeft w:val="0"/>
          <w:marRight w:val="0"/>
          <w:marTop w:val="0"/>
          <w:marBottom w:val="0"/>
          <w:divBdr>
            <w:top w:val="none" w:sz="0" w:space="0" w:color="auto"/>
            <w:left w:val="none" w:sz="0" w:space="0" w:color="auto"/>
            <w:bottom w:val="none" w:sz="0" w:space="0" w:color="auto"/>
            <w:right w:val="none" w:sz="0" w:space="0" w:color="auto"/>
          </w:divBdr>
        </w:div>
        <w:div w:id="825584317">
          <w:marLeft w:val="0"/>
          <w:marRight w:val="0"/>
          <w:marTop w:val="0"/>
          <w:marBottom w:val="0"/>
          <w:divBdr>
            <w:top w:val="none" w:sz="0" w:space="0" w:color="auto"/>
            <w:left w:val="none" w:sz="0" w:space="0" w:color="auto"/>
            <w:bottom w:val="none" w:sz="0" w:space="0" w:color="auto"/>
            <w:right w:val="none" w:sz="0" w:space="0" w:color="auto"/>
          </w:divBdr>
        </w:div>
        <w:div w:id="1993216871">
          <w:marLeft w:val="0"/>
          <w:marRight w:val="0"/>
          <w:marTop w:val="0"/>
          <w:marBottom w:val="0"/>
          <w:divBdr>
            <w:top w:val="none" w:sz="0" w:space="0" w:color="auto"/>
            <w:left w:val="none" w:sz="0" w:space="0" w:color="auto"/>
            <w:bottom w:val="none" w:sz="0" w:space="0" w:color="auto"/>
            <w:right w:val="none" w:sz="0" w:space="0" w:color="auto"/>
          </w:divBdr>
        </w:div>
        <w:div w:id="1921480396">
          <w:marLeft w:val="0"/>
          <w:marRight w:val="0"/>
          <w:marTop w:val="0"/>
          <w:marBottom w:val="0"/>
          <w:divBdr>
            <w:top w:val="none" w:sz="0" w:space="0" w:color="auto"/>
            <w:left w:val="none" w:sz="0" w:space="0" w:color="auto"/>
            <w:bottom w:val="none" w:sz="0" w:space="0" w:color="auto"/>
            <w:right w:val="none" w:sz="0" w:space="0" w:color="auto"/>
          </w:divBdr>
        </w:div>
        <w:div w:id="449129826">
          <w:marLeft w:val="0"/>
          <w:marRight w:val="0"/>
          <w:marTop w:val="0"/>
          <w:marBottom w:val="0"/>
          <w:divBdr>
            <w:top w:val="none" w:sz="0" w:space="0" w:color="auto"/>
            <w:left w:val="none" w:sz="0" w:space="0" w:color="auto"/>
            <w:bottom w:val="none" w:sz="0" w:space="0" w:color="auto"/>
            <w:right w:val="none" w:sz="0" w:space="0" w:color="auto"/>
          </w:divBdr>
        </w:div>
        <w:div w:id="489828589">
          <w:marLeft w:val="0"/>
          <w:marRight w:val="0"/>
          <w:marTop w:val="0"/>
          <w:marBottom w:val="0"/>
          <w:divBdr>
            <w:top w:val="none" w:sz="0" w:space="0" w:color="auto"/>
            <w:left w:val="none" w:sz="0" w:space="0" w:color="auto"/>
            <w:bottom w:val="none" w:sz="0" w:space="0" w:color="auto"/>
            <w:right w:val="none" w:sz="0" w:space="0" w:color="auto"/>
          </w:divBdr>
        </w:div>
        <w:div w:id="26494818">
          <w:marLeft w:val="0"/>
          <w:marRight w:val="0"/>
          <w:marTop w:val="0"/>
          <w:marBottom w:val="0"/>
          <w:divBdr>
            <w:top w:val="none" w:sz="0" w:space="0" w:color="auto"/>
            <w:left w:val="none" w:sz="0" w:space="0" w:color="auto"/>
            <w:bottom w:val="none" w:sz="0" w:space="0" w:color="auto"/>
            <w:right w:val="none" w:sz="0" w:space="0" w:color="auto"/>
          </w:divBdr>
        </w:div>
        <w:div w:id="96485184">
          <w:marLeft w:val="0"/>
          <w:marRight w:val="0"/>
          <w:marTop w:val="0"/>
          <w:marBottom w:val="0"/>
          <w:divBdr>
            <w:top w:val="none" w:sz="0" w:space="0" w:color="auto"/>
            <w:left w:val="none" w:sz="0" w:space="0" w:color="auto"/>
            <w:bottom w:val="none" w:sz="0" w:space="0" w:color="auto"/>
            <w:right w:val="none" w:sz="0" w:space="0" w:color="auto"/>
          </w:divBdr>
        </w:div>
        <w:div w:id="167214223">
          <w:marLeft w:val="0"/>
          <w:marRight w:val="0"/>
          <w:marTop w:val="0"/>
          <w:marBottom w:val="0"/>
          <w:divBdr>
            <w:top w:val="none" w:sz="0" w:space="0" w:color="auto"/>
            <w:left w:val="none" w:sz="0" w:space="0" w:color="auto"/>
            <w:bottom w:val="none" w:sz="0" w:space="0" w:color="auto"/>
            <w:right w:val="none" w:sz="0" w:space="0" w:color="auto"/>
          </w:divBdr>
        </w:div>
        <w:div w:id="729765091">
          <w:marLeft w:val="0"/>
          <w:marRight w:val="0"/>
          <w:marTop w:val="0"/>
          <w:marBottom w:val="0"/>
          <w:divBdr>
            <w:top w:val="none" w:sz="0" w:space="0" w:color="auto"/>
            <w:left w:val="none" w:sz="0" w:space="0" w:color="auto"/>
            <w:bottom w:val="none" w:sz="0" w:space="0" w:color="auto"/>
            <w:right w:val="none" w:sz="0" w:space="0" w:color="auto"/>
          </w:divBdr>
        </w:div>
        <w:div w:id="444472335">
          <w:marLeft w:val="0"/>
          <w:marRight w:val="0"/>
          <w:marTop w:val="0"/>
          <w:marBottom w:val="0"/>
          <w:divBdr>
            <w:top w:val="none" w:sz="0" w:space="0" w:color="auto"/>
            <w:left w:val="none" w:sz="0" w:space="0" w:color="auto"/>
            <w:bottom w:val="none" w:sz="0" w:space="0" w:color="auto"/>
            <w:right w:val="none" w:sz="0" w:space="0" w:color="auto"/>
          </w:divBdr>
        </w:div>
        <w:div w:id="2096854213">
          <w:marLeft w:val="0"/>
          <w:marRight w:val="0"/>
          <w:marTop w:val="0"/>
          <w:marBottom w:val="0"/>
          <w:divBdr>
            <w:top w:val="none" w:sz="0" w:space="0" w:color="auto"/>
            <w:left w:val="none" w:sz="0" w:space="0" w:color="auto"/>
            <w:bottom w:val="none" w:sz="0" w:space="0" w:color="auto"/>
            <w:right w:val="none" w:sz="0" w:space="0" w:color="auto"/>
          </w:divBdr>
        </w:div>
        <w:div w:id="1508208100">
          <w:marLeft w:val="0"/>
          <w:marRight w:val="0"/>
          <w:marTop w:val="0"/>
          <w:marBottom w:val="0"/>
          <w:divBdr>
            <w:top w:val="none" w:sz="0" w:space="0" w:color="auto"/>
            <w:left w:val="none" w:sz="0" w:space="0" w:color="auto"/>
            <w:bottom w:val="none" w:sz="0" w:space="0" w:color="auto"/>
            <w:right w:val="none" w:sz="0" w:space="0" w:color="auto"/>
          </w:divBdr>
        </w:div>
        <w:div w:id="1982924798">
          <w:marLeft w:val="0"/>
          <w:marRight w:val="0"/>
          <w:marTop w:val="0"/>
          <w:marBottom w:val="0"/>
          <w:divBdr>
            <w:top w:val="none" w:sz="0" w:space="0" w:color="auto"/>
            <w:left w:val="none" w:sz="0" w:space="0" w:color="auto"/>
            <w:bottom w:val="none" w:sz="0" w:space="0" w:color="auto"/>
            <w:right w:val="none" w:sz="0" w:space="0" w:color="auto"/>
          </w:divBdr>
        </w:div>
        <w:div w:id="922686330">
          <w:marLeft w:val="0"/>
          <w:marRight w:val="0"/>
          <w:marTop w:val="0"/>
          <w:marBottom w:val="0"/>
          <w:divBdr>
            <w:top w:val="none" w:sz="0" w:space="0" w:color="auto"/>
            <w:left w:val="none" w:sz="0" w:space="0" w:color="auto"/>
            <w:bottom w:val="none" w:sz="0" w:space="0" w:color="auto"/>
            <w:right w:val="none" w:sz="0" w:space="0" w:color="auto"/>
          </w:divBdr>
        </w:div>
        <w:div w:id="1332298114">
          <w:marLeft w:val="0"/>
          <w:marRight w:val="0"/>
          <w:marTop w:val="0"/>
          <w:marBottom w:val="0"/>
          <w:divBdr>
            <w:top w:val="none" w:sz="0" w:space="0" w:color="auto"/>
            <w:left w:val="none" w:sz="0" w:space="0" w:color="auto"/>
            <w:bottom w:val="none" w:sz="0" w:space="0" w:color="auto"/>
            <w:right w:val="none" w:sz="0" w:space="0" w:color="auto"/>
          </w:divBdr>
        </w:div>
        <w:div w:id="1079255988">
          <w:marLeft w:val="0"/>
          <w:marRight w:val="0"/>
          <w:marTop w:val="0"/>
          <w:marBottom w:val="0"/>
          <w:divBdr>
            <w:top w:val="none" w:sz="0" w:space="0" w:color="auto"/>
            <w:left w:val="none" w:sz="0" w:space="0" w:color="auto"/>
            <w:bottom w:val="none" w:sz="0" w:space="0" w:color="auto"/>
            <w:right w:val="none" w:sz="0" w:space="0" w:color="auto"/>
          </w:divBdr>
        </w:div>
        <w:div w:id="819614804">
          <w:marLeft w:val="0"/>
          <w:marRight w:val="0"/>
          <w:marTop w:val="0"/>
          <w:marBottom w:val="0"/>
          <w:divBdr>
            <w:top w:val="none" w:sz="0" w:space="0" w:color="auto"/>
            <w:left w:val="none" w:sz="0" w:space="0" w:color="auto"/>
            <w:bottom w:val="none" w:sz="0" w:space="0" w:color="auto"/>
            <w:right w:val="none" w:sz="0" w:space="0" w:color="auto"/>
          </w:divBdr>
        </w:div>
        <w:div w:id="1130052251">
          <w:marLeft w:val="0"/>
          <w:marRight w:val="0"/>
          <w:marTop w:val="0"/>
          <w:marBottom w:val="0"/>
          <w:divBdr>
            <w:top w:val="none" w:sz="0" w:space="0" w:color="auto"/>
            <w:left w:val="none" w:sz="0" w:space="0" w:color="auto"/>
            <w:bottom w:val="none" w:sz="0" w:space="0" w:color="auto"/>
            <w:right w:val="none" w:sz="0" w:space="0" w:color="auto"/>
          </w:divBdr>
        </w:div>
        <w:div w:id="1838569942">
          <w:marLeft w:val="0"/>
          <w:marRight w:val="0"/>
          <w:marTop w:val="0"/>
          <w:marBottom w:val="0"/>
          <w:divBdr>
            <w:top w:val="none" w:sz="0" w:space="0" w:color="auto"/>
            <w:left w:val="none" w:sz="0" w:space="0" w:color="auto"/>
            <w:bottom w:val="none" w:sz="0" w:space="0" w:color="auto"/>
            <w:right w:val="none" w:sz="0" w:space="0" w:color="auto"/>
          </w:divBdr>
        </w:div>
        <w:div w:id="144976077">
          <w:marLeft w:val="0"/>
          <w:marRight w:val="0"/>
          <w:marTop w:val="0"/>
          <w:marBottom w:val="0"/>
          <w:divBdr>
            <w:top w:val="none" w:sz="0" w:space="0" w:color="auto"/>
            <w:left w:val="none" w:sz="0" w:space="0" w:color="auto"/>
            <w:bottom w:val="none" w:sz="0" w:space="0" w:color="auto"/>
            <w:right w:val="none" w:sz="0" w:space="0" w:color="auto"/>
          </w:divBdr>
        </w:div>
        <w:div w:id="1294482179">
          <w:marLeft w:val="0"/>
          <w:marRight w:val="0"/>
          <w:marTop w:val="0"/>
          <w:marBottom w:val="0"/>
          <w:divBdr>
            <w:top w:val="none" w:sz="0" w:space="0" w:color="auto"/>
            <w:left w:val="none" w:sz="0" w:space="0" w:color="auto"/>
            <w:bottom w:val="none" w:sz="0" w:space="0" w:color="auto"/>
            <w:right w:val="none" w:sz="0" w:space="0" w:color="auto"/>
          </w:divBdr>
        </w:div>
        <w:div w:id="115880851">
          <w:marLeft w:val="0"/>
          <w:marRight w:val="0"/>
          <w:marTop w:val="0"/>
          <w:marBottom w:val="0"/>
          <w:divBdr>
            <w:top w:val="none" w:sz="0" w:space="0" w:color="auto"/>
            <w:left w:val="none" w:sz="0" w:space="0" w:color="auto"/>
            <w:bottom w:val="none" w:sz="0" w:space="0" w:color="auto"/>
            <w:right w:val="none" w:sz="0" w:space="0" w:color="auto"/>
          </w:divBdr>
        </w:div>
        <w:div w:id="633681024">
          <w:marLeft w:val="0"/>
          <w:marRight w:val="0"/>
          <w:marTop w:val="0"/>
          <w:marBottom w:val="0"/>
          <w:divBdr>
            <w:top w:val="none" w:sz="0" w:space="0" w:color="auto"/>
            <w:left w:val="none" w:sz="0" w:space="0" w:color="auto"/>
            <w:bottom w:val="none" w:sz="0" w:space="0" w:color="auto"/>
            <w:right w:val="none" w:sz="0" w:space="0" w:color="auto"/>
          </w:divBdr>
        </w:div>
        <w:div w:id="1026102517">
          <w:marLeft w:val="0"/>
          <w:marRight w:val="0"/>
          <w:marTop w:val="0"/>
          <w:marBottom w:val="0"/>
          <w:divBdr>
            <w:top w:val="none" w:sz="0" w:space="0" w:color="auto"/>
            <w:left w:val="none" w:sz="0" w:space="0" w:color="auto"/>
            <w:bottom w:val="none" w:sz="0" w:space="0" w:color="auto"/>
            <w:right w:val="none" w:sz="0" w:space="0" w:color="auto"/>
          </w:divBdr>
        </w:div>
        <w:div w:id="405690491">
          <w:marLeft w:val="0"/>
          <w:marRight w:val="0"/>
          <w:marTop w:val="0"/>
          <w:marBottom w:val="0"/>
          <w:divBdr>
            <w:top w:val="none" w:sz="0" w:space="0" w:color="auto"/>
            <w:left w:val="none" w:sz="0" w:space="0" w:color="auto"/>
            <w:bottom w:val="none" w:sz="0" w:space="0" w:color="auto"/>
            <w:right w:val="none" w:sz="0" w:space="0" w:color="auto"/>
          </w:divBdr>
        </w:div>
        <w:div w:id="318270694">
          <w:marLeft w:val="0"/>
          <w:marRight w:val="0"/>
          <w:marTop w:val="0"/>
          <w:marBottom w:val="0"/>
          <w:divBdr>
            <w:top w:val="none" w:sz="0" w:space="0" w:color="auto"/>
            <w:left w:val="none" w:sz="0" w:space="0" w:color="auto"/>
            <w:bottom w:val="none" w:sz="0" w:space="0" w:color="auto"/>
            <w:right w:val="none" w:sz="0" w:space="0" w:color="auto"/>
          </w:divBdr>
        </w:div>
      </w:divsChild>
    </w:div>
    <w:div w:id="1720321580">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8B28-DE47-49D5-A4AD-DA3E3183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4.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5.xml><?xml version="1.0" encoding="utf-8"?>
<ds:datastoreItem xmlns:ds="http://schemas.openxmlformats.org/officeDocument/2006/customXml" ds:itemID="{9092B523-521B-4F01-8DAB-0EC284B7888D}">
  <ds:schemaRefs>
    <ds:schemaRef ds:uri="office.server.policy"/>
  </ds:schemaRefs>
</ds:datastoreItem>
</file>

<file path=customXml/itemProps6.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7.xml><?xml version="1.0" encoding="utf-8"?>
<ds:datastoreItem xmlns:ds="http://schemas.openxmlformats.org/officeDocument/2006/customXml" ds:itemID="{92973B52-8BAB-4767-B6CD-5447F4A6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Template>
  <TotalTime>2</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6441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Hockings, Jessica</cp:lastModifiedBy>
  <cp:revision>5</cp:revision>
  <cp:lastPrinted>2016-06-21T06:19:00Z</cp:lastPrinted>
  <dcterms:created xsi:type="dcterms:W3CDTF">2016-06-21T23:31:00Z</dcterms:created>
  <dcterms:modified xsi:type="dcterms:W3CDTF">2016-06-22T01:24:00Z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