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418" w:rsidRPr="00D84669" w:rsidRDefault="00CC0418" w:rsidP="00CC0418">
      <w:pPr>
        <w:jc w:val="center"/>
        <w:rPr>
          <w:b/>
          <w:sz w:val="28"/>
          <w:szCs w:val="28"/>
          <w:u w:val="single"/>
        </w:rPr>
      </w:pPr>
      <w:r w:rsidRPr="00D84669">
        <w:rPr>
          <w:b/>
          <w:sz w:val="28"/>
          <w:szCs w:val="28"/>
          <w:u w:val="single"/>
        </w:rPr>
        <w:t>EXPLANATORY STATEMENT</w:t>
      </w:r>
    </w:p>
    <w:p w:rsidR="00CC0418" w:rsidRPr="00D84669" w:rsidRDefault="00CC0418" w:rsidP="00CC0418">
      <w:pPr>
        <w:jc w:val="center"/>
        <w:rPr>
          <w:b/>
          <w:sz w:val="22"/>
          <w:szCs w:val="22"/>
          <w:u w:val="single"/>
        </w:rPr>
      </w:pPr>
    </w:p>
    <w:p w:rsidR="00CC0418" w:rsidRPr="00D84669" w:rsidRDefault="00CC0418" w:rsidP="00CC0418">
      <w:pPr>
        <w:jc w:val="center"/>
        <w:rPr>
          <w:b/>
          <w:sz w:val="22"/>
          <w:szCs w:val="22"/>
          <w:u w:val="single"/>
        </w:rPr>
      </w:pPr>
    </w:p>
    <w:p w:rsidR="00CC0418" w:rsidRPr="00D84669" w:rsidRDefault="00CC0418" w:rsidP="00EB5B91">
      <w:pPr>
        <w:jc w:val="center"/>
        <w:rPr>
          <w:u w:val="single"/>
        </w:rPr>
      </w:pPr>
      <w:r w:rsidRPr="00D84669">
        <w:rPr>
          <w:u w:val="single"/>
        </w:rPr>
        <w:t xml:space="preserve">Issued by the Authority of the Minister for </w:t>
      </w:r>
      <w:r w:rsidR="005F44DC">
        <w:rPr>
          <w:u w:val="single"/>
        </w:rPr>
        <w:t>Resources, Energy and Northern Australia</w:t>
      </w:r>
    </w:p>
    <w:p w:rsidR="00CC0418" w:rsidRPr="00D84669" w:rsidRDefault="00CC0418" w:rsidP="00CC0418">
      <w:pPr>
        <w:jc w:val="center"/>
        <w:rPr>
          <w:u w:val="single"/>
        </w:rPr>
      </w:pPr>
    </w:p>
    <w:p w:rsidR="00CC0418" w:rsidRPr="00D84669" w:rsidRDefault="00CC0418" w:rsidP="00CC0418">
      <w:pPr>
        <w:jc w:val="center"/>
      </w:pPr>
      <w:r w:rsidRPr="00D84669">
        <w:rPr>
          <w:i/>
        </w:rPr>
        <w:t xml:space="preserve">Building Energy Efficiency Disclosure Act 2010 </w:t>
      </w:r>
      <w:r w:rsidRPr="00D84669">
        <w:t>(the Act)</w:t>
      </w:r>
    </w:p>
    <w:p w:rsidR="00CC0418" w:rsidRPr="00D84669" w:rsidRDefault="00CC0418" w:rsidP="00CC0418">
      <w:pPr>
        <w:jc w:val="center"/>
        <w:rPr>
          <w:i/>
        </w:rPr>
      </w:pPr>
    </w:p>
    <w:p w:rsidR="00CC0418" w:rsidRPr="00D84669" w:rsidRDefault="00CC0418" w:rsidP="00CC0418">
      <w:pPr>
        <w:jc w:val="center"/>
      </w:pPr>
      <w:r w:rsidRPr="00D84669">
        <w:rPr>
          <w:i/>
        </w:rPr>
        <w:t>Building Energy Efficiency Disclosure (Disclosure Affected Buildings) Determination </w:t>
      </w:r>
      <w:r w:rsidR="00F42D94" w:rsidRPr="00D84669">
        <w:rPr>
          <w:i/>
        </w:rPr>
        <w:t>201</w:t>
      </w:r>
      <w:r w:rsidR="0008782D">
        <w:rPr>
          <w:i/>
        </w:rPr>
        <w:t>6</w:t>
      </w:r>
      <w:r w:rsidRPr="00D84669">
        <w:rPr>
          <w:i/>
        </w:rPr>
        <w:t xml:space="preserve"> </w:t>
      </w:r>
      <w:r w:rsidRPr="00D84669">
        <w:t>(the Determination)</w:t>
      </w:r>
    </w:p>
    <w:p w:rsidR="00CC0418" w:rsidRPr="00D84669" w:rsidRDefault="00CC0418" w:rsidP="00CC0418">
      <w:pPr>
        <w:jc w:val="center"/>
        <w:rPr>
          <w:i/>
          <w:sz w:val="22"/>
          <w:szCs w:val="22"/>
        </w:rPr>
      </w:pPr>
    </w:p>
    <w:p w:rsidR="009F040B" w:rsidRDefault="005F44DC" w:rsidP="005F44DC">
      <w:pPr>
        <w:spacing w:before="120" w:after="240"/>
        <w:rPr>
          <w:sz w:val="22"/>
          <w:szCs w:val="22"/>
        </w:rPr>
      </w:pPr>
      <w:r w:rsidRPr="005F44DC">
        <w:rPr>
          <w:b/>
          <w:sz w:val="22"/>
          <w:szCs w:val="22"/>
        </w:rPr>
        <w:t>Purpose and</w:t>
      </w:r>
      <w:r>
        <w:rPr>
          <w:sz w:val="22"/>
          <w:szCs w:val="22"/>
        </w:rPr>
        <w:t xml:space="preserve"> </w:t>
      </w:r>
      <w:r w:rsidRPr="005F44DC">
        <w:rPr>
          <w:b/>
          <w:sz w:val="22"/>
          <w:szCs w:val="22"/>
        </w:rPr>
        <w:t>Operation</w:t>
      </w:r>
    </w:p>
    <w:p w:rsidR="00CC0418" w:rsidRPr="00ED3EBB" w:rsidRDefault="00CC0418" w:rsidP="00CC0418">
      <w:pPr>
        <w:rPr>
          <w:sz w:val="22"/>
          <w:szCs w:val="22"/>
        </w:rPr>
      </w:pPr>
      <w:r w:rsidRPr="00ED3EBB">
        <w:rPr>
          <w:sz w:val="22"/>
          <w:szCs w:val="22"/>
        </w:rPr>
        <w:t xml:space="preserve">The Act establishes </w:t>
      </w:r>
      <w:r w:rsidR="00033C13" w:rsidRPr="00ED3EBB">
        <w:rPr>
          <w:sz w:val="22"/>
          <w:szCs w:val="22"/>
        </w:rPr>
        <w:t>the Commercial Building Disclosure (CBD) Programme, which requires</w:t>
      </w:r>
      <w:r w:rsidRPr="00ED3EBB">
        <w:rPr>
          <w:sz w:val="22"/>
          <w:szCs w:val="22"/>
        </w:rPr>
        <w:t xml:space="preserve"> public disclosure of energy efficiency information relating to large commercial office spaces</w:t>
      </w:r>
      <w:r w:rsidR="000315F4" w:rsidRPr="00ED3EBB">
        <w:rPr>
          <w:sz w:val="22"/>
          <w:szCs w:val="22"/>
        </w:rPr>
        <w:t xml:space="preserve">. </w:t>
      </w:r>
      <w:r w:rsidRPr="00ED3EBB">
        <w:rPr>
          <w:sz w:val="22"/>
          <w:szCs w:val="22"/>
        </w:rPr>
        <w:t xml:space="preserve">The </w:t>
      </w:r>
      <w:r w:rsidR="00033C13" w:rsidRPr="00ED3EBB">
        <w:rPr>
          <w:sz w:val="22"/>
          <w:szCs w:val="22"/>
        </w:rPr>
        <w:t xml:space="preserve">CBD Programme </w:t>
      </w:r>
      <w:r w:rsidRPr="00ED3EBB">
        <w:rPr>
          <w:sz w:val="22"/>
          <w:szCs w:val="22"/>
        </w:rPr>
        <w:t>is intended to enable prospective purchasers and tenants to access consistent and accurate energy efficiency information about office spaces, to better inform sale and leasing decisions.</w:t>
      </w:r>
    </w:p>
    <w:p w:rsidR="00CC0418" w:rsidRPr="00ED3EBB" w:rsidRDefault="00CC0418" w:rsidP="00CC0418">
      <w:pPr>
        <w:rPr>
          <w:sz w:val="22"/>
          <w:szCs w:val="22"/>
        </w:rPr>
      </w:pPr>
    </w:p>
    <w:p w:rsidR="00A10854" w:rsidRPr="00ED3EBB" w:rsidRDefault="006316AA" w:rsidP="006316AA">
      <w:pPr>
        <w:rPr>
          <w:sz w:val="22"/>
          <w:szCs w:val="22"/>
        </w:rPr>
      </w:pPr>
      <w:r w:rsidRPr="00ED3EBB">
        <w:rPr>
          <w:sz w:val="22"/>
          <w:szCs w:val="22"/>
        </w:rPr>
        <w:t xml:space="preserve">Subsection 10(1) of the Act provides that the Minister may, by legislative instrument, determine that a specified kind of building is disclosure affected.  Subsection 10(2) provides that the Minister may, by legislative instrument, determine that a specified kind of area of a building is disclosure affected. </w:t>
      </w:r>
    </w:p>
    <w:p w:rsidR="004A724A" w:rsidRPr="00ED3EBB" w:rsidRDefault="004A724A" w:rsidP="006316AA">
      <w:pPr>
        <w:rPr>
          <w:sz w:val="22"/>
          <w:szCs w:val="22"/>
        </w:rPr>
      </w:pPr>
    </w:p>
    <w:p w:rsidR="00A10854" w:rsidRPr="00ED3EBB" w:rsidRDefault="00A10854" w:rsidP="006316AA">
      <w:pPr>
        <w:rPr>
          <w:sz w:val="22"/>
          <w:szCs w:val="22"/>
        </w:rPr>
      </w:pPr>
      <w:r w:rsidRPr="00ED3EBB">
        <w:rPr>
          <w:sz w:val="22"/>
          <w:szCs w:val="22"/>
        </w:rPr>
        <w:t xml:space="preserve">Following amendments to the Act and the </w:t>
      </w:r>
      <w:r w:rsidRPr="00ED3EBB">
        <w:rPr>
          <w:i/>
          <w:sz w:val="22"/>
          <w:szCs w:val="22"/>
        </w:rPr>
        <w:t xml:space="preserve">Building Energy Efficiency Disclosure Regulations 2010 </w:t>
      </w:r>
      <w:r w:rsidRPr="00ED3EBB">
        <w:rPr>
          <w:sz w:val="22"/>
          <w:szCs w:val="22"/>
        </w:rPr>
        <w:t>(the Regulations) which took effect from July 2015, changes to the former Determination were needed.</w:t>
      </w:r>
    </w:p>
    <w:p w:rsidR="00544D99" w:rsidRDefault="00544D99" w:rsidP="00544D99">
      <w:pPr>
        <w:rPr>
          <w:sz w:val="22"/>
          <w:szCs w:val="22"/>
        </w:rPr>
      </w:pPr>
    </w:p>
    <w:p w:rsidR="006316AA" w:rsidRPr="003E0F7E" w:rsidRDefault="00544D99" w:rsidP="001E6120">
      <w:pPr>
        <w:rPr>
          <w:sz w:val="22"/>
          <w:szCs w:val="22"/>
        </w:rPr>
      </w:pPr>
      <w:r w:rsidRPr="003E0F7E">
        <w:rPr>
          <w:sz w:val="22"/>
          <w:szCs w:val="22"/>
        </w:rPr>
        <w:t xml:space="preserve">The purpose </w:t>
      </w:r>
      <w:bookmarkStart w:id="0" w:name="_GoBack"/>
      <w:r w:rsidRPr="003E0F7E">
        <w:rPr>
          <w:sz w:val="22"/>
          <w:szCs w:val="22"/>
        </w:rPr>
        <w:t>of the Determination is to specify the kinds of buildings</w:t>
      </w:r>
      <w:r w:rsidR="00E8124D" w:rsidRPr="003E0F7E">
        <w:rPr>
          <w:sz w:val="22"/>
          <w:szCs w:val="22"/>
        </w:rPr>
        <w:t>,</w:t>
      </w:r>
      <w:r w:rsidRPr="003E0F7E">
        <w:rPr>
          <w:sz w:val="22"/>
          <w:szCs w:val="22"/>
        </w:rPr>
        <w:t xml:space="preserve"> and areas of buildings</w:t>
      </w:r>
      <w:r w:rsidR="00E8124D" w:rsidRPr="003E0F7E">
        <w:rPr>
          <w:sz w:val="22"/>
          <w:szCs w:val="22"/>
        </w:rPr>
        <w:t>,</w:t>
      </w:r>
      <w:r w:rsidRPr="003E0F7E">
        <w:rPr>
          <w:sz w:val="22"/>
          <w:szCs w:val="22"/>
        </w:rPr>
        <w:t xml:space="preserve"> that are disclosure affected.</w:t>
      </w:r>
      <w:r w:rsidR="00722D70" w:rsidRPr="003E0F7E">
        <w:rPr>
          <w:sz w:val="22"/>
          <w:szCs w:val="22"/>
        </w:rPr>
        <w:t xml:space="preserve"> </w:t>
      </w:r>
      <w:r w:rsidR="00E8124D" w:rsidRPr="003E0F7E">
        <w:rPr>
          <w:sz w:val="22"/>
          <w:szCs w:val="22"/>
        </w:rPr>
        <w:t xml:space="preserve">The Determination outlines key considerations to determine </w:t>
      </w:r>
      <w:proofErr w:type="gramStart"/>
      <w:r w:rsidR="00E8124D" w:rsidRPr="003E0F7E">
        <w:rPr>
          <w:sz w:val="22"/>
          <w:szCs w:val="22"/>
        </w:rPr>
        <w:t>whether</w:t>
      </w:r>
      <w:proofErr w:type="gramEnd"/>
      <w:r w:rsidR="00E8124D" w:rsidRPr="003E0F7E">
        <w:rPr>
          <w:sz w:val="22"/>
          <w:szCs w:val="22"/>
        </w:rPr>
        <w:t xml:space="preserve"> or not a </w:t>
      </w:r>
      <w:r w:rsidR="00722D70" w:rsidRPr="003E0F7E">
        <w:rPr>
          <w:sz w:val="22"/>
          <w:szCs w:val="22"/>
        </w:rPr>
        <w:t>building,</w:t>
      </w:r>
      <w:r w:rsidR="00E8124D" w:rsidRPr="003E0F7E">
        <w:rPr>
          <w:sz w:val="22"/>
          <w:szCs w:val="22"/>
        </w:rPr>
        <w:t xml:space="preserve"> or area of a building</w:t>
      </w:r>
      <w:r w:rsidR="00722D70" w:rsidRPr="003E0F7E">
        <w:rPr>
          <w:sz w:val="22"/>
          <w:szCs w:val="22"/>
        </w:rPr>
        <w:t>,</w:t>
      </w:r>
      <w:r w:rsidR="00E8124D" w:rsidRPr="003E0F7E">
        <w:rPr>
          <w:sz w:val="22"/>
          <w:szCs w:val="22"/>
        </w:rPr>
        <w:t xml:space="preserve"> is disclosure affected or not. The considerations vary depending on whether the determination is being made before or after 1</w:t>
      </w:r>
      <w:r w:rsidR="0096206E">
        <w:rPr>
          <w:sz w:val="22"/>
          <w:szCs w:val="22"/>
        </w:rPr>
        <w:t> </w:t>
      </w:r>
      <w:r w:rsidR="00E8124D" w:rsidRPr="003E0F7E">
        <w:rPr>
          <w:sz w:val="22"/>
          <w:szCs w:val="22"/>
        </w:rPr>
        <w:t>July 2017</w:t>
      </w:r>
    </w:p>
    <w:bookmarkEnd w:id="0"/>
    <w:p w:rsidR="00722D70" w:rsidRPr="003E0F7E" w:rsidRDefault="00722D70" w:rsidP="001E6120">
      <w:pPr>
        <w:rPr>
          <w:sz w:val="22"/>
          <w:szCs w:val="22"/>
        </w:rPr>
      </w:pPr>
    </w:p>
    <w:p w:rsidR="00E8124D" w:rsidRPr="003E0F7E" w:rsidRDefault="00722D70" w:rsidP="001E6120">
      <w:pPr>
        <w:rPr>
          <w:sz w:val="22"/>
          <w:szCs w:val="22"/>
        </w:rPr>
      </w:pPr>
      <w:r w:rsidRPr="003E0F7E">
        <w:rPr>
          <w:sz w:val="22"/>
          <w:szCs w:val="22"/>
        </w:rPr>
        <w:t>The Determination lowers the mandatory disclosure threshold for disclosure affected buildings, and areas of a building, from 2000 square metres to 1000 square metres, with effect from 1 July 2017.</w:t>
      </w:r>
    </w:p>
    <w:p w:rsidR="00722D70" w:rsidRDefault="00722D70" w:rsidP="00722D70">
      <w:pPr>
        <w:rPr>
          <w:sz w:val="22"/>
          <w:szCs w:val="22"/>
        </w:rPr>
      </w:pPr>
    </w:p>
    <w:p w:rsidR="00A10854" w:rsidRDefault="00A10854" w:rsidP="00722D70">
      <w:pPr>
        <w:rPr>
          <w:sz w:val="22"/>
          <w:szCs w:val="22"/>
        </w:rPr>
      </w:pPr>
      <w:r>
        <w:rPr>
          <w:sz w:val="22"/>
          <w:szCs w:val="22"/>
        </w:rPr>
        <w:t>The Determination amends the definition of ‘major refurbishment’ to ensure it is consistent with the definition used in the amended Regulations.</w:t>
      </w:r>
    </w:p>
    <w:p w:rsidR="00A10854" w:rsidRDefault="00A10854" w:rsidP="00722D70">
      <w:pPr>
        <w:rPr>
          <w:sz w:val="22"/>
          <w:szCs w:val="22"/>
        </w:rPr>
      </w:pPr>
    </w:p>
    <w:p w:rsidR="00722D70" w:rsidRPr="00D84669" w:rsidRDefault="00B65028" w:rsidP="00722D70">
      <w:pPr>
        <w:rPr>
          <w:i/>
          <w:sz w:val="22"/>
          <w:szCs w:val="22"/>
        </w:rPr>
      </w:pPr>
      <w:r w:rsidRPr="00D84669">
        <w:rPr>
          <w:sz w:val="22"/>
          <w:szCs w:val="22"/>
        </w:rPr>
        <w:t>The Determination is made under section 10 of the Act</w:t>
      </w:r>
      <w:r w:rsidR="00722D70">
        <w:rPr>
          <w:sz w:val="22"/>
          <w:szCs w:val="22"/>
        </w:rPr>
        <w:t xml:space="preserve"> and is a </w:t>
      </w:r>
      <w:r w:rsidR="00722D70" w:rsidRPr="00D84669">
        <w:rPr>
          <w:sz w:val="22"/>
          <w:szCs w:val="22"/>
        </w:rPr>
        <w:t xml:space="preserve">legislative instrument for the purposes of the </w:t>
      </w:r>
      <w:r w:rsidR="00722D70">
        <w:rPr>
          <w:i/>
          <w:sz w:val="22"/>
          <w:szCs w:val="22"/>
        </w:rPr>
        <w:t>Legislation</w:t>
      </w:r>
      <w:r w:rsidR="00722D70" w:rsidRPr="00D84669">
        <w:rPr>
          <w:i/>
          <w:sz w:val="22"/>
          <w:szCs w:val="22"/>
        </w:rPr>
        <w:t xml:space="preserve"> Act 2003.  </w:t>
      </w:r>
    </w:p>
    <w:p w:rsidR="00544D99" w:rsidRDefault="00544D99" w:rsidP="001E6120">
      <w:pPr>
        <w:rPr>
          <w:sz w:val="22"/>
          <w:szCs w:val="22"/>
        </w:rPr>
      </w:pPr>
    </w:p>
    <w:p w:rsidR="007A797C" w:rsidRDefault="005944E8" w:rsidP="001E6120">
      <w:pPr>
        <w:rPr>
          <w:sz w:val="22"/>
          <w:szCs w:val="22"/>
        </w:rPr>
      </w:pPr>
      <w:r>
        <w:t xml:space="preserve">The </w:t>
      </w:r>
      <w:r w:rsidRPr="004E46A3">
        <w:rPr>
          <w:sz w:val="22"/>
          <w:szCs w:val="22"/>
        </w:rPr>
        <w:t>Determ</w:t>
      </w:r>
      <w:r>
        <w:rPr>
          <w:sz w:val="22"/>
          <w:szCs w:val="22"/>
        </w:rPr>
        <w:t xml:space="preserve">ination </w:t>
      </w:r>
      <w:r w:rsidRPr="004E46A3">
        <w:rPr>
          <w:sz w:val="22"/>
          <w:szCs w:val="22"/>
        </w:rPr>
        <w:t>repeal</w:t>
      </w:r>
      <w:r>
        <w:rPr>
          <w:sz w:val="22"/>
          <w:szCs w:val="22"/>
        </w:rPr>
        <w:t xml:space="preserve">s </w:t>
      </w:r>
      <w:r w:rsidRPr="004E46A3">
        <w:rPr>
          <w:sz w:val="22"/>
          <w:szCs w:val="22"/>
        </w:rPr>
        <w:t>and replac</w:t>
      </w:r>
      <w:r>
        <w:rPr>
          <w:sz w:val="22"/>
          <w:szCs w:val="22"/>
        </w:rPr>
        <w:t>es</w:t>
      </w:r>
      <w:r w:rsidRPr="004E46A3">
        <w:rPr>
          <w:sz w:val="22"/>
          <w:szCs w:val="22"/>
        </w:rPr>
        <w:t xml:space="preserve"> the </w:t>
      </w:r>
      <w:r w:rsidRPr="004E46A3">
        <w:rPr>
          <w:i/>
          <w:iCs/>
          <w:sz w:val="22"/>
          <w:szCs w:val="22"/>
        </w:rPr>
        <w:t>Building Energy Efficiency Disclosure (Disclosure Affected Buildings) Determination 20</w:t>
      </w:r>
      <w:r>
        <w:rPr>
          <w:i/>
          <w:iCs/>
          <w:sz w:val="22"/>
          <w:szCs w:val="22"/>
        </w:rPr>
        <w:t xml:space="preserve">15 </w:t>
      </w:r>
      <w:r>
        <w:rPr>
          <w:iCs/>
          <w:sz w:val="22"/>
          <w:szCs w:val="22"/>
        </w:rPr>
        <w:t>(F2015L01074)</w:t>
      </w:r>
      <w:r w:rsidRPr="004E46A3">
        <w:rPr>
          <w:sz w:val="22"/>
          <w:szCs w:val="22"/>
        </w:rPr>
        <w:t>.</w:t>
      </w:r>
      <w:r>
        <w:rPr>
          <w:sz w:val="22"/>
          <w:szCs w:val="22"/>
        </w:rPr>
        <w:t xml:space="preserve"> </w:t>
      </w:r>
    </w:p>
    <w:p w:rsidR="00722D70" w:rsidRDefault="00722D70" w:rsidP="0028144E"/>
    <w:p w:rsidR="00722D70" w:rsidRPr="006576E6" w:rsidRDefault="00722D70" w:rsidP="0028144E">
      <w:pPr>
        <w:rPr>
          <w:b/>
        </w:rPr>
      </w:pPr>
      <w:r>
        <w:rPr>
          <w:b/>
        </w:rPr>
        <w:t>Consultation</w:t>
      </w:r>
    </w:p>
    <w:p w:rsidR="00722D70" w:rsidRDefault="00722D70" w:rsidP="0028144E"/>
    <w:p w:rsidR="0028144E" w:rsidRPr="00D17151" w:rsidRDefault="0028144E" w:rsidP="0028144E">
      <w:pPr>
        <w:rPr>
          <w:sz w:val="22"/>
          <w:szCs w:val="22"/>
        </w:rPr>
      </w:pPr>
      <w:r w:rsidRPr="00D17151">
        <w:rPr>
          <w:sz w:val="22"/>
          <w:szCs w:val="22"/>
        </w:rPr>
        <w:t xml:space="preserve">The Office of Best Practice Regulation (OBPR) acknowledged that a targeted group of stakeholders were consulted in development of the first Regulatory Impact Statement (RIS) on proposed changes to the Commercial Buildings Disclosure (CBD) Program in 2015. However, OBPR did not </w:t>
      </w:r>
      <w:r w:rsidR="00C11016">
        <w:rPr>
          <w:sz w:val="22"/>
          <w:szCs w:val="22"/>
        </w:rPr>
        <w:t>consider</w:t>
      </w:r>
      <w:r w:rsidRPr="00D17151">
        <w:rPr>
          <w:sz w:val="22"/>
          <w:szCs w:val="22"/>
        </w:rPr>
        <w:t xml:space="preserve"> this group were fully representative of all stakeholders who would be most affected by the changes to the Program and recommended a full public </w:t>
      </w:r>
      <w:r w:rsidRPr="00D17151">
        <w:rPr>
          <w:sz w:val="22"/>
          <w:szCs w:val="22"/>
        </w:rPr>
        <w:lastRenderedPageBreak/>
        <w:t>consultation should be undertaken before the RIS was submitted for a second-pass final assessment.</w:t>
      </w:r>
    </w:p>
    <w:p w:rsidR="0028144E" w:rsidRPr="00D17151" w:rsidRDefault="0028144E" w:rsidP="0028144E">
      <w:pPr>
        <w:rPr>
          <w:sz w:val="22"/>
          <w:szCs w:val="22"/>
        </w:rPr>
      </w:pPr>
    </w:p>
    <w:p w:rsidR="0028144E" w:rsidRPr="00D17151" w:rsidRDefault="0028144E" w:rsidP="0028144E">
      <w:pPr>
        <w:rPr>
          <w:sz w:val="22"/>
          <w:szCs w:val="22"/>
        </w:rPr>
      </w:pPr>
      <w:r w:rsidRPr="00D17151">
        <w:rPr>
          <w:sz w:val="22"/>
          <w:szCs w:val="22"/>
        </w:rPr>
        <w:t>In response to OBPR’s recommendation, The Department of Industry, Innovation and Science undertook public consultation</w:t>
      </w:r>
      <w:r w:rsidR="007A797C">
        <w:rPr>
          <w:sz w:val="22"/>
          <w:szCs w:val="22"/>
        </w:rPr>
        <w:t>,</w:t>
      </w:r>
      <w:r w:rsidRPr="00D17151">
        <w:rPr>
          <w:sz w:val="22"/>
          <w:szCs w:val="22"/>
        </w:rPr>
        <w:t xml:space="preserve"> </w:t>
      </w:r>
      <w:r w:rsidR="007A797C" w:rsidRPr="00D17151">
        <w:rPr>
          <w:sz w:val="22"/>
          <w:szCs w:val="22"/>
        </w:rPr>
        <w:t>from 4 February – 12 March 2016</w:t>
      </w:r>
      <w:r w:rsidR="007A797C">
        <w:rPr>
          <w:sz w:val="22"/>
          <w:szCs w:val="22"/>
        </w:rPr>
        <w:t xml:space="preserve">, </w:t>
      </w:r>
      <w:r w:rsidRPr="00D17151">
        <w:rPr>
          <w:sz w:val="22"/>
          <w:szCs w:val="22"/>
        </w:rPr>
        <w:t>on the RIS and proposed changes to the CBD Program</w:t>
      </w:r>
      <w:r w:rsidR="007A797C">
        <w:rPr>
          <w:sz w:val="22"/>
          <w:szCs w:val="22"/>
        </w:rPr>
        <w:t xml:space="preserve">. Over </w:t>
      </w:r>
      <w:r w:rsidRPr="00D17151">
        <w:rPr>
          <w:sz w:val="22"/>
          <w:szCs w:val="22"/>
        </w:rPr>
        <w:t xml:space="preserve">51 submissions </w:t>
      </w:r>
      <w:r w:rsidR="007A797C">
        <w:rPr>
          <w:sz w:val="22"/>
          <w:szCs w:val="22"/>
        </w:rPr>
        <w:t xml:space="preserve">were received </w:t>
      </w:r>
      <w:r w:rsidRPr="00D17151">
        <w:rPr>
          <w:sz w:val="22"/>
          <w:szCs w:val="22"/>
        </w:rPr>
        <w:t xml:space="preserve">from building owners, assessors, facility managers, NGOs and Industry. </w:t>
      </w:r>
    </w:p>
    <w:p w:rsidR="0028144E" w:rsidRPr="007A797C" w:rsidRDefault="0028144E" w:rsidP="0028144E">
      <w:pPr>
        <w:spacing w:before="100" w:beforeAutospacing="1" w:after="120"/>
        <w:rPr>
          <w:sz w:val="22"/>
          <w:szCs w:val="22"/>
        </w:rPr>
      </w:pPr>
      <w:r w:rsidRPr="00D17151">
        <w:rPr>
          <w:sz w:val="22"/>
          <w:szCs w:val="22"/>
        </w:rPr>
        <w:t xml:space="preserve">Stakeholder input was taken into account in drafting the </w:t>
      </w:r>
      <w:r w:rsidRPr="007A797C">
        <w:rPr>
          <w:sz w:val="22"/>
          <w:szCs w:val="22"/>
        </w:rPr>
        <w:t>Determination. </w:t>
      </w:r>
    </w:p>
    <w:p w:rsidR="00CC0418" w:rsidRPr="00354893" w:rsidRDefault="00CC0418" w:rsidP="00CC0418">
      <w:pPr>
        <w:rPr>
          <w:b/>
          <w:i/>
          <w:u w:val="single"/>
        </w:rPr>
      </w:pPr>
      <w:r w:rsidRPr="00D84669">
        <w:rPr>
          <w:sz w:val="22"/>
          <w:szCs w:val="22"/>
        </w:rPr>
        <w:br w:type="page"/>
      </w:r>
      <w:r w:rsidRPr="00354893">
        <w:rPr>
          <w:b/>
          <w:u w:val="single"/>
        </w:rPr>
        <w:lastRenderedPageBreak/>
        <w:t>Detail</w:t>
      </w:r>
      <w:r w:rsidR="005A2249">
        <w:rPr>
          <w:b/>
          <w:u w:val="single"/>
        </w:rPr>
        <w:t xml:space="preserve">ed description of provisions in the </w:t>
      </w:r>
      <w:r w:rsidRPr="00354893">
        <w:rPr>
          <w:b/>
          <w:i/>
          <w:u w:val="single"/>
        </w:rPr>
        <w:t xml:space="preserve">Building Energy Efficiency Disclosure (Disclosure Affected Buildings) Determination </w:t>
      </w:r>
      <w:r w:rsidR="00756D4C" w:rsidRPr="00354893">
        <w:rPr>
          <w:b/>
          <w:i/>
          <w:u w:val="single"/>
        </w:rPr>
        <w:t>201</w:t>
      </w:r>
      <w:r w:rsidR="00D17151" w:rsidRPr="00354893">
        <w:rPr>
          <w:b/>
          <w:i/>
          <w:u w:val="single"/>
        </w:rPr>
        <w:t>6</w:t>
      </w:r>
      <w:r w:rsidR="00455659" w:rsidRPr="00354893">
        <w:rPr>
          <w:b/>
          <w:i/>
          <w:u w:val="single"/>
        </w:rPr>
        <w:t xml:space="preserve"> </w:t>
      </w:r>
    </w:p>
    <w:p w:rsidR="00CC0418" w:rsidRPr="00D84669" w:rsidRDefault="00CC0418" w:rsidP="00CC0418">
      <w:pPr>
        <w:rPr>
          <w:b/>
          <w:i/>
          <w:sz w:val="22"/>
          <w:szCs w:val="22"/>
          <w:u w:val="single"/>
        </w:rPr>
      </w:pPr>
    </w:p>
    <w:p w:rsidR="00CC0418" w:rsidRPr="00D84669" w:rsidRDefault="00CC0418" w:rsidP="00CC0418">
      <w:pPr>
        <w:rPr>
          <w:b/>
          <w:szCs w:val="22"/>
        </w:rPr>
      </w:pPr>
      <w:r w:rsidRPr="00D84669">
        <w:rPr>
          <w:b/>
          <w:szCs w:val="22"/>
        </w:rPr>
        <w:t>Clause 1 - Name of Determination</w:t>
      </w:r>
    </w:p>
    <w:p w:rsidR="00CC0418" w:rsidRPr="00D84669" w:rsidRDefault="00CC0418" w:rsidP="00CC0418">
      <w:pPr>
        <w:rPr>
          <w:sz w:val="22"/>
          <w:szCs w:val="22"/>
          <w:u w:val="single"/>
        </w:rPr>
      </w:pPr>
    </w:p>
    <w:p w:rsidR="00CC0418" w:rsidRPr="00D84669" w:rsidRDefault="00CC0418" w:rsidP="00CC0418">
      <w:pPr>
        <w:rPr>
          <w:sz w:val="22"/>
          <w:szCs w:val="22"/>
        </w:rPr>
      </w:pPr>
      <w:r w:rsidRPr="00D84669">
        <w:rPr>
          <w:sz w:val="22"/>
          <w:szCs w:val="22"/>
        </w:rPr>
        <w:t>This is a formal clause setting out the name of the Determination</w:t>
      </w:r>
      <w:r w:rsidR="00722D70">
        <w:rPr>
          <w:sz w:val="22"/>
          <w:szCs w:val="22"/>
        </w:rPr>
        <w:t xml:space="preserve"> as the </w:t>
      </w:r>
      <w:r w:rsidR="00722D70">
        <w:rPr>
          <w:i/>
          <w:sz w:val="22"/>
          <w:szCs w:val="22"/>
        </w:rPr>
        <w:t>Building Energy Efficiency Disclosure (Disclosure Affected Buildings) Determination 2016</w:t>
      </w:r>
      <w:r w:rsidRPr="00D84669">
        <w:rPr>
          <w:sz w:val="22"/>
          <w:szCs w:val="22"/>
        </w:rPr>
        <w:t>.</w:t>
      </w:r>
    </w:p>
    <w:p w:rsidR="00CC0418" w:rsidRPr="00D84669" w:rsidRDefault="00CC0418" w:rsidP="00CC0418">
      <w:pPr>
        <w:rPr>
          <w:b/>
          <w:szCs w:val="22"/>
        </w:rPr>
      </w:pPr>
    </w:p>
    <w:p w:rsidR="005A2249" w:rsidRDefault="00CC0418" w:rsidP="00CC0418">
      <w:pPr>
        <w:rPr>
          <w:b/>
          <w:szCs w:val="22"/>
        </w:rPr>
      </w:pPr>
      <w:r w:rsidRPr="00D84669">
        <w:rPr>
          <w:b/>
          <w:szCs w:val="22"/>
        </w:rPr>
        <w:t xml:space="preserve">Clause 2 </w:t>
      </w:r>
      <w:r w:rsidR="005A2249">
        <w:rPr>
          <w:b/>
          <w:szCs w:val="22"/>
        </w:rPr>
        <w:t>- Authority</w:t>
      </w:r>
    </w:p>
    <w:p w:rsidR="005A2249" w:rsidRPr="00354893" w:rsidRDefault="005A2249" w:rsidP="00CC0418">
      <w:pPr>
        <w:rPr>
          <w:szCs w:val="22"/>
        </w:rPr>
      </w:pPr>
    </w:p>
    <w:p w:rsidR="005A2249" w:rsidRPr="00354893" w:rsidRDefault="005A2249" w:rsidP="00CC0418">
      <w:pPr>
        <w:rPr>
          <w:szCs w:val="22"/>
        </w:rPr>
      </w:pPr>
      <w:r>
        <w:rPr>
          <w:szCs w:val="22"/>
        </w:rPr>
        <w:t xml:space="preserve">This section sets out the provision of the </w:t>
      </w:r>
      <w:r w:rsidRPr="00D84669">
        <w:rPr>
          <w:i/>
        </w:rPr>
        <w:t>Building Energy Efficiency Disclosure Act 2010</w:t>
      </w:r>
      <w:r>
        <w:t xml:space="preserve"> (the Act) under which the Determination is made.</w:t>
      </w:r>
    </w:p>
    <w:p w:rsidR="005A2249" w:rsidRPr="00354893" w:rsidRDefault="005A2249" w:rsidP="00CC0418">
      <w:pPr>
        <w:rPr>
          <w:szCs w:val="22"/>
        </w:rPr>
      </w:pPr>
    </w:p>
    <w:p w:rsidR="00CC0418" w:rsidRPr="00D84669" w:rsidRDefault="005A2249" w:rsidP="00CC0418">
      <w:pPr>
        <w:rPr>
          <w:b/>
          <w:szCs w:val="22"/>
        </w:rPr>
      </w:pPr>
      <w:r>
        <w:rPr>
          <w:b/>
          <w:szCs w:val="22"/>
        </w:rPr>
        <w:t xml:space="preserve">Clause 3 </w:t>
      </w:r>
      <w:r w:rsidR="00CC0418" w:rsidRPr="00D84669">
        <w:rPr>
          <w:b/>
          <w:szCs w:val="22"/>
        </w:rPr>
        <w:t>- Commencement</w:t>
      </w:r>
    </w:p>
    <w:p w:rsidR="00CC0418" w:rsidRPr="00D84669" w:rsidRDefault="00CC0418" w:rsidP="00CC0418">
      <w:pPr>
        <w:rPr>
          <w:sz w:val="22"/>
          <w:szCs w:val="22"/>
          <w:u w:val="single"/>
        </w:rPr>
      </w:pPr>
    </w:p>
    <w:p w:rsidR="00CC0418" w:rsidRPr="00D84669" w:rsidRDefault="005168FC" w:rsidP="00CC0418">
      <w:pPr>
        <w:rPr>
          <w:sz w:val="22"/>
          <w:szCs w:val="22"/>
        </w:rPr>
      </w:pPr>
      <w:r w:rsidRPr="00D84669">
        <w:rPr>
          <w:sz w:val="22"/>
          <w:szCs w:val="22"/>
        </w:rPr>
        <w:t>This provision</w:t>
      </w:r>
      <w:r w:rsidR="00CC0418" w:rsidRPr="00D84669">
        <w:rPr>
          <w:sz w:val="22"/>
          <w:szCs w:val="22"/>
        </w:rPr>
        <w:t xml:space="preserve"> </w:t>
      </w:r>
      <w:r w:rsidR="00722D70">
        <w:rPr>
          <w:sz w:val="22"/>
          <w:szCs w:val="22"/>
        </w:rPr>
        <w:t xml:space="preserve">sets out the commencement arrangements for the </w:t>
      </w:r>
      <w:r w:rsidR="00CC0418" w:rsidRPr="00D84669">
        <w:rPr>
          <w:sz w:val="22"/>
          <w:szCs w:val="22"/>
        </w:rPr>
        <w:t>Determination</w:t>
      </w:r>
      <w:r w:rsidR="00F571A4" w:rsidRPr="00D84669">
        <w:rPr>
          <w:sz w:val="22"/>
          <w:szCs w:val="22"/>
        </w:rPr>
        <w:t xml:space="preserve">. </w:t>
      </w:r>
    </w:p>
    <w:p w:rsidR="00CC0418" w:rsidRPr="00D84669" w:rsidRDefault="00CC0418" w:rsidP="00CC0418">
      <w:pPr>
        <w:rPr>
          <w:sz w:val="22"/>
          <w:szCs w:val="22"/>
        </w:rPr>
      </w:pPr>
    </w:p>
    <w:p w:rsidR="00CC0418" w:rsidRPr="00D84669" w:rsidRDefault="00CC0418" w:rsidP="00CC0418">
      <w:pPr>
        <w:rPr>
          <w:b/>
          <w:szCs w:val="22"/>
        </w:rPr>
      </w:pPr>
      <w:r w:rsidRPr="00D84669">
        <w:rPr>
          <w:b/>
          <w:szCs w:val="22"/>
        </w:rPr>
        <w:t xml:space="preserve">Clause </w:t>
      </w:r>
      <w:r w:rsidR="005A2249">
        <w:rPr>
          <w:b/>
          <w:szCs w:val="22"/>
        </w:rPr>
        <w:t>4</w:t>
      </w:r>
      <w:r w:rsidRPr="00D84669">
        <w:rPr>
          <w:b/>
          <w:szCs w:val="22"/>
        </w:rPr>
        <w:t xml:space="preserve"> – Repeal</w:t>
      </w:r>
    </w:p>
    <w:p w:rsidR="00CC0418" w:rsidRPr="00D84669" w:rsidRDefault="00CC0418" w:rsidP="00CC0418">
      <w:pPr>
        <w:rPr>
          <w:sz w:val="22"/>
          <w:szCs w:val="22"/>
          <w:u w:val="single"/>
        </w:rPr>
      </w:pPr>
    </w:p>
    <w:p w:rsidR="00CC0418" w:rsidRPr="00D84669" w:rsidRDefault="005168FC" w:rsidP="00CC0418">
      <w:pPr>
        <w:rPr>
          <w:sz w:val="22"/>
          <w:szCs w:val="22"/>
        </w:rPr>
      </w:pPr>
      <w:r w:rsidRPr="00D84669">
        <w:rPr>
          <w:sz w:val="22"/>
          <w:szCs w:val="22"/>
        </w:rPr>
        <w:t>This provision</w:t>
      </w:r>
      <w:r w:rsidR="00CC0418" w:rsidRPr="00D84669">
        <w:rPr>
          <w:sz w:val="22"/>
          <w:szCs w:val="22"/>
        </w:rPr>
        <w:t xml:space="preserve"> repeals the </w:t>
      </w:r>
      <w:r w:rsidR="00CC0418" w:rsidRPr="00D84669">
        <w:rPr>
          <w:i/>
          <w:iCs/>
          <w:sz w:val="22"/>
          <w:szCs w:val="22"/>
        </w:rPr>
        <w:t xml:space="preserve">Building Energy Efficiency Disclosure (Disclosure Affected Buildings) Determination </w:t>
      </w:r>
      <w:r w:rsidR="00756D4C" w:rsidRPr="00303F45">
        <w:rPr>
          <w:i/>
          <w:iCs/>
          <w:sz w:val="22"/>
          <w:szCs w:val="22"/>
        </w:rPr>
        <w:t>201</w:t>
      </w:r>
      <w:r w:rsidR="0028144E" w:rsidRPr="00303F45">
        <w:rPr>
          <w:i/>
          <w:iCs/>
          <w:sz w:val="22"/>
          <w:szCs w:val="22"/>
        </w:rPr>
        <w:t xml:space="preserve">5 </w:t>
      </w:r>
      <w:r w:rsidR="0028144E" w:rsidRPr="00303F45">
        <w:rPr>
          <w:iCs/>
          <w:sz w:val="22"/>
          <w:szCs w:val="22"/>
        </w:rPr>
        <w:t>(</w:t>
      </w:r>
      <w:r w:rsidR="0028144E" w:rsidRPr="00354893">
        <w:rPr>
          <w:sz w:val="22"/>
          <w:szCs w:val="22"/>
        </w:rPr>
        <w:t>F2015L01074)</w:t>
      </w:r>
      <w:r w:rsidR="00756D4C" w:rsidRPr="00303F45">
        <w:rPr>
          <w:i/>
          <w:iCs/>
          <w:sz w:val="22"/>
          <w:szCs w:val="22"/>
        </w:rPr>
        <w:t>.</w:t>
      </w:r>
    </w:p>
    <w:p w:rsidR="00CC0418" w:rsidRPr="00D84669" w:rsidRDefault="00CC0418" w:rsidP="00CC0418">
      <w:pPr>
        <w:rPr>
          <w:sz w:val="22"/>
          <w:szCs w:val="22"/>
          <w:u w:val="single"/>
        </w:rPr>
      </w:pPr>
    </w:p>
    <w:p w:rsidR="00CC0418" w:rsidRPr="00D84669" w:rsidRDefault="00CC0418" w:rsidP="00CC0418">
      <w:pPr>
        <w:rPr>
          <w:b/>
          <w:szCs w:val="22"/>
        </w:rPr>
      </w:pPr>
      <w:r w:rsidRPr="00D84669">
        <w:rPr>
          <w:b/>
          <w:szCs w:val="22"/>
        </w:rPr>
        <w:t xml:space="preserve">Clause </w:t>
      </w:r>
      <w:r w:rsidR="005A2249">
        <w:rPr>
          <w:b/>
          <w:szCs w:val="22"/>
        </w:rPr>
        <w:t>5</w:t>
      </w:r>
      <w:r w:rsidRPr="00D84669">
        <w:rPr>
          <w:b/>
          <w:szCs w:val="22"/>
        </w:rPr>
        <w:t xml:space="preserve"> - Definitions</w:t>
      </w:r>
    </w:p>
    <w:p w:rsidR="00CC0418" w:rsidRPr="00D84669" w:rsidRDefault="00CC0418" w:rsidP="00CC0418">
      <w:pPr>
        <w:rPr>
          <w:sz w:val="22"/>
          <w:szCs w:val="22"/>
          <w:u w:val="single"/>
        </w:rPr>
      </w:pPr>
    </w:p>
    <w:p w:rsidR="00CC0418" w:rsidRPr="00D84669" w:rsidRDefault="005168FC" w:rsidP="00CC0418">
      <w:pPr>
        <w:rPr>
          <w:sz w:val="22"/>
          <w:szCs w:val="22"/>
        </w:rPr>
      </w:pPr>
      <w:r w:rsidRPr="00D84669">
        <w:rPr>
          <w:sz w:val="22"/>
          <w:szCs w:val="22"/>
        </w:rPr>
        <w:t>This section</w:t>
      </w:r>
      <w:r w:rsidR="00CC0418" w:rsidRPr="00D84669">
        <w:rPr>
          <w:sz w:val="22"/>
          <w:szCs w:val="22"/>
        </w:rPr>
        <w:t xml:space="preserve"> specifies the meaning of a number of terms used in the Determination.</w:t>
      </w:r>
      <w:r w:rsidR="00A54357" w:rsidRPr="00D84669">
        <w:rPr>
          <w:sz w:val="22"/>
          <w:szCs w:val="22"/>
        </w:rPr>
        <w:t xml:space="preserve"> </w:t>
      </w:r>
    </w:p>
    <w:p w:rsidR="00A54357" w:rsidRPr="00D84669" w:rsidRDefault="00A54357" w:rsidP="00CC0418">
      <w:pPr>
        <w:rPr>
          <w:sz w:val="22"/>
          <w:szCs w:val="22"/>
        </w:rPr>
      </w:pPr>
    </w:p>
    <w:p w:rsidR="00F571A4" w:rsidRPr="00D84669" w:rsidRDefault="005A2249" w:rsidP="00CC0418">
      <w:pPr>
        <w:rPr>
          <w:sz w:val="22"/>
          <w:szCs w:val="22"/>
        </w:rPr>
      </w:pPr>
      <w:r>
        <w:rPr>
          <w:sz w:val="22"/>
          <w:szCs w:val="22"/>
        </w:rPr>
        <w:t xml:space="preserve">Several words and expressions used in the Determination have the meaning given to them by section 3 of the Act, or section 3 of the </w:t>
      </w:r>
      <w:r w:rsidRPr="00354893">
        <w:rPr>
          <w:i/>
          <w:sz w:val="22"/>
          <w:szCs w:val="22"/>
        </w:rPr>
        <w:t>Building Energy Efficiency Disclosure Regulations 2010</w:t>
      </w:r>
      <w:r w:rsidR="00F571A4" w:rsidRPr="00D84669">
        <w:rPr>
          <w:i/>
          <w:sz w:val="22"/>
          <w:szCs w:val="22"/>
        </w:rPr>
        <w:t xml:space="preserve">. </w:t>
      </w:r>
    </w:p>
    <w:p w:rsidR="00311032" w:rsidRPr="00D84669" w:rsidRDefault="00311032" w:rsidP="00CC0418">
      <w:pPr>
        <w:rPr>
          <w:sz w:val="22"/>
          <w:szCs w:val="22"/>
        </w:rPr>
      </w:pPr>
    </w:p>
    <w:p w:rsidR="00CC0418" w:rsidRPr="00D84669" w:rsidRDefault="00CC0418" w:rsidP="00CC0418">
      <w:pPr>
        <w:rPr>
          <w:b/>
          <w:szCs w:val="22"/>
        </w:rPr>
      </w:pPr>
      <w:r w:rsidRPr="00D84669">
        <w:rPr>
          <w:b/>
          <w:szCs w:val="22"/>
        </w:rPr>
        <w:t xml:space="preserve">Clause 5 - Disclosure affected buildings </w:t>
      </w:r>
    </w:p>
    <w:p w:rsidR="00CC0418" w:rsidRPr="00D84669" w:rsidRDefault="00CC0418" w:rsidP="00CC0418">
      <w:pPr>
        <w:rPr>
          <w:sz w:val="22"/>
          <w:szCs w:val="22"/>
          <w:u w:val="single"/>
        </w:rPr>
      </w:pPr>
    </w:p>
    <w:p w:rsidR="00CC0418" w:rsidRPr="00D84669" w:rsidRDefault="00CC0418" w:rsidP="00CC0418">
      <w:pPr>
        <w:rPr>
          <w:sz w:val="22"/>
          <w:szCs w:val="22"/>
        </w:rPr>
      </w:pPr>
      <w:r w:rsidRPr="00D84669">
        <w:rPr>
          <w:sz w:val="22"/>
          <w:szCs w:val="22"/>
        </w:rPr>
        <w:t>This</w:t>
      </w:r>
      <w:r w:rsidR="005168FC" w:rsidRPr="00D84669">
        <w:rPr>
          <w:sz w:val="22"/>
          <w:szCs w:val="22"/>
        </w:rPr>
        <w:t xml:space="preserve"> provision</w:t>
      </w:r>
      <w:r w:rsidRPr="00D84669">
        <w:rPr>
          <w:sz w:val="22"/>
          <w:szCs w:val="22"/>
        </w:rPr>
        <w:t xml:space="preserve"> specifies, for the purposes of subsection 10(1) of the Act, the kinds of buildings that are disclosure affected.</w:t>
      </w:r>
    </w:p>
    <w:p w:rsidR="00CC0418" w:rsidRPr="00D84669" w:rsidRDefault="00CC0418" w:rsidP="00CC0418">
      <w:pPr>
        <w:rPr>
          <w:sz w:val="22"/>
          <w:szCs w:val="22"/>
        </w:rPr>
      </w:pPr>
    </w:p>
    <w:p w:rsidR="00FB58DF" w:rsidRDefault="00FB58DF" w:rsidP="00CC0418">
      <w:pPr>
        <w:rPr>
          <w:sz w:val="22"/>
          <w:szCs w:val="22"/>
        </w:rPr>
      </w:pPr>
      <w:r>
        <w:rPr>
          <w:sz w:val="22"/>
          <w:szCs w:val="22"/>
        </w:rPr>
        <w:t>The section outlines the criteria for determining whether a</w:t>
      </w:r>
      <w:r w:rsidRPr="00D84669">
        <w:rPr>
          <w:sz w:val="22"/>
          <w:szCs w:val="22"/>
        </w:rPr>
        <w:t xml:space="preserve"> building is disclosure affected </w:t>
      </w:r>
      <w:r>
        <w:rPr>
          <w:sz w:val="22"/>
          <w:szCs w:val="22"/>
        </w:rPr>
        <w:t>f</w:t>
      </w:r>
      <w:r w:rsidR="0028144E">
        <w:rPr>
          <w:sz w:val="22"/>
          <w:szCs w:val="22"/>
        </w:rPr>
        <w:t>rom the commencement of the Determination until 1 July 2017</w:t>
      </w:r>
      <w:r>
        <w:rPr>
          <w:sz w:val="22"/>
          <w:szCs w:val="22"/>
        </w:rPr>
        <w:t>.</w:t>
      </w:r>
    </w:p>
    <w:p w:rsidR="00FB58DF" w:rsidRDefault="00FB58DF" w:rsidP="00CC0418">
      <w:pPr>
        <w:rPr>
          <w:sz w:val="22"/>
          <w:szCs w:val="22"/>
        </w:rPr>
      </w:pPr>
    </w:p>
    <w:p w:rsidR="00CC0418" w:rsidRPr="00D84669" w:rsidRDefault="00FB58DF" w:rsidP="00CC0418">
      <w:pPr>
        <w:rPr>
          <w:sz w:val="22"/>
          <w:szCs w:val="22"/>
        </w:rPr>
      </w:pPr>
      <w:r>
        <w:rPr>
          <w:sz w:val="22"/>
          <w:szCs w:val="22"/>
        </w:rPr>
        <w:t>The criteria allows for the space in a building to be calculated on a net lettable area</w:t>
      </w:r>
      <w:r w:rsidR="00D05F79">
        <w:rPr>
          <w:sz w:val="22"/>
          <w:szCs w:val="22"/>
        </w:rPr>
        <w:t xml:space="preserve">. Where the net lettable area is not available, the </w:t>
      </w:r>
      <w:r>
        <w:rPr>
          <w:sz w:val="22"/>
          <w:szCs w:val="22"/>
        </w:rPr>
        <w:t>gross lettable area</w:t>
      </w:r>
      <w:r w:rsidR="00D05F79">
        <w:rPr>
          <w:sz w:val="22"/>
          <w:szCs w:val="22"/>
        </w:rPr>
        <w:t xml:space="preserve"> can be used</w:t>
      </w:r>
      <w:r>
        <w:rPr>
          <w:sz w:val="22"/>
          <w:szCs w:val="22"/>
        </w:rPr>
        <w:t>.</w:t>
      </w:r>
      <w:r w:rsidR="00D05F79" w:rsidRPr="00D05F79">
        <w:rPr>
          <w:sz w:val="22"/>
          <w:szCs w:val="22"/>
        </w:rPr>
        <w:t xml:space="preserve"> </w:t>
      </w:r>
      <w:r w:rsidR="00D05F79" w:rsidRPr="00D84669">
        <w:rPr>
          <w:sz w:val="22"/>
          <w:szCs w:val="22"/>
        </w:rPr>
        <w:t>Net lettable area remains the preferred method for measuring floor space in a building. However, in some mixed use buildings</w:t>
      </w:r>
      <w:r w:rsidR="00D05F79">
        <w:rPr>
          <w:sz w:val="22"/>
          <w:szCs w:val="22"/>
        </w:rPr>
        <w:t>,</w:t>
      </w:r>
      <w:r w:rsidR="00D05F79" w:rsidRPr="00D84669">
        <w:rPr>
          <w:sz w:val="22"/>
          <w:szCs w:val="22"/>
        </w:rPr>
        <w:t xml:space="preserve"> such as combined office/warehouses, gross lettable area may be the industry standard for measurement. In this case, if net lettable area is not available, gross lettable area may be used instead.</w:t>
      </w:r>
    </w:p>
    <w:p w:rsidR="00CC0418" w:rsidRDefault="00CC0418" w:rsidP="00CC0418">
      <w:pPr>
        <w:rPr>
          <w:sz w:val="22"/>
          <w:szCs w:val="22"/>
        </w:rPr>
      </w:pPr>
    </w:p>
    <w:p w:rsidR="00D05F79" w:rsidRDefault="00D05F79" w:rsidP="006576E6">
      <w:pPr>
        <w:rPr>
          <w:sz w:val="22"/>
          <w:szCs w:val="22"/>
        </w:rPr>
      </w:pPr>
      <w:r>
        <w:rPr>
          <w:sz w:val="22"/>
          <w:szCs w:val="22"/>
        </w:rPr>
        <w:t xml:space="preserve">The measured space is defined in </w:t>
      </w:r>
      <w:r w:rsidR="00EE21AF">
        <w:rPr>
          <w:sz w:val="22"/>
          <w:szCs w:val="22"/>
        </w:rPr>
        <w:t>sub-</w:t>
      </w:r>
      <w:r>
        <w:rPr>
          <w:sz w:val="22"/>
          <w:szCs w:val="22"/>
        </w:rPr>
        <w:t xml:space="preserve">sections 5(2)(a) and 5(3)(a) as </w:t>
      </w:r>
      <w:r>
        <w:rPr>
          <w:i/>
          <w:sz w:val="22"/>
          <w:szCs w:val="22"/>
        </w:rPr>
        <w:t>‘</w:t>
      </w:r>
      <w:r w:rsidR="00CC0418" w:rsidRPr="00D84669">
        <w:rPr>
          <w:i/>
          <w:sz w:val="22"/>
          <w:szCs w:val="22"/>
        </w:rPr>
        <w:t xml:space="preserve">at least 75% of the space in the building </w:t>
      </w:r>
      <w:r>
        <w:rPr>
          <w:i/>
          <w:sz w:val="22"/>
          <w:szCs w:val="22"/>
        </w:rPr>
        <w:t>…</w:t>
      </w:r>
      <w:r w:rsidR="00CC0418" w:rsidRPr="00D84669">
        <w:rPr>
          <w:i/>
          <w:sz w:val="22"/>
          <w:szCs w:val="22"/>
        </w:rPr>
        <w:t xml:space="preserve"> is for administrative, clerical, professional or similar information</w:t>
      </w:r>
      <w:r w:rsidR="00CC0418" w:rsidRPr="00D84669">
        <w:rPr>
          <w:i/>
          <w:sz w:val="22"/>
          <w:szCs w:val="22"/>
        </w:rPr>
        <w:noBreakHyphen/>
        <w:t>based activities, including any support facilities for those activities</w:t>
      </w:r>
      <w:r>
        <w:rPr>
          <w:sz w:val="22"/>
          <w:szCs w:val="22"/>
        </w:rPr>
        <w:t xml:space="preserve">’. </w:t>
      </w:r>
      <w:r w:rsidR="00CC0418" w:rsidRPr="00D84669">
        <w:rPr>
          <w:sz w:val="22"/>
          <w:szCs w:val="22"/>
        </w:rPr>
        <w:t>The phrase ‘administrative, clerical, professional or similar information-based activities’ is intended to encompass all activities that would usually take place in a commercial office space.</w:t>
      </w:r>
    </w:p>
    <w:p w:rsidR="00D05F79" w:rsidRDefault="00D05F79" w:rsidP="006576E6">
      <w:pPr>
        <w:rPr>
          <w:sz w:val="22"/>
          <w:szCs w:val="22"/>
        </w:rPr>
      </w:pPr>
    </w:p>
    <w:p w:rsidR="00632E57" w:rsidRPr="00D84669" w:rsidRDefault="00D05F79" w:rsidP="006576E6">
      <w:pPr>
        <w:rPr>
          <w:i/>
          <w:sz w:val="22"/>
          <w:szCs w:val="22"/>
        </w:rPr>
      </w:pPr>
      <w:r>
        <w:rPr>
          <w:sz w:val="22"/>
          <w:szCs w:val="22"/>
        </w:rPr>
        <w:t xml:space="preserve">The purpose of </w:t>
      </w:r>
      <w:r w:rsidR="00EE21AF">
        <w:rPr>
          <w:sz w:val="22"/>
          <w:szCs w:val="22"/>
        </w:rPr>
        <w:t>sub-</w:t>
      </w:r>
      <w:r>
        <w:rPr>
          <w:sz w:val="22"/>
          <w:szCs w:val="22"/>
        </w:rPr>
        <w:t xml:space="preserve">sections 5(2)(b) and 5(3)(b), which refer to an area of less than 2000 square </w:t>
      </w:r>
      <w:r w:rsidR="0096206E">
        <w:rPr>
          <w:sz w:val="22"/>
          <w:szCs w:val="22"/>
        </w:rPr>
        <w:t xml:space="preserve">metres </w:t>
      </w:r>
      <w:r>
        <w:rPr>
          <w:sz w:val="22"/>
          <w:szCs w:val="22"/>
        </w:rPr>
        <w:t>prior to 1 July 2017 and an area of less than 1000 square met</w:t>
      </w:r>
      <w:r w:rsidR="0096206E">
        <w:rPr>
          <w:sz w:val="22"/>
          <w:szCs w:val="22"/>
        </w:rPr>
        <w:t>re</w:t>
      </w:r>
      <w:r>
        <w:rPr>
          <w:sz w:val="22"/>
          <w:szCs w:val="22"/>
        </w:rPr>
        <w:t xml:space="preserve">s post 1 July 2016, is </w:t>
      </w:r>
      <w:r w:rsidRPr="00D84669">
        <w:rPr>
          <w:sz w:val="22"/>
          <w:szCs w:val="22"/>
        </w:rPr>
        <w:t>to exclude smaller office buildings</w:t>
      </w:r>
      <w:r>
        <w:rPr>
          <w:sz w:val="22"/>
          <w:szCs w:val="22"/>
        </w:rPr>
        <w:t xml:space="preserve"> from being disclosure affected.</w:t>
      </w:r>
    </w:p>
    <w:p w:rsidR="00D05F79" w:rsidRDefault="00D05F79" w:rsidP="00CC0418">
      <w:pPr>
        <w:rPr>
          <w:sz w:val="22"/>
          <w:szCs w:val="22"/>
        </w:rPr>
      </w:pPr>
    </w:p>
    <w:p w:rsidR="007E08DD" w:rsidRDefault="007E08DD" w:rsidP="006576E6">
      <w:pPr>
        <w:rPr>
          <w:sz w:val="22"/>
          <w:szCs w:val="22"/>
        </w:rPr>
      </w:pPr>
      <w:r>
        <w:rPr>
          <w:sz w:val="22"/>
          <w:szCs w:val="22"/>
        </w:rPr>
        <w:t>Subsections 5(4),</w:t>
      </w:r>
      <w:r w:rsidR="00C95ABE">
        <w:rPr>
          <w:sz w:val="22"/>
          <w:szCs w:val="22"/>
        </w:rPr>
        <w:t xml:space="preserve"> </w:t>
      </w:r>
      <w:r w:rsidR="008907E0">
        <w:rPr>
          <w:sz w:val="22"/>
          <w:szCs w:val="22"/>
        </w:rPr>
        <w:t>5(5)</w:t>
      </w:r>
      <w:r>
        <w:rPr>
          <w:sz w:val="22"/>
          <w:szCs w:val="22"/>
        </w:rPr>
        <w:t xml:space="preserve"> and 5(6)</w:t>
      </w:r>
      <w:r w:rsidR="008907E0">
        <w:rPr>
          <w:sz w:val="22"/>
          <w:szCs w:val="22"/>
        </w:rPr>
        <w:t xml:space="preserve"> provide exceptions to a building that would otherwise be disclosure affected. Subsection 5(4) </w:t>
      </w:r>
      <w:r w:rsidR="008907E0" w:rsidRPr="00D84669">
        <w:rPr>
          <w:sz w:val="22"/>
          <w:szCs w:val="22"/>
        </w:rPr>
        <w:t>is intended to cover new constructions</w:t>
      </w:r>
      <w:r w:rsidR="008907E0">
        <w:rPr>
          <w:sz w:val="22"/>
          <w:szCs w:val="22"/>
        </w:rPr>
        <w:t xml:space="preserve"> and provide an exception</w:t>
      </w:r>
      <w:r w:rsidR="008907E0" w:rsidRPr="008907E0">
        <w:rPr>
          <w:sz w:val="22"/>
          <w:szCs w:val="22"/>
        </w:rPr>
        <w:t xml:space="preserve"> </w:t>
      </w:r>
      <w:r w:rsidR="008907E0" w:rsidRPr="00D84669">
        <w:rPr>
          <w:sz w:val="22"/>
          <w:szCs w:val="22"/>
        </w:rPr>
        <w:t xml:space="preserve">up to two years after the issue of </w:t>
      </w:r>
      <w:r w:rsidR="008907E0">
        <w:rPr>
          <w:sz w:val="22"/>
          <w:szCs w:val="22"/>
        </w:rPr>
        <w:t xml:space="preserve">a </w:t>
      </w:r>
      <w:r w:rsidR="008907E0" w:rsidRPr="00D84669">
        <w:rPr>
          <w:sz w:val="22"/>
          <w:szCs w:val="22"/>
        </w:rPr>
        <w:t>certificate</w:t>
      </w:r>
      <w:r w:rsidR="008907E0">
        <w:rPr>
          <w:sz w:val="22"/>
          <w:szCs w:val="22"/>
        </w:rPr>
        <w:t xml:space="preserve"> of occupancy.</w:t>
      </w:r>
      <w:r>
        <w:rPr>
          <w:sz w:val="22"/>
          <w:szCs w:val="22"/>
        </w:rPr>
        <w:t xml:space="preserve"> Subsection 5(5) is intended to exempt buildings </w:t>
      </w:r>
      <w:r w:rsidRPr="00D84669">
        <w:rPr>
          <w:sz w:val="22"/>
          <w:szCs w:val="22"/>
        </w:rPr>
        <w:t xml:space="preserve">up to two years after the issue of </w:t>
      </w:r>
      <w:r>
        <w:rPr>
          <w:sz w:val="22"/>
          <w:szCs w:val="22"/>
        </w:rPr>
        <w:t xml:space="preserve">a </w:t>
      </w:r>
      <w:r w:rsidRPr="00D84669">
        <w:rPr>
          <w:sz w:val="22"/>
          <w:szCs w:val="22"/>
        </w:rPr>
        <w:t>certificate</w:t>
      </w:r>
      <w:r>
        <w:rPr>
          <w:sz w:val="22"/>
          <w:szCs w:val="22"/>
        </w:rPr>
        <w:t xml:space="preserve"> of occupancy once they have undergone a major refurbishment.</w:t>
      </w:r>
    </w:p>
    <w:p w:rsidR="007E08DD" w:rsidRDefault="007E08DD" w:rsidP="006576E6">
      <w:pPr>
        <w:rPr>
          <w:sz w:val="22"/>
          <w:szCs w:val="22"/>
        </w:rPr>
      </w:pPr>
    </w:p>
    <w:p w:rsidR="00506B39" w:rsidRPr="00D84669" w:rsidRDefault="00752DCD" w:rsidP="006576E6">
      <w:pPr>
        <w:rPr>
          <w:sz w:val="22"/>
          <w:szCs w:val="22"/>
        </w:rPr>
      </w:pPr>
      <w:r w:rsidRPr="00D84669">
        <w:rPr>
          <w:sz w:val="22"/>
          <w:szCs w:val="22"/>
        </w:rPr>
        <w:t>Whilst a major re</w:t>
      </w:r>
      <w:r w:rsidR="0032273C" w:rsidRPr="00D84669">
        <w:rPr>
          <w:sz w:val="22"/>
          <w:szCs w:val="22"/>
        </w:rPr>
        <w:t>furbishmen</w:t>
      </w:r>
      <w:r w:rsidRPr="00D84669">
        <w:rPr>
          <w:sz w:val="22"/>
          <w:szCs w:val="22"/>
        </w:rPr>
        <w:t>t is</w:t>
      </w:r>
      <w:r w:rsidR="00727BFE" w:rsidRPr="00D84669">
        <w:rPr>
          <w:sz w:val="22"/>
          <w:szCs w:val="22"/>
        </w:rPr>
        <w:t xml:space="preserve"> </w:t>
      </w:r>
      <w:r w:rsidRPr="00D84669">
        <w:rPr>
          <w:sz w:val="22"/>
          <w:szCs w:val="22"/>
        </w:rPr>
        <w:t xml:space="preserve">being undertaken, entities to which </w:t>
      </w:r>
      <w:r w:rsidR="007E08DD">
        <w:rPr>
          <w:sz w:val="22"/>
          <w:szCs w:val="22"/>
        </w:rPr>
        <w:t>a</w:t>
      </w:r>
      <w:r w:rsidRPr="00D84669">
        <w:rPr>
          <w:sz w:val="22"/>
          <w:szCs w:val="22"/>
        </w:rPr>
        <w:t xml:space="preserve"> disclosure obligation applies</w:t>
      </w:r>
      <w:r w:rsidR="0032273C" w:rsidRPr="00D84669">
        <w:rPr>
          <w:sz w:val="22"/>
          <w:szCs w:val="22"/>
        </w:rPr>
        <w:t>,</w:t>
      </w:r>
      <w:r w:rsidRPr="00D84669">
        <w:rPr>
          <w:sz w:val="22"/>
          <w:szCs w:val="22"/>
        </w:rPr>
        <w:t xml:space="preserve"> may </w:t>
      </w:r>
      <w:r w:rsidR="0032273C" w:rsidRPr="00D84669">
        <w:rPr>
          <w:sz w:val="22"/>
          <w:szCs w:val="22"/>
        </w:rPr>
        <w:t xml:space="preserve">be able to </w:t>
      </w:r>
      <w:r w:rsidRPr="00D84669">
        <w:rPr>
          <w:sz w:val="22"/>
          <w:szCs w:val="22"/>
        </w:rPr>
        <w:t>apply</w:t>
      </w:r>
      <w:r w:rsidR="00CF395B" w:rsidRPr="00D84669">
        <w:rPr>
          <w:sz w:val="22"/>
          <w:szCs w:val="22"/>
        </w:rPr>
        <w:t xml:space="preserve"> for an exemption under</w:t>
      </w:r>
      <w:r w:rsidR="0006613F" w:rsidRPr="00D84669">
        <w:rPr>
          <w:sz w:val="22"/>
          <w:szCs w:val="22"/>
        </w:rPr>
        <w:t xml:space="preserve"> paragraph</w:t>
      </w:r>
      <w:r w:rsidR="00CF395B" w:rsidRPr="00D84669">
        <w:rPr>
          <w:sz w:val="22"/>
          <w:szCs w:val="22"/>
        </w:rPr>
        <w:t xml:space="preserve"> 17(3</w:t>
      </w:r>
      <w:proofErr w:type="gramStart"/>
      <w:r w:rsidR="00CF395B" w:rsidRPr="00D84669">
        <w:rPr>
          <w:sz w:val="22"/>
          <w:szCs w:val="22"/>
        </w:rPr>
        <w:t>)(</w:t>
      </w:r>
      <w:proofErr w:type="gramEnd"/>
      <w:r w:rsidR="00CF395B" w:rsidRPr="00D84669">
        <w:rPr>
          <w:sz w:val="22"/>
          <w:szCs w:val="22"/>
        </w:rPr>
        <w:t xml:space="preserve">c)of the Act relating to </w:t>
      </w:r>
      <w:r w:rsidR="0006613F" w:rsidRPr="00D84669">
        <w:rPr>
          <w:sz w:val="22"/>
          <w:szCs w:val="22"/>
        </w:rPr>
        <w:t>section</w:t>
      </w:r>
      <w:r w:rsidR="00CF395B" w:rsidRPr="00D84669">
        <w:rPr>
          <w:sz w:val="22"/>
          <w:szCs w:val="22"/>
        </w:rPr>
        <w:t xml:space="preserve"> 5B of the </w:t>
      </w:r>
      <w:r w:rsidR="00CF395B" w:rsidRPr="00D84669">
        <w:rPr>
          <w:i/>
          <w:sz w:val="22"/>
          <w:szCs w:val="22"/>
        </w:rPr>
        <w:t>Building Energy Efficiency Disclosure Regulations 2010</w:t>
      </w:r>
      <w:r w:rsidR="00CF395B" w:rsidRPr="00D84669">
        <w:rPr>
          <w:sz w:val="22"/>
          <w:szCs w:val="22"/>
        </w:rPr>
        <w:t xml:space="preserve">. Once the major refurbishment is complete, </w:t>
      </w:r>
      <w:r w:rsidR="007E08DD">
        <w:rPr>
          <w:sz w:val="22"/>
          <w:szCs w:val="22"/>
        </w:rPr>
        <w:t xml:space="preserve">it is intended that </w:t>
      </w:r>
      <w:r w:rsidR="00CF395B" w:rsidRPr="00D84669">
        <w:rPr>
          <w:sz w:val="22"/>
          <w:szCs w:val="22"/>
        </w:rPr>
        <w:t xml:space="preserve">this exception category will apply. </w:t>
      </w:r>
    </w:p>
    <w:p w:rsidR="00506B39" w:rsidRDefault="00506B39" w:rsidP="006576E6">
      <w:pPr>
        <w:rPr>
          <w:sz w:val="22"/>
          <w:szCs w:val="22"/>
          <w:u w:val="single"/>
        </w:rPr>
      </w:pPr>
    </w:p>
    <w:p w:rsidR="00CC0418" w:rsidRPr="00D84669" w:rsidRDefault="00C95ABE" w:rsidP="006576E6">
      <w:pPr>
        <w:rPr>
          <w:sz w:val="22"/>
          <w:szCs w:val="22"/>
        </w:rPr>
      </w:pPr>
      <w:r w:rsidRPr="006576E6">
        <w:rPr>
          <w:sz w:val="22"/>
          <w:szCs w:val="22"/>
        </w:rPr>
        <w:t>The fi</w:t>
      </w:r>
      <w:r>
        <w:rPr>
          <w:sz w:val="22"/>
          <w:szCs w:val="22"/>
        </w:rPr>
        <w:t>nal exception is contained in sub-section 5(6)</w:t>
      </w:r>
      <w:r w:rsidR="00922159">
        <w:rPr>
          <w:sz w:val="22"/>
          <w:szCs w:val="22"/>
        </w:rPr>
        <w:t xml:space="preserve"> and exempts buildings held under a </w:t>
      </w:r>
      <w:r w:rsidR="00CC0418" w:rsidRPr="006576E6">
        <w:rPr>
          <w:sz w:val="22"/>
          <w:szCs w:val="22"/>
        </w:rPr>
        <w:t xml:space="preserve">strata title system (however described). </w:t>
      </w:r>
      <w:r w:rsidR="00CC0418" w:rsidRPr="00D84669">
        <w:rPr>
          <w:sz w:val="22"/>
          <w:szCs w:val="22"/>
        </w:rPr>
        <w:t>This exception recognises the difficulty that is likely to be encountered in assessing the energy efficiency of strata titled offices at this time. It is intended that this exception will be reviewed when an appropriate assessment methodology becomes available.</w:t>
      </w:r>
    </w:p>
    <w:p w:rsidR="00CC0418" w:rsidRDefault="00CC0418" w:rsidP="00CC0418">
      <w:pPr>
        <w:rPr>
          <w:sz w:val="22"/>
          <w:szCs w:val="22"/>
        </w:rPr>
      </w:pPr>
    </w:p>
    <w:p w:rsidR="00CC0418" w:rsidRPr="00D84669" w:rsidRDefault="00CC0418" w:rsidP="00CC0418">
      <w:pPr>
        <w:rPr>
          <w:b/>
          <w:szCs w:val="22"/>
        </w:rPr>
      </w:pPr>
      <w:r w:rsidRPr="00D84669">
        <w:rPr>
          <w:b/>
          <w:szCs w:val="22"/>
        </w:rPr>
        <w:t xml:space="preserve">Clause 6 - Disclosure affected areas of a building </w:t>
      </w:r>
    </w:p>
    <w:p w:rsidR="00CC0418" w:rsidRPr="00D84669" w:rsidRDefault="00CC0418" w:rsidP="00CC0418">
      <w:pPr>
        <w:rPr>
          <w:sz w:val="22"/>
          <w:szCs w:val="22"/>
          <w:u w:val="single"/>
        </w:rPr>
      </w:pPr>
    </w:p>
    <w:p w:rsidR="00CC0418" w:rsidRPr="00D84669" w:rsidRDefault="00CC0418" w:rsidP="00CC0418">
      <w:pPr>
        <w:rPr>
          <w:sz w:val="22"/>
          <w:szCs w:val="22"/>
        </w:rPr>
      </w:pPr>
      <w:r w:rsidRPr="00D84669">
        <w:rPr>
          <w:sz w:val="22"/>
          <w:szCs w:val="22"/>
        </w:rPr>
        <w:t xml:space="preserve">This </w:t>
      </w:r>
      <w:r w:rsidR="005168FC" w:rsidRPr="00D84669">
        <w:rPr>
          <w:sz w:val="22"/>
          <w:szCs w:val="22"/>
        </w:rPr>
        <w:t>provision</w:t>
      </w:r>
      <w:r w:rsidRPr="00D84669">
        <w:rPr>
          <w:sz w:val="22"/>
          <w:szCs w:val="22"/>
        </w:rPr>
        <w:t xml:space="preserve"> specifies, for the purposes of subsection 10(2) of the Act, the kinds of areas of buildings that are disclosure affected.  </w:t>
      </w:r>
    </w:p>
    <w:p w:rsidR="00CC0418" w:rsidRPr="00D84669" w:rsidRDefault="00CC0418" w:rsidP="00CC0418">
      <w:pPr>
        <w:rPr>
          <w:sz w:val="22"/>
          <w:szCs w:val="22"/>
        </w:rPr>
      </w:pPr>
    </w:p>
    <w:p w:rsidR="00CC0418" w:rsidRPr="00D84669" w:rsidRDefault="00AD76A2" w:rsidP="00CC0418">
      <w:pPr>
        <w:rPr>
          <w:sz w:val="22"/>
          <w:szCs w:val="22"/>
        </w:rPr>
      </w:pPr>
      <w:r>
        <w:rPr>
          <w:sz w:val="22"/>
          <w:szCs w:val="22"/>
        </w:rPr>
        <w:t>From the commencement of the Determination until 1 July 2017, a</w:t>
      </w:r>
      <w:r w:rsidR="00CC0418" w:rsidRPr="00D84669">
        <w:rPr>
          <w:sz w:val="22"/>
          <w:szCs w:val="22"/>
        </w:rPr>
        <w:t xml:space="preserve">n area of a building is disclosure affected if: </w:t>
      </w:r>
    </w:p>
    <w:p w:rsidR="00CC0418" w:rsidRPr="00D84669" w:rsidRDefault="00CC0418" w:rsidP="00CC0418">
      <w:pPr>
        <w:rPr>
          <w:sz w:val="22"/>
          <w:szCs w:val="22"/>
        </w:rPr>
      </w:pPr>
    </w:p>
    <w:p w:rsidR="00CC0418" w:rsidRPr="00D84669" w:rsidRDefault="00CC0418" w:rsidP="00CC0418">
      <w:pPr>
        <w:numPr>
          <w:ilvl w:val="0"/>
          <w:numId w:val="13"/>
        </w:numPr>
        <w:rPr>
          <w:sz w:val="22"/>
          <w:szCs w:val="22"/>
        </w:rPr>
      </w:pPr>
      <w:r w:rsidRPr="00D84669">
        <w:rPr>
          <w:sz w:val="22"/>
          <w:szCs w:val="22"/>
        </w:rPr>
        <w:t xml:space="preserve">the following criteria are met: </w:t>
      </w:r>
    </w:p>
    <w:p w:rsidR="008234B6" w:rsidRPr="00D84669" w:rsidRDefault="00CC0418" w:rsidP="00CC0418">
      <w:pPr>
        <w:numPr>
          <w:ilvl w:val="0"/>
          <w:numId w:val="3"/>
        </w:numPr>
        <w:rPr>
          <w:i/>
          <w:sz w:val="22"/>
          <w:szCs w:val="22"/>
        </w:rPr>
      </w:pPr>
      <w:proofErr w:type="gramStart"/>
      <w:r w:rsidRPr="00D84669">
        <w:rPr>
          <w:i/>
          <w:sz w:val="22"/>
          <w:szCs w:val="22"/>
        </w:rPr>
        <w:t>at</w:t>
      </w:r>
      <w:proofErr w:type="gramEnd"/>
      <w:r w:rsidRPr="00D84669">
        <w:rPr>
          <w:i/>
          <w:sz w:val="22"/>
          <w:szCs w:val="22"/>
        </w:rPr>
        <w:t xml:space="preserve"> least 75% of the space in the building by net lettable area(or gross lettable area where net lettable area is not available) is for administrative, clerical, professional or similar information</w:t>
      </w:r>
      <w:r w:rsidRPr="00D84669">
        <w:rPr>
          <w:i/>
          <w:sz w:val="22"/>
          <w:szCs w:val="22"/>
        </w:rPr>
        <w:noBreakHyphen/>
        <w:t>based activities, including any support facilities for those activities</w:t>
      </w:r>
      <w:r w:rsidRPr="00D84669">
        <w:rPr>
          <w:sz w:val="22"/>
          <w:szCs w:val="22"/>
        </w:rPr>
        <w:t>.</w:t>
      </w:r>
      <w:r w:rsidRPr="00D84669">
        <w:rPr>
          <w:i/>
          <w:sz w:val="22"/>
          <w:szCs w:val="22"/>
        </w:rPr>
        <w:t xml:space="preserve"> </w:t>
      </w:r>
    </w:p>
    <w:p w:rsidR="00CC0418" w:rsidRPr="00D84669" w:rsidRDefault="005D7984" w:rsidP="008234B6">
      <w:pPr>
        <w:numPr>
          <w:ilvl w:val="1"/>
          <w:numId w:val="3"/>
        </w:numPr>
        <w:rPr>
          <w:i/>
          <w:sz w:val="22"/>
          <w:szCs w:val="22"/>
        </w:rPr>
      </w:pPr>
      <w:r w:rsidRPr="00D84669">
        <w:rPr>
          <w:sz w:val="22"/>
          <w:szCs w:val="22"/>
        </w:rPr>
        <w:t>These criteria are</w:t>
      </w:r>
      <w:r w:rsidR="00CC0418" w:rsidRPr="00D84669">
        <w:rPr>
          <w:sz w:val="22"/>
          <w:szCs w:val="22"/>
        </w:rPr>
        <w:t xml:space="preserve"> the same as </w:t>
      </w:r>
      <w:r w:rsidR="0006613F" w:rsidRPr="00D84669">
        <w:rPr>
          <w:sz w:val="22"/>
          <w:szCs w:val="22"/>
        </w:rPr>
        <w:t xml:space="preserve">subclause </w:t>
      </w:r>
      <w:r w:rsidRPr="00D84669">
        <w:rPr>
          <w:sz w:val="22"/>
          <w:szCs w:val="22"/>
        </w:rPr>
        <w:t>5(2)</w:t>
      </w:r>
      <w:r w:rsidR="00CC0418" w:rsidRPr="00D84669">
        <w:rPr>
          <w:sz w:val="22"/>
          <w:szCs w:val="22"/>
        </w:rPr>
        <w:t>.  It gives effect to the intention that any building where less than 75% of the space is dedicated to usual commercial office activities is neither a disclosure affected building nor contain</w:t>
      </w:r>
      <w:r w:rsidR="008234B6" w:rsidRPr="00D84669">
        <w:rPr>
          <w:sz w:val="22"/>
          <w:szCs w:val="22"/>
        </w:rPr>
        <w:t>s any disclosure affected areas</w:t>
      </w:r>
      <w:r w:rsidR="00CC0418" w:rsidRPr="00D84669">
        <w:rPr>
          <w:sz w:val="22"/>
          <w:szCs w:val="22"/>
        </w:rPr>
        <w:t>; and</w:t>
      </w:r>
    </w:p>
    <w:p w:rsidR="008234B6" w:rsidRPr="00D84669" w:rsidRDefault="00CC0418" w:rsidP="00CC0418">
      <w:pPr>
        <w:numPr>
          <w:ilvl w:val="0"/>
          <w:numId w:val="3"/>
        </w:numPr>
        <w:rPr>
          <w:sz w:val="22"/>
          <w:szCs w:val="22"/>
        </w:rPr>
      </w:pPr>
      <w:r w:rsidRPr="00D84669">
        <w:rPr>
          <w:i/>
          <w:sz w:val="22"/>
          <w:szCs w:val="22"/>
        </w:rPr>
        <w:t>the net lettable area (or gross lettable area where net lettable area is not available) of the space in the building that is for administrative, clerical, professional or similar information</w:t>
      </w:r>
      <w:r w:rsidRPr="00D84669">
        <w:rPr>
          <w:i/>
          <w:sz w:val="22"/>
          <w:szCs w:val="22"/>
        </w:rPr>
        <w:noBreakHyphen/>
        <w:t xml:space="preserve">based activities, including any support facilities for those activities, is at least 2000 square metres.  </w:t>
      </w:r>
    </w:p>
    <w:p w:rsidR="00CC0418" w:rsidRPr="00D84669" w:rsidRDefault="00CC0418" w:rsidP="008234B6">
      <w:pPr>
        <w:numPr>
          <w:ilvl w:val="1"/>
          <w:numId w:val="3"/>
        </w:numPr>
        <w:rPr>
          <w:sz w:val="22"/>
          <w:szCs w:val="22"/>
        </w:rPr>
      </w:pPr>
      <w:r w:rsidRPr="00D84669">
        <w:rPr>
          <w:sz w:val="22"/>
          <w:szCs w:val="22"/>
        </w:rPr>
        <w:t>This paragraph is intended to exclude smaller office areas;</w:t>
      </w:r>
    </w:p>
    <w:p w:rsidR="00CC0418" w:rsidRPr="00D84669" w:rsidRDefault="00CC0418" w:rsidP="00CC0418">
      <w:pPr>
        <w:rPr>
          <w:sz w:val="22"/>
          <w:szCs w:val="22"/>
        </w:rPr>
      </w:pPr>
      <w:proofErr w:type="gramStart"/>
      <w:r w:rsidRPr="00D84669">
        <w:rPr>
          <w:sz w:val="22"/>
          <w:szCs w:val="22"/>
        </w:rPr>
        <w:t>and</w:t>
      </w:r>
      <w:proofErr w:type="gramEnd"/>
    </w:p>
    <w:p w:rsidR="00CC0418" w:rsidRPr="00D84669" w:rsidRDefault="00CC0418" w:rsidP="00CC0418">
      <w:pPr>
        <w:rPr>
          <w:sz w:val="22"/>
          <w:szCs w:val="22"/>
        </w:rPr>
      </w:pPr>
    </w:p>
    <w:p w:rsidR="00CC0418" w:rsidRPr="00D84669" w:rsidRDefault="00CC0418" w:rsidP="00CC0418">
      <w:pPr>
        <w:numPr>
          <w:ilvl w:val="0"/>
          <w:numId w:val="13"/>
        </w:numPr>
        <w:rPr>
          <w:sz w:val="22"/>
          <w:szCs w:val="22"/>
        </w:rPr>
      </w:pPr>
      <w:r w:rsidRPr="00D84669">
        <w:rPr>
          <w:sz w:val="22"/>
          <w:szCs w:val="22"/>
        </w:rPr>
        <w:t xml:space="preserve">neither of the following </w:t>
      </w:r>
      <w:r w:rsidR="00752DCD" w:rsidRPr="00D84669">
        <w:rPr>
          <w:sz w:val="22"/>
          <w:szCs w:val="22"/>
        </w:rPr>
        <w:t xml:space="preserve">three </w:t>
      </w:r>
      <w:r w:rsidRPr="00D84669">
        <w:rPr>
          <w:sz w:val="22"/>
          <w:szCs w:val="22"/>
        </w:rPr>
        <w:t>exceptions apply:</w:t>
      </w:r>
    </w:p>
    <w:p w:rsidR="008234B6" w:rsidRPr="00D84669" w:rsidRDefault="00727BFE" w:rsidP="00CC0418">
      <w:pPr>
        <w:numPr>
          <w:ilvl w:val="0"/>
          <w:numId w:val="3"/>
        </w:numPr>
        <w:rPr>
          <w:sz w:val="22"/>
          <w:szCs w:val="22"/>
          <w:u w:val="single"/>
        </w:rPr>
      </w:pPr>
      <w:r w:rsidRPr="00D84669">
        <w:rPr>
          <w:i/>
          <w:sz w:val="22"/>
          <w:szCs w:val="22"/>
        </w:rPr>
        <w:t xml:space="preserve">the building in which it is located is new; and a certificate of occupancy (however described) indicating that the building is safe for occupancy is required to be issued by a local authority under a law of a State or Territory in order for the building to be occupied and the certificate has not yet been issued or was issued less than 2 years before the day. </w:t>
      </w:r>
    </w:p>
    <w:p w:rsidR="00174BF5" w:rsidRPr="00D84669" w:rsidRDefault="00CC0418" w:rsidP="00174BF5">
      <w:pPr>
        <w:numPr>
          <w:ilvl w:val="1"/>
          <w:numId w:val="3"/>
        </w:numPr>
        <w:rPr>
          <w:sz w:val="22"/>
          <w:szCs w:val="22"/>
          <w:u w:val="single"/>
        </w:rPr>
      </w:pPr>
      <w:r w:rsidRPr="00D84669">
        <w:rPr>
          <w:sz w:val="22"/>
          <w:szCs w:val="22"/>
        </w:rPr>
        <w:t>This exception is the same as in clause 5; or</w:t>
      </w:r>
    </w:p>
    <w:p w:rsidR="00174BF5" w:rsidRPr="00D84669" w:rsidRDefault="00174BF5" w:rsidP="00174BF5">
      <w:pPr>
        <w:ind w:left="2160"/>
        <w:rPr>
          <w:sz w:val="22"/>
          <w:szCs w:val="22"/>
          <w:u w:val="single"/>
        </w:rPr>
      </w:pPr>
    </w:p>
    <w:p w:rsidR="00174BF5" w:rsidRPr="00D84669" w:rsidRDefault="00752DCD" w:rsidP="00174BF5">
      <w:pPr>
        <w:numPr>
          <w:ilvl w:val="0"/>
          <w:numId w:val="3"/>
        </w:numPr>
        <w:rPr>
          <w:i/>
          <w:sz w:val="22"/>
          <w:szCs w:val="22"/>
          <w:u w:val="single"/>
        </w:rPr>
      </w:pPr>
      <w:r w:rsidRPr="00D84669">
        <w:rPr>
          <w:i/>
          <w:sz w:val="22"/>
          <w:szCs w:val="22"/>
        </w:rPr>
        <w:t xml:space="preserve">the building in which it is located has had a major refurbishment; and a certificate of occupancy (however described) indicating that the building is safe for occupancy was required to be issued by a local authority under a law of a State or Territory in order for the building to be occupied and the certificate was issued less than 2 years before the day.  </w:t>
      </w:r>
    </w:p>
    <w:p w:rsidR="00752DCD" w:rsidRPr="00D84669" w:rsidRDefault="00752DCD" w:rsidP="00174BF5">
      <w:pPr>
        <w:numPr>
          <w:ilvl w:val="1"/>
          <w:numId w:val="3"/>
        </w:numPr>
        <w:rPr>
          <w:sz w:val="22"/>
          <w:szCs w:val="22"/>
          <w:u w:val="single"/>
        </w:rPr>
      </w:pPr>
      <w:r w:rsidRPr="00D84669">
        <w:rPr>
          <w:sz w:val="22"/>
          <w:szCs w:val="22"/>
        </w:rPr>
        <w:t>This exception is the same as in clause 5; or</w:t>
      </w:r>
    </w:p>
    <w:p w:rsidR="00752DCD" w:rsidRPr="00D84669" w:rsidRDefault="00752DCD" w:rsidP="00752DCD">
      <w:pPr>
        <w:ind w:left="1440"/>
        <w:rPr>
          <w:sz w:val="22"/>
          <w:szCs w:val="22"/>
          <w:u w:val="single"/>
        </w:rPr>
      </w:pPr>
    </w:p>
    <w:p w:rsidR="008234B6" w:rsidRPr="00D84669" w:rsidRDefault="00CC0418" w:rsidP="00CC0418">
      <w:pPr>
        <w:numPr>
          <w:ilvl w:val="0"/>
          <w:numId w:val="3"/>
        </w:numPr>
        <w:rPr>
          <w:sz w:val="22"/>
          <w:szCs w:val="22"/>
        </w:rPr>
      </w:pPr>
      <w:proofErr w:type="gramStart"/>
      <w:r w:rsidRPr="00D84669">
        <w:rPr>
          <w:i/>
          <w:sz w:val="22"/>
          <w:szCs w:val="22"/>
        </w:rPr>
        <w:t>the</w:t>
      </w:r>
      <w:proofErr w:type="gramEnd"/>
      <w:r w:rsidRPr="00D84669">
        <w:rPr>
          <w:i/>
          <w:sz w:val="22"/>
          <w:szCs w:val="22"/>
        </w:rPr>
        <w:t xml:space="preserve"> building is held under a strata title system (however described).  </w:t>
      </w:r>
    </w:p>
    <w:p w:rsidR="00CC0418" w:rsidRPr="00D84669" w:rsidRDefault="00CC0418" w:rsidP="008234B6">
      <w:pPr>
        <w:numPr>
          <w:ilvl w:val="1"/>
          <w:numId w:val="3"/>
        </w:numPr>
        <w:rPr>
          <w:sz w:val="22"/>
          <w:szCs w:val="22"/>
        </w:rPr>
      </w:pPr>
      <w:r w:rsidRPr="00D84669">
        <w:rPr>
          <w:sz w:val="22"/>
          <w:szCs w:val="22"/>
        </w:rPr>
        <w:t>This exception is the same as in clause 5.</w:t>
      </w:r>
    </w:p>
    <w:p w:rsidR="007C7B6E" w:rsidRPr="00D84669" w:rsidRDefault="007C7B6E" w:rsidP="00CC0418">
      <w:pPr>
        <w:rPr>
          <w:sz w:val="22"/>
          <w:szCs w:val="22"/>
        </w:rPr>
      </w:pPr>
    </w:p>
    <w:p w:rsidR="00AD76A2" w:rsidRPr="00D84669" w:rsidRDefault="00AD76A2" w:rsidP="00AD76A2">
      <w:pPr>
        <w:rPr>
          <w:sz w:val="22"/>
          <w:szCs w:val="22"/>
        </w:rPr>
      </w:pPr>
      <w:r>
        <w:rPr>
          <w:sz w:val="22"/>
          <w:szCs w:val="22"/>
        </w:rPr>
        <w:t>From 1 July 2017,</w:t>
      </w:r>
      <w:r w:rsidRPr="005944E8">
        <w:t xml:space="preserve"> </w:t>
      </w:r>
      <w:r w:rsidRPr="005944E8">
        <w:rPr>
          <w:sz w:val="22"/>
          <w:szCs w:val="22"/>
        </w:rPr>
        <w:t xml:space="preserve">the </w:t>
      </w:r>
      <w:r>
        <w:rPr>
          <w:sz w:val="22"/>
          <w:szCs w:val="22"/>
        </w:rPr>
        <w:t xml:space="preserve">applicable </w:t>
      </w:r>
      <w:r w:rsidRPr="005944E8">
        <w:rPr>
          <w:sz w:val="22"/>
          <w:szCs w:val="22"/>
        </w:rPr>
        <w:t>net lettable area (or gross lettable area where net lettable area is not available) of the space in the building that is for administrative, clerical, professional or similar information based activities, including any support facilities for</w:t>
      </w:r>
      <w:r>
        <w:rPr>
          <w:sz w:val="22"/>
          <w:szCs w:val="22"/>
        </w:rPr>
        <w:t xml:space="preserve"> those activities, is at least 1</w:t>
      </w:r>
      <w:r w:rsidRPr="005944E8">
        <w:rPr>
          <w:sz w:val="22"/>
          <w:szCs w:val="22"/>
        </w:rPr>
        <w:t xml:space="preserve">000 square metres. </w:t>
      </w:r>
      <w:r>
        <w:rPr>
          <w:sz w:val="22"/>
          <w:szCs w:val="22"/>
        </w:rPr>
        <w:t xml:space="preserve">Otherwise, the criteria and exceptions for the areas of buildings that are disclosure affected are the same. </w:t>
      </w:r>
    </w:p>
    <w:p w:rsidR="00AD76A2" w:rsidRDefault="00AD76A2">
      <w:pPr>
        <w:rPr>
          <w:sz w:val="22"/>
          <w:szCs w:val="22"/>
        </w:rPr>
        <w:sectPr w:rsidR="00AD76A2" w:rsidSect="00CC0418">
          <w:headerReference w:type="default" r:id="rId11"/>
          <w:pgSz w:w="11906" w:h="16838"/>
          <w:pgMar w:top="1440" w:right="1800" w:bottom="1440" w:left="1800" w:header="708" w:footer="708" w:gutter="0"/>
          <w:cols w:space="708"/>
          <w:docGrid w:linePitch="360"/>
        </w:sectPr>
      </w:pPr>
    </w:p>
    <w:p w:rsidR="00BC77D3" w:rsidRDefault="00BC77D3">
      <w:pPr>
        <w:jc w:val="center"/>
        <w:rPr>
          <w:b/>
          <w:szCs w:val="20"/>
        </w:rPr>
      </w:pPr>
      <w:r w:rsidRPr="0053704F">
        <w:rPr>
          <w:b/>
          <w:szCs w:val="20"/>
        </w:rPr>
        <w:t>STATEMENT OF COMPATIBILITY WITH HUMAN RIGHTS</w:t>
      </w:r>
    </w:p>
    <w:p w:rsidR="009434EB" w:rsidRPr="0053704F" w:rsidRDefault="009434EB" w:rsidP="00BC77D3">
      <w:pPr>
        <w:jc w:val="center"/>
        <w:rPr>
          <w:rFonts w:ascii="Calibri" w:hAnsi="Calibri"/>
        </w:rPr>
      </w:pPr>
    </w:p>
    <w:p w:rsidR="00010FC1" w:rsidRPr="00D84669" w:rsidRDefault="00010FC1" w:rsidP="00010FC1">
      <w:pPr>
        <w:spacing w:before="120" w:after="120"/>
        <w:jc w:val="center"/>
        <w:rPr>
          <w:i/>
        </w:rPr>
      </w:pPr>
      <w:r w:rsidRPr="00D84669">
        <w:rPr>
          <w:i/>
        </w:rPr>
        <w:t>Prepared in accordance with Part 3 of the Hu</w:t>
      </w:r>
      <w:r w:rsidR="009434EB">
        <w:rPr>
          <w:i/>
        </w:rPr>
        <w:t>m</w:t>
      </w:r>
      <w:r w:rsidRPr="00D84669">
        <w:rPr>
          <w:i/>
        </w:rPr>
        <w:t>an Rights (Parliamentary Scrutiny) Act 2011</w:t>
      </w:r>
    </w:p>
    <w:p w:rsidR="00010FC1" w:rsidRPr="00D84669" w:rsidRDefault="00010FC1" w:rsidP="00010FC1">
      <w:pPr>
        <w:spacing w:before="120" w:after="120"/>
        <w:jc w:val="center"/>
      </w:pPr>
    </w:p>
    <w:p w:rsidR="00010FC1" w:rsidRPr="00D84669" w:rsidRDefault="00010FC1" w:rsidP="00010FC1">
      <w:pPr>
        <w:jc w:val="center"/>
        <w:rPr>
          <w:b/>
        </w:rPr>
      </w:pPr>
      <w:r w:rsidRPr="00D84669">
        <w:rPr>
          <w:b/>
          <w:i/>
        </w:rPr>
        <w:t>Building Energy Efficiency Disclosure (Disclosure Affected Buildings) Determination 201</w:t>
      </w:r>
      <w:r w:rsidR="0028144E">
        <w:rPr>
          <w:b/>
          <w:i/>
        </w:rPr>
        <w:t>6</w:t>
      </w:r>
    </w:p>
    <w:p w:rsidR="00010FC1" w:rsidRPr="00D84669" w:rsidRDefault="00010FC1" w:rsidP="00010FC1">
      <w:pPr>
        <w:spacing w:before="120" w:after="120"/>
        <w:jc w:val="center"/>
      </w:pPr>
    </w:p>
    <w:p w:rsidR="00010FC1" w:rsidRPr="00D84669" w:rsidRDefault="00010FC1" w:rsidP="00010FC1">
      <w:pPr>
        <w:spacing w:before="120" w:after="120"/>
        <w:jc w:val="center"/>
      </w:pPr>
    </w:p>
    <w:p w:rsidR="00010FC1" w:rsidRPr="00D84669" w:rsidRDefault="00010FC1" w:rsidP="00010FC1">
      <w:pPr>
        <w:spacing w:before="120" w:after="120"/>
        <w:jc w:val="center"/>
      </w:pPr>
      <w:r w:rsidRPr="00D84669">
        <w:t xml:space="preserve">This Legislative Instrument is compatible with the human rights and freedoms recognised or declared in the international instruments listed in section 3 of the </w:t>
      </w:r>
      <w:r w:rsidRPr="00D84669">
        <w:rPr>
          <w:i/>
        </w:rPr>
        <w:t>Human Rights (Parliamentary Scrutiny) Act 2011</w:t>
      </w:r>
      <w:r w:rsidRPr="00D84669">
        <w:t>.</w:t>
      </w:r>
    </w:p>
    <w:p w:rsidR="00010FC1" w:rsidRPr="00D84669" w:rsidRDefault="00010FC1" w:rsidP="00010FC1">
      <w:pPr>
        <w:spacing w:before="120" w:after="120"/>
        <w:jc w:val="center"/>
      </w:pPr>
    </w:p>
    <w:p w:rsidR="00010FC1" w:rsidRPr="00D84669" w:rsidRDefault="00010FC1" w:rsidP="00010FC1">
      <w:pPr>
        <w:spacing w:before="120" w:after="120"/>
        <w:jc w:val="center"/>
      </w:pPr>
    </w:p>
    <w:p w:rsidR="00010FC1" w:rsidRPr="00D84669" w:rsidRDefault="00010FC1" w:rsidP="00010FC1">
      <w:pPr>
        <w:spacing w:before="120" w:after="120"/>
        <w:jc w:val="both"/>
        <w:rPr>
          <w:b/>
        </w:rPr>
      </w:pPr>
      <w:r w:rsidRPr="00D84669">
        <w:rPr>
          <w:b/>
        </w:rPr>
        <w:t>Overview of the Legislative Instrument</w:t>
      </w:r>
    </w:p>
    <w:p w:rsidR="00010FC1" w:rsidRPr="00D84669" w:rsidRDefault="00010FC1" w:rsidP="00010FC1">
      <w:pPr>
        <w:rPr>
          <w:i/>
          <w:szCs w:val="22"/>
        </w:rPr>
      </w:pPr>
      <w:r w:rsidRPr="00D84669">
        <w:t>The</w:t>
      </w:r>
      <w:r w:rsidR="0028144E">
        <w:t xml:space="preserve"> </w:t>
      </w:r>
      <w:r w:rsidRPr="00D84669">
        <w:rPr>
          <w:i/>
          <w:szCs w:val="22"/>
        </w:rPr>
        <w:t xml:space="preserve">Building Energy Efficiency Disclosure </w:t>
      </w:r>
      <w:r w:rsidR="00AC1275" w:rsidRPr="00D84669">
        <w:rPr>
          <w:i/>
          <w:szCs w:val="22"/>
        </w:rPr>
        <w:t xml:space="preserve">(Disclosure Affected Buildings) </w:t>
      </w:r>
      <w:r w:rsidRPr="00D84669">
        <w:rPr>
          <w:i/>
          <w:szCs w:val="22"/>
        </w:rPr>
        <w:t>Determination 201</w:t>
      </w:r>
      <w:r w:rsidR="0028144E">
        <w:rPr>
          <w:i/>
          <w:szCs w:val="22"/>
        </w:rPr>
        <w:t>6</w:t>
      </w:r>
      <w:r w:rsidRPr="00D84669">
        <w:rPr>
          <w:szCs w:val="22"/>
        </w:rPr>
        <w:t xml:space="preserve"> </w:t>
      </w:r>
      <w:r w:rsidR="005944E8" w:rsidRPr="00D84669">
        <w:rPr>
          <w:sz w:val="22"/>
          <w:szCs w:val="22"/>
        </w:rPr>
        <w:t>specif</w:t>
      </w:r>
      <w:r w:rsidR="005944E8">
        <w:rPr>
          <w:sz w:val="22"/>
          <w:szCs w:val="22"/>
        </w:rPr>
        <w:t>ies</w:t>
      </w:r>
      <w:r w:rsidR="005944E8" w:rsidRPr="00D84669">
        <w:rPr>
          <w:sz w:val="22"/>
          <w:szCs w:val="22"/>
        </w:rPr>
        <w:t xml:space="preserve"> the kinds of buildings</w:t>
      </w:r>
      <w:r w:rsidR="009434EB">
        <w:rPr>
          <w:sz w:val="22"/>
          <w:szCs w:val="22"/>
        </w:rPr>
        <w:t>, and the areas of buildings,</w:t>
      </w:r>
      <w:r w:rsidR="005944E8" w:rsidRPr="00D84669">
        <w:rPr>
          <w:sz w:val="22"/>
          <w:szCs w:val="22"/>
        </w:rPr>
        <w:t xml:space="preserve"> that are disclosure affected</w:t>
      </w:r>
      <w:r w:rsidR="005944E8">
        <w:rPr>
          <w:sz w:val="22"/>
          <w:szCs w:val="22"/>
        </w:rPr>
        <w:t>.</w:t>
      </w:r>
    </w:p>
    <w:p w:rsidR="00010FC1" w:rsidRPr="00D84669" w:rsidRDefault="00010FC1" w:rsidP="00010FC1">
      <w:pPr>
        <w:spacing w:before="120" w:after="120"/>
      </w:pPr>
    </w:p>
    <w:p w:rsidR="00010FC1" w:rsidRPr="00D84669" w:rsidRDefault="00010FC1" w:rsidP="00010FC1">
      <w:pPr>
        <w:spacing w:before="120" w:after="120"/>
        <w:rPr>
          <w:b/>
        </w:rPr>
      </w:pPr>
      <w:r w:rsidRPr="00D84669">
        <w:rPr>
          <w:b/>
        </w:rPr>
        <w:t>Human rights implications</w:t>
      </w:r>
    </w:p>
    <w:p w:rsidR="00010FC1" w:rsidRPr="00D84669" w:rsidRDefault="00010FC1" w:rsidP="00010FC1">
      <w:pPr>
        <w:spacing w:before="120" w:after="120"/>
      </w:pPr>
      <w:r w:rsidRPr="00D84669">
        <w:t>This Legislative Instrument does not engage any of the applicable rights or freedoms.</w:t>
      </w:r>
    </w:p>
    <w:p w:rsidR="00010FC1" w:rsidRPr="00D84669" w:rsidRDefault="00010FC1" w:rsidP="00010FC1">
      <w:pPr>
        <w:spacing w:before="120" w:after="120"/>
      </w:pPr>
    </w:p>
    <w:p w:rsidR="00010FC1" w:rsidRPr="00D84669" w:rsidRDefault="00010FC1" w:rsidP="00010FC1">
      <w:pPr>
        <w:spacing w:before="120" w:after="120"/>
        <w:rPr>
          <w:b/>
        </w:rPr>
      </w:pPr>
      <w:r w:rsidRPr="00D84669">
        <w:rPr>
          <w:b/>
        </w:rPr>
        <w:t>Conclusion</w:t>
      </w:r>
      <w:bookmarkStart w:id="1" w:name="CursorPositionBM"/>
      <w:bookmarkEnd w:id="1"/>
    </w:p>
    <w:p w:rsidR="00010FC1" w:rsidRPr="00D84669" w:rsidRDefault="00010FC1" w:rsidP="00010FC1">
      <w:pPr>
        <w:spacing w:before="120" w:after="120"/>
      </w:pPr>
      <w:r w:rsidRPr="00D84669">
        <w:t>This Legislative Instrument is compatible with human rights as it does not raise any human rights issues.</w:t>
      </w:r>
    </w:p>
    <w:p w:rsidR="00010FC1" w:rsidRPr="00D84669" w:rsidRDefault="00010FC1" w:rsidP="00010FC1">
      <w:pPr>
        <w:spacing w:before="120" w:after="120"/>
        <w:jc w:val="center"/>
        <w:rPr>
          <w:b/>
        </w:rPr>
      </w:pPr>
    </w:p>
    <w:p w:rsidR="00010FC1" w:rsidRPr="00D84669" w:rsidRDefault="00010FC1" w:rsidP="00010FC1">
      <w:pPr>
        <w:spacing w:before="120" w:after="120"/>
        <w:jc w:val="center"/>
      </w:pPr>
      <w:r w:rsidRPr="00D84669">
        <w:rPr>
          <w:b/>
        </w:rPr>
        <w:t xml:space="preserve">The </w:t>
      </w:r>
      <w:r w:rsidR="00AC1275" w:rsidRPr="00D84669">
        <w:rPr>
          <w:b/>
        </w:rPr>
        <w:t>Minister for</w:t>
      </w:r>
      <w:r w:rsidR="0028144E">
        <w:rPr>
          <w:b/>
        </w:rPr>
        <w:t xml:space="preserve"> Resources</w:t>
      </w:r>
      <w:r w:rsidR="00AC1275" w:rsidRPr="00D84669">
        <w:rPr>
          <w:b/>
        </w:rPr>
        <w:t>,</w:t>
      </w:r>
      <w:r w:rsidR="0028144E">
        <w:rPr>
          <w:b/>
        </w:rPr>
        <w:t xml:space="preserve"> Energy and Northern Australia</w:t>
      </w:r>
      <w:r w:rsidR="00AC1275" w:rsidRPr="00D84669">
        <w:rPr>
          <w:b/>
        </w:rPr>
        <w:t xml:space="preserve"> the Honourable </w:t>
      </w:r>
      <w:r w:rsidR="0028144E">
        <w:rPr>
          <w:b/>
        </w:rPr>
        <w:t xml:space="preserve">Josh Frydenberg </w:t>
      </w:r>
      <w:r w:rsidR="00AC1275" w:rsidRPr="00D84669">
        <w:rPr>
          <w:b/>
        </w:rPr>
        <w:t>MP</w:t>
      </w:r>
    </w:p>
    <w:p w:rsidR="00010FC1" w:rsidRPr="00D84669" w:rsidRDefault="00010FC1">
      <w:pPr>
        <w:rPr>
          <w:sz w:val="22"/>
          <w:szCs w:val="22"/>
          <w:u w:val="single"/>
        </w:rPr>
      </w:pPr>
    </w:p>
    <w:sectPr w:rsidR="00010FC1" w:rsidRPr="00D84669" w:rsidSect="00CC04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A72" w:rsidRDefault="00546A72" w:rsidP="00EB5B91">
      <w:r>
        <w:separator/>
      </w:r>
    </w:p>
  </w:endnote>
  <w:endnote w:type="continuationSeparator" w:id="0">
    <w:p w:rsidR="00546A72" w:rsidRDefault="00546A72" w:rsidP="00EB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A72" w:rsidRDefault="00546A72" w:rsidP="00EB5B91">
      <w:r>
        <w:separator/>
      </w:r>
    </w:p>
  </w:footnote>
  <w:footnote w:type="continuationSeparator" w:id="0">
    <w:p w:rsidR="00546A72" w:rsidRDefault="00546A72" w:rsidP="00EB5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B91" w:rsidRPr="00EB5B91" w:rsidRDefault="00EB5B91" w:rsidP="00EB5B91">
    <w:pPr>
      <w:pStyle w:val="Header"/>
      <w:jc w:val="center"/>
      <w:rPr>
        <w:rFonts w:ascii="Century Gothic" w:hAnsi="Century Gothic"/>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B4A42"/>
    <w:multiLevelType w:val="hybridMultilevel"/>
    <w:tmpl w:val="2B7A3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EB6B96"/>
    <w:multiLevelType w:val="hybridMultilevel"/>
    <w:tmpl w:val="A3CE865E"/>
    <w:lvl w:ilvl="0" w:tplc="A7D2C5E8">
      <w:start w:val="1"/>
      <w:numFmt w:val="lowerLetter"/>
      <w:lvlText w:val="%1)"/>
      <w:lvlJc w:val="left"/>
      <w:pPr>
        <w:tabs>
          <w:tab w:val="num" w:pos="1134"/>
        </w:tabs>
        <w:ind w:left="1134"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7802CC2"/>
    <w:multiLevelType w:val="multilevel"/>
    <w:tmpl w:val="A3CE865E"/>
    <w:lvl w:ilvl="0">
      <w:start w:val="1"/>
      <w:numFmt w:val="lowerLetter"/>
      <w:lvlText w:val="%1)"/>
      <w:lvlJc w:val="left"/>
      <w:pPr>
        <w:tabs>
          <w:tab w:val="num" w:pos="1134"/>
        </w:tabs>
        <w:ind w:left="1134" w:hanging="70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D8B275E"/>
    <w:multiLevelType w:val="hybridMultilevel"/>
    <w:tmpl w:val="E9065048"/>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21C35E64"/>
    <w:multiLevelType w:val="hybridMultilevel"/>
    <w:tmpl w:val="59C6693A"/>
    <w:lvl w:ilvl="0" w:tplc="37EA8E9C">
      <w:start w:val="1"/>
      <w:numFmt w:val="lowerLetter"/>
      <w:lvlText w:val="(%1)"/>
      <w:lvlJc w:val="left"/>
      <w:pPr>
        <w:tabs>
          <w:tab w:val="num" w:pos="735"/>
        </w:tabs>
        <w:ind w:left="735" w:hanging="37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28422B14"/>
    <w:multiLevelType w:val="multilevel"/>
    <w:tmpl w:val="30FED778"/>
    <w:lvl w:ilvl="0">
      <w:start w:val="1"/>
      <w:numFmt w:val="lowerLetter"/>
      <w:lvlText w:val="%1)"/>
      <w:lvlJc w:val="left"/>
      <w:pPr>
        <w:tabs>
          <w:tab w:val="num" w:pos="1134"/>
        </w:tabs>
        <w:ind w:left="1134" w:hanging="70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CFA72D6"/>
    <w:multiLevelType w:val="hybridMultilevel"/>
    <w:tmpl w:val="88CA31AE"/>
    <w:lvl w:ilvl="0" w:tplc="A7D2C5E8">
      <w:start w:val="1"/>
      <w:numFmt w:val="lowerLetter"/>
      <w:lvlText w:val="%1)"/>
      <w:lvlJc w:val="left"/>
      <w:pPr>
        <w:tabs>
          <w:tab w:val="num" w:pos="1134"/>
        </w:tabs>
        <w:ind w:left="1134"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464043AC"/>
    <w:multiLevelType w:val="multilevel"/>
    <w:tmpl w:val="D82ED7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7D3F68"/>
    <w:multiLevelType w:val="hybridMultilevel"/>
    <w:tmpl w:val="502AEDE8"/>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571A3C19"/>
    <w:multiLevelType w:val="hybridMultilevel"/>
    <w:tmpl w:val="B46AE52A"/>
    <w:lvl w:ilvl="0" w:tplc="302EADC8">
      <w:start w:val="1"/>
      <w:numFmt w:val="lowerLetter"/>
      <w:lvlText w:val="%1)"/>
      <w:lvlJc w:val="left"/>
      <w:pPr>
        <w:tabs>
          <w:tab w:val="num" w:pos="1134"/>
        </w:tabs>
        <w:ind w:left="1134"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58ED4662"/>
    <w:multiLevelType w:val="hybridMultilevel"/>
    <w:tmpl w:val="C0DE8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362246"/>
    <w:multiLevelType w:val="hybridMultilevel"/>
    <w:tmpl w:val="1F5A3B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BD2DEE"/>
    <w:multiLevelType w:val="hybridMultilevel"/>
    <w:tmpl w:val="6AB4E5C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3" w15:restartNumberingAfterBreak="0">
    <w:nsid w:val="6BCE0650"/>
    <w:multiLevelType w:val="hybridMultilevel"/>
    <w:tmpl w:val="980EF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07E6176"/>
    <w:multiLevelType w:val="hybridMultilevel"/>
    <w:tmpl w:val="86F02FD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5" w15:restartNumberingAfterBreak="0">
    <w:nsid w:val="71870A8D"/>
    <w:multiLevelType w:val="hybridMultilevel"/>
    <w:tmpl w:val="EB8268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F155B4"/>
    <w:multiLevelType w:val="hybridMultilevel"/>
    <w:tmpl w:val="36583B7C"/>
    <w:lvl w:ilvl="0" w:tplc="4CEEA1EE">
      <w:start w:val="1"/>
      <w:numFmt w:val="lowerLetter"/>
      <w:lvlText w:val="(%1)"/>
      <w:lvlJc w:val="left"/>
      <w:pPr>
        <w:ind w:left="1800" w:hanging="360"/>
      </w:pPr>
      <w:rPr>
        <w:rFonts w:hint="default"/>
      </w:rPr>
    </w:lvl>
    <w:lvl w:ilvl="1" w:tplc="0C090019" w:tentative="1">
      <w:start w:val="1"/>
      <w:numFmt w:val="lowerLetter"/>
      <w:lvlText w:val="%2."/>
      <w:lvlJc w:val="left"/>
      <w:pPr>
        <w:tabs>
          <w:tab w:val="num" w:pos="1104"/>
        </w:tabs>
        <w:ind w:left="1104" w:hanging="360"/>
      </w:pPr>
    </w:lvl>
    <w:lvl w:ilvl="2" w:tplc="0C09001B" w:tentative="1">
      <w:start w:val="1"/>
      <w:numFmt w:val="lowerRoman"/>
      <w:lvlText w:val="%3."/>
      <w:lvlJc w:val="right"/>
      <w:pPr>
        <w:tabs>
          <w:tab w:val="num" w:pos="1824"/>
        </w:tabs>
        <w:ind w:left="1824" w:hanging="180"/>
      </w:pPr>
    </w:lvl>
    <w:lvl w:ilvl="3" w:tplc="0C09000F" w:tentative="1">
      <w:start w:val="1"/>
      <w:numFmt w:val="decimal"/>
      <w:lvlText w:val="%4."/>
      <w:lvlJc w:val="left"/>
      <w:pPr>
        <w:tabs>
          <w:tab w:val="num" w:pos="2544"/>
        </w:tabs>
        <w:ind w:left="2544" w:hanging="360"/>
      </w:pPr>
    </w:lvl>
    <w:lvl w:ilvl="4" w:tplc="0C090019" w:tentative="1">
      <w:start w:val="1"/>
      <w:numFmt w:val="lowerLetter"/>
      <w:lvlText w:val="%5."/>
      <w:lvlJc w:val="left"/>
      <w:pPr>
        <w:tabs>
          <w:tab w:val="num" w:pos="3264"/>
        </w:tabs>
        <w:ind w:left="3264" w:hanging="360"/>
      </w:pPr>
    </w:lvl>
    <w:lvl w:ilvl="5" w:tplc="0C09001B" w:tentative="1">
      <w:start w:val="1"/>
      <w:numFmt w:val="lowerRoman"/>
      <w:lvlText w:val="%6."/>
      <w:lvlJc w:val="right"/>
      <w:pPr>
        <w:tabs>
          <w:tab w:val="num" w:pos="3984"/>
        </w:tabs>
        <w:ind w:left="3984" w:hanging="180"/>
      </w:pPr>
    </w:lvl>
    <w:lvl w:ilvl="6" w:tplc="0C09000F" w:tentative="1">
      <w:start w:val="1"/>
      <w:numFmt w:val="decimal"/>
      <w:lvlText w:val="%7."/>
      <w:lvlJc w:val="left"/>
      <w:pPr>
        <w:tabs>
          <w:tab w:val="num" w:pos="4704"/>
        </w:tabs>
        <w:ind w:left="4704" w:hanging="360"/>
      </w:pPr>
    </w:lvl>
    <w:lvl w:ilvl="7" w:tplc="0C090019" w:tentative="1">
      <w:start w:val="1"/>
      <w:numFmt w:val="lowerLetter"/>
      <w:lvlText w:val="%8."/>
      <w:lvlJc w:val="left"/>
      <w:pPr>
        <w:tabs>
          <w:tab w:val="num" w:pos="5424"/>
        </w:tabs>
        <w:ind w:left="5424" w:hanging="360"/>
      </w:pPr>
    </w:lvl>
    <w:lvl w:ilvl="8" w:tplc="0C09001B" w:tentative="1">
      <w:start w:val="1"/>
      <w:numFmt w:val="lowerRoman"/>
      <w:lvlText w:val="%9."/>
      <w:lvlJc w:val="right"/>
      <w:pPr>
        <w:tabs>
          <w:tab w:val="num" w:pos="6144"/>
        </w:tabs>
        <w:ind w:left="6144" w:hanging="180"/>
      </w:pPr>
    </w:lvl>
  </w:abstractNum>
  <w:abstractNum w:abstractNumId="17" w15:restartNumberingAfterBreak="0">
    <w:nsid w:val="7AAD0550"/>
    <w:multiLevelType w:val="hybridMultilevel"/>
    <w:tmpl w:val="4C9C8388"/>
    <w:lvl w:ilvl="0" w:tplc="0C090001">
      <w:start w:val="1"/>
      <w:numFmt w:val="bullet"/>
      <w:lvlText w:val=""/>
      <w:lvlJc w:val="left"/>
      <w:pPr>
        <w:tabs>
          <w:tab w:val="num" w:pos="1440"/>
        </w:tabs>
        <w:ind w:left="1440" w:hanging="360"/>
      </w:pPr>
      <w:rPr>
        <w:rFonts w:ascii="Symbol" w:hAnsi="Symbol" w:hint="default"/>
      </w:rPr>
    </w:lvl>
    <w:lvl w:ilvl="1" w:tplc="0C090005">
      <w:start w:val="1"/>
      <w:numFmt w:val="bullet"/>
      <w:lvlText w:val=""/>
      <w:lvlJc w:val="left"/>
      <w:pPr>
        <w:tabs>
          <w:tab w:val="num" w:pos="2160"/>
        </w:tabs>
        <w:ind w:left="2160" w:hanging="360"/>
      </w:pPr>
      <w:rPr>
        <w:rFonts w:ascii="Wingdings" w:hAnsi="Wingdings"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E4C0772"/>
    <w:multiLevelType w:val="multilevel"/>
    <w:tmpl w:val="30FED778"/>
    <w:lvl w:ilvl="0">
      <w:start w:val="1"/>
      <w:numFmt w:val="lowerLetter"/>
      <w:lvlText w:val="%1)"/>
      <w:lvlJc w:val="left"/>
      <w:pPr>
        <w:tabs>
          <w:tab w:val="num" w:pos="1134"/>
        </w:tabs>
        <w:ind w:left="1134" w:hanging="70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5"/>
  </w:num>
  <w:num w:numId="2">
    <w:abstractNumId w:val="3"/>
  </w:num>
  <w:num w:numId="3">
    <w:abstractNumId w:val="17"/>
  </w:num>
  <w:num w:numId="4">
    <w:abstractNumId w:val="7"/>
  </w:num>
  <w:num w:numId="5">
    <w:abstractNumId w:val="9"/>
  </w:num>
  <w:num w:numId="6">
    <w:abstractNumId w:val="4"/>
  </w:num>
  <w:num w:numId="7">
    <w:abstractNumId w:val="1"/>
  </w:num>
  <w:num w:numId="8">
    <w:abstractNumId w:val="11"/>
  </w:num>
  <w:num w:numId="9">
    <w:abstractNumId w:val="8"/>
  </w:num>
  <w:num w:numId="10">
    <w:abstractNumId w:val="5"/>
  </w:num>
  <w:num w:numId="11">
    <w:abstractNumId w:val="18"/>
  </w:num>
  <w:num w:numId="12">
    <w:abstractNumId w:val="2"/>
  </w:num>
  <w:num w:numId="13">
    <w:abstractNumId w:val="6"/>
  </w:num>
  <w:num w:numId="14">
    <w:abstractNumId w:val="16"/>
  </w:num>
  <w:num w:numId="15">
    <w:abstractNumId w:val="0"/>
  </w:num>
  <w:num w:numId="16">
    <w:abstractNumId w:val="13"/>
  </w:num>
  <w:num w:numId="17">
    <w:abstractNumId w:val="10"/>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E10"/>
    <w:rsid w:val="00010FC1"/>
    <w:rsid w:val="0001507F"/>
    <w:rsid w:val="00016E5B"/>
    <w:rsid w:val="00027A1B"/>
    <w:rsid w:val="000315F4"/>
    <w:rsid w:val="00033C13"/>
    <w:rsid w:val="00052513"/>
    <w:rsid w:val="0006613F"/>
    <w:rsid w:val="0008022D"/>
    <w:rsid w:val="0008782D"/>
    <w:rsid w:val="00095AFF"/>
    <w:rsid w:val="000A5035"/>
    <w:rsid w:val="000A639A"/>
    <w:rsid w:val="000C3527"/>
    <w:rsid w:val="000C794B"/>
    <w:rsid w:val="000D1497"/>
    <w:rsid w:val="000D22EB"/>
    <w:rsid w:val="000F0164"/>
    <w:rsid w:val="000F3484"/>
    <w:rsid w:val="00106255"/>
    <w:rsid w:val="00156449"/>
    <w:rsid w:val="00174BF5"/>
    <w:rsid w:val="0018586D"/>
    <w:rsid w:val="00190EBF"/>
    <w:rsid w:val="001933CE"/>
    <w:rsid w:val="00194E13"/>
    <w:rsid w:val="001A07A3"/>
    <w:rsid w:val="001C1B18"/>
    <w:rsid w:val="001E6120"/>
    <w:rsid w:val="002114F4"/>
    <w:rsid w:val="00215DE3"/>
    <w:rsid w:val="00232D51"/>
    <w:rsid w:val="002506F5"/>
    <w:rsid w:val="00273421"/>
    <w:rsid w:val="0028144E"/>
    <w:rsid w:val="002D1DE3"/>
    <w:rsid w:val="002E0B06"/>
    <w:rsid w:val="002E41B8"/>
    <w:rsid w:val="002F326C"/>
    <w:rsid w:val="00303F45"/>
    <w:rsid w:val="0031099F"/>
    <w:rsid w:val="00311032"/>
    <w:rsid w:val="00314B26"/>
    <w:rsid w:val="0032273C"/>
    <w:rsid w:val="00326B05"/>
    <w:rsid w:val="00343C68"/>
    <w:rsid w:val="00350230"/>
    <w:rsid w:val="00353597"/>
    <w:rsid w:val="00354893"/>
    <w:rsid w:val="003575B9"/>
    <w:rsid w:val="00372010"/>
    <w:rsid w:val="003C0040"/>
    <w:rsid w:val="003E0F7E"/>
    <w:rsid w:val="003F018F"/>
    <w:rsid w:val="003F11B2"/>
    <w:rsid w:val="004019BB"/>
    <w:rsid w:val="0042603C"/>
    <w:rsid w:val="00441AF0"/>
    <w:rsid w:val="00451A87"/>
    <w:rsid w:val="00455659"/>
    <w:rsid w:val="0046181B"/>
    <w:rsid w:val="0046607D"/>
    <w:rsid w:val="00477569"/>
    <w:rsid w:val="00480DFE"/>
    <w:rsid w:val="004A724A"/>
    <w:rsid w:val="004C5E5E"/>
    <w:rsid w:val="004E46A3"/>
    <w:rsid w:val="004F2224"/>
    <w:rsid w:val="004F37E6"/>
    <w:rsid w:val="00506B39"/>
    <w:rsid w:val="00507AD3"/>
    <w:rsid w:val="00511E10"/>
    <w:rsid w:val="00513521"/>
    <w:rsid w:val="00516443"/>
    <w:rsid w:val="005168FC"/>
    <w:rsid w:val="0052105F"/>
    <w:rsid w:val="005309CD"/>
    <w:rsid w:val="005428DF"/>
    <w:rsid w:val="00544D99"/>
    <w:rsid w:val="00546A72"/>
    <w:rsid w:val="0055109F"/>
    <w:rsid w:val="00552456"/>
    <w:rsid w:val="00563F4D"/>
    <w:rsid w:val="0057220D"/>
    <w:rsid w:val="0059230E"/>
    <w:rsid w:val="005944E8"/>
    <w:rsid w:val="005A2249"/>
    <w:rsid w:val="005D7984"/>
    <w:rsid w:val="005E6426"/>
    <w:rsid w:val="005F30B3"/>
    <w:rsid w:val="005F44DC"/>
    <w:rsid w:val="006316AA"/>
    <w:rsid w:val="00632E57"/>
    <w:rsid w:val="006576E6"/>
    <w:rsid w:val="006E107E"/>
    <w:rsid w:val="00703788"/>
    <w:rsid w:val="007048C2"/>
    <w:rsid w:val="00722D70"/>
    <w:rsid w:val="007248F5"/>
    <w:rsid w:val="00727BFE"/>
    <w:rsid w:val="0075282F"/>
    <w:rsid w:val="00752DCD"/>
    <w:rsid w:val="00756D4C"/>
    <w:rsid w:val="00775391"/>
    <w:rsid w:val="00795686"/>
    <w:rsid w:val="007A041D"/>
    <w:rsid w:val="007A797C"/>
    <w:rsid w:val="007C7B6E"/>
    <w:rsid w:val="007D162D"/>
    <w:rsid w:val="007E08DD"/>
    <w:rsid w:val="007E6D15"/>
    <w:rsid w:val="008213A2"/>
    <w:rsid w:val="008234B6"/>
    <w:rsid w:val="008907E0"/>
    <w:rsid w:val="00897C31"/>
    <w:rsid w:val="008A4416"/>
    <w:rsid w:val="008A5DF8"/>
    <w:rsid w:val="008D274B"/>
    <w:rsid w:val="008D64B6"/>
    <w:rsid w:val="008E690A"/>
    <w:rsid w:val="00903814"/>
    <w:rsid w:val="00911CB6"/>
    <w:rsid w:val="00922159"/>
    <w:rsid w:val="00922388"/>
    <w:rsid w:val="009434EB"/>
    <w:rsid w:val="00944870"/>
    <w:rsid w:val="009459A1"/>
    <w:rsid w:val="009542E4"/>
    <w:rsid w:val="0096206E"/>
    <w:rsid w:val="0098799C"/>
    <w:rsid w:val="00991D6E"/>
    <w:rsid w:val="009D43ED"/>
    <w:rsid w:val="009F040B"/>
    <w:rsid w:val="009F5F8F"/>
    <w:rsid w:val="00A100EE"/>
    <w:rsid w:val="00A10854"/>
    <w:rsid w:val="00A22B3D"/>
    <w:rsid w:val="00A3657C"/>
    <w:rsid w:val="00A416DA"/>
    <w:rsid w:val="00A5079E"/>
    <w:rsid w:val="00A51201"/>
    <w:rsid w:val="00A54357"/>
    <w:rsid w:val="00A81046"/>
    <w:rsid w:val="00A963E2"/>
    <w:rsid w:val="00A96AA8"/>
    <w:rsid w:val="00AB5B8B"/>
    <w:rsid w:val="00AC126C"/>
    <w:rsid w:val="00AC1275"/>
    <w:rsid w:val="00AC153F"/>
    <w:rsid w:val="00AC2FE2"/>
    <w:rsid w:val="00AC45FE"/>
    <w:rsid w:val="00AD76A2"/>
    <w:rsid w:val="00AF4971"/>
    <w:rsid w:val="00AF5349"/>
    <w:rsid w:val="00B05301"/>
    <w:rsid w:val="00B12F1F"/>
    <w:rsid w:val="00B15DF8"/>
    <w:rsid w:val="00B441AF"/>
    <w:rsid w:val="00B46131"/>
    <w:rsid w:val="00B630E6"/>
    <w:rsid w:val="00B65028"/>
    <w:rsid w:val="00B80731"/>
    <w:rsid w:val="00B8130B"/>
    <w:rsid w:val="00B83605"/>
    <w:rsid w:val="00B849EF"/>
    <w:rsid w:val="00BC0648"/>
    <w:rsid w:val="00BC77D3"/>
    <w:rsid w:val="00BD58DC"/>
    <w:rsid w:val="00BD6574"/>
    <w:rsid w:val="00BE3AA2"/>
    <w:rsid w:val="00BE72D8"/>
    <w:rsid w:val="00C00042"/>
    <w:rsid w:val="00C11016"/>
    <w:rsid w:val="00C34101"/>
    <w:rsid w:val="00C40B89"/>
    <w:rsid w:val="00C704FB"/>
    <w:rsid w:val="00C95ABE"/>
    <w:rsid w:val="00CC0418"/>
    <w:rsid w:val="00CD54F2"/>
    <w:rsid w:val="00CE7F47"/>
    <w:rsid w:val="00CF395B"/>
    <w:rsid w:val="00CF543F"/>
    <w:rsid w:val="00D035FC"/>
    <w:rsid w:val="00D05F79"/>
    <w:rsid w:val="00D17151"/>
    <w:rsid w:val="00D3119E"/>
    <w:rsid w:val="00D56640"/>
    <w:rsid w:val="00D73FF2"/>
    <w:rsid w:val="00D84669"/>
    <w:rsid w:val="00DA6A3B"/>
    <w:rsid w:val="00E34B79"/>
    <w:rsid w:val="00E456BB"/>
    <w:rsid w:val="00E66646"/>
    <w:rsid w:val="00E728A0"/>
    <w:rsid w:val="00E8124D"/>
    <w:rsid w:val="00E90471"/>
    <w:rsid w:val="00E94539"/>
    <w:rsid w:val="00EB5B91"/>
    <w:rsid w:val="00EC0F97"/>
    <w:rsid w:val="00ED3EBB"/>
    <w:rsid w:val="00EE1A97"/>
    <w:rsid w:val="00EE21AF"/>
    <w:rsid w:val="00F13355"/>
    <w:rsid w:val="00F27FBA"/>
    <w:rsid w:val="00F42D94"/>
    <w:rsid w:val="00F4654C"/>
    <w:rsid w:val="00F55588"/>
    <w:rsid w:val="00F571A4"/>
    <w:rsid w:val="00F8633F"/>
    <w:rsid w:val="00F87EE1"/>
    <w:rsid w:val="00F96755"/>
    <w:rsid w:val="00FB58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2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AC126C"/>
    <w:rPr>
      <w:sz w:val="16"/>
      <w:szCs w:val="16"/>
    </w:rPr>
  </w:style>
  <w:style w:type="paragraph" w:styleId="CommentText">
    <w:name w:val="annotation text"/>
    <w:basedOn w:val="Normal"/>
    <w:semiHidden/>
    <w:rsid w:val="00AC126C"/>
    <w:rPr>
      <w:sz w:val="20"/>
      <w:szCs w:val="20"/>
    </w:rPr>
  </w:style>
  <w:style w:type="paragraph" w:styleId="CommentSubject">
    <w:name w:val="annotation subject"/>
    <w:basedOn w:val="CommentText"/>
    <w:next w:val="CommentText"/>
    <w:semiHidden/>
    <w:rsid w:val="00AC126C"/>
    <w:rPr>
      <w:b/>
      <w:bCs/>
    </w:rPr>
  </w:style>
  <w:style w:type="paragraph" w:styleId="BalloonText">
    <w:name w:val="Balloon Text"/>
    <w:basedOn w:val="Normal"/>
    <w:semiHidden/>
    <w:rsid w:val="00AC126C"/>
    <w:rPr>
      <w:rFonts w:ascii="Tahoma" w:hAnsi="Tahoma" w:cs="Tahoma"/>
      <w:sz w:val="16"/>
      <w:szCs w:val="16"/>
    </w:rPr>
  </w:style>
  <w:style w:type="character" w:styleId="Hyperlink">
    <w:name w:val="Hyperlink"/>
    <w:basedOn w:val="DefaultParagraphFont"/>
    <w:uiPriority w:val="99"/>
    <w:unhideWhenUsed/>
    <w:rsid w:val="00795686"/>
    <w:rPr>
      <w:color w:val="0000FF"/>
      <w:u w:val="single"/>
    </w:rPr>
  </w:style>
  <w:style w:type="paragraph" w:customStyle="1" w:styleId="P1">
    <w:name w:val="P1"/>
    <w:aliases w:val="(a)"/>
    <w:basedOn w:val="Normal"/>
    <w:rsid w:val="00506B39"/>
    <w:pPr>
      <w:keepLines/>
      <w:tabs>
        <w:tab w:val="right" w:pos="1191"/>
      </w:tabs>
      <w:spacing w:before="60" w:line="260" w:lineRule="exact"/>
      <w:ind w:left="1418" w:hanging="1418"/>
      <w:jc w:val="both"/>
    </w:pPr>
  </w:style>
  <w:style w:type="paragraph" w:styleId="ListParagraph">
    <w:name w:val="List Paragraph"/>
    <w:basedOn w:val="Normal"/>
    <w:uiPriority w:val="34"/>
    <w:qFormat/>
    <w:rsid w:val="00314B26"/>
    <w:pPr>
      <w:ind w:left="720"/>
    </w:pPr>
  </w:style>
  <w:style w:type="paragraph" w:styleId="Header">
    <w:name w:val="header"/>
    <w:basedOn w:val="Normal"/>
    <w:link w:val="HeaderChar"/>
    <w:uiPriority w:val="99"/>
    <w:unhideWhenUsed/>
    <w:rsid w:val="00EB5B91"/>
    <w:pPr>
      <w:tabs>
        <w:tab w:val="center" w:pos="4513"/>
        <w:tab w:val="right" w:pos="9026"/>
      </w:tabs>
    </w:pPr>
  </w:style>
  <w:style w:type="character" w:customStyle="1" w:styleId="HeaderChar">
    <w:name w:val="Header Char"/>
    <w:basedOn w:val="DefaultParagraphFont"/>
    <w:link w:val="Header"/>
    <w:uiPriority w:val="99"/>
    <w:rsid w:val="00EB5B91"/>
    <w:rPr>
      <w:sz w:val="24"/>
      <w:szCs w:val="24"/>
    </w:rPr>
  </w:style>
  <w:style w:type="paragraph" w:styleId="Footer">
    <w:name w:val="footer"/>
    <w:basedOn w:val="Normal"/>
    <w:link w:val="FooterChar"/>
    <w:uiPriority w:val="99"/>
    <w:unhideWhenUsed/>
    <w:rsid w:val="00EB5B91"/>
    <w:pPr>
      <w:tabs>
        <w:tab w:val="center" w:pos="4513"/>
        <w:tab w:val="right" w:pos="9026"/>
      </w:tabs>
    </w:pPr>
  </w:style>
  <w:style w:type="character" w:customStyle="1" w:styleId="FooterChar">
    <w:name w:val="Footer Char"/>
    <w:basedOn w:val="DefaultParagraphFont"/>
    <w:link w:val="Footer"/>
    <w:uiPriority w:val="99"/>
    <w:rsid w:val="00EB5B91"/>
    <w:rPr>
      <w:sz w:val="24"/>
      <w:szCs w:val="24"/>
    </w:rPr>
  </w:style>
  <w:style w:type="paragraph" w:styleId="Revision">
    <w:name w:val="Revision"/>
    <w:hidden/>
    <w:uiPriority w:val="99"/>
    <w:semiHidden/>
    <w:rsid w:val="007E08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910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dms_SecurityClassification xmlns="436C7C5B-9BF3-44DF-A3F3-EF57B3987662" xsi:nil="true"/>
    <pdms_DocumentType xmlns="436C7C5B-9BF3-44DF-A3F3-EF57B3987662" xsi:nil="true"/>
    <pdms_AttachedBy xmlns="436C7C5B-9BF3-44DF-A3F3-EF57B3987662" xsi:nil="true"/>
    <pdms_Reason xmlns="436C7C5B-9BF3-44DF-A3F3-EF57B3987662" xsi:nil="true"/>
    <SecurityClassification xmlns="436C7C5B-9BF3-44DF-A3F3-EF57B39876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1EE2E235AF53FE4A8BB2E9148582F988" ma:contentTypeVersion="" ma:contentTypeDescription="PDMS Documentation Content Type" ma:contentTypeScope="" ma:versionID="dcdb783969c58627bcf3f248045d67db">
  <xsd:schema xmlns:xsd="http://www.w3.org/2001/XMLSchema" xmlns:xs="http://www.w3.org/2001/XMLSchema" xmlns:p="http://schemas.microsoft.com/office/2006/metadata/properties" xmlns:ns2="436C7C5B-9BF3-44DF-A3F3-EF57B3987662" targetNamespace="http://schemas.microsoft.com/office/2006/metadata/properties" ma:root="true" ma:fieldsID="7df531489716976bddd604a600c5cdca" ns2:_="">
    <xsd:import namespace="436C7C5B-9BF3-44DF-A3F3-EF57B3987662"/>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C7C5B-9BF3-44DF-A3F3-EF57B398766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D47C9-26CA-4779-8533-04221EE2E2E2}">
  <ds:schemaRefs>
    <ds:schemaRef ds:uri="http://schemas.microsoft.com/office/2006/documentManagement/types"/>
    <ds:schemaRef ds:uri="http://purl.org/dc/elements/1.1/"/>
    <ds:schemaRef ds:uri="http://www.w3.org/XML/1998/namespace"/>
    <ds:schemaRef ds:uri="http://purl.org/dc/dcmitype/"/>
    <ds:schemaRef ds:uri="http://purl.org/dc/terms/"/>
    <ds:schemaRef ds:uri="http://schemas.microsoft.com/office/2006/metadata/properties"/>
    <ds:schemaRef ds:uri="http://schemas.openxmlformats.org/package/2006/metadata/core-properties"/>
    <ds:schemaRef ds:uri="436C7C5B-9BF3-44DF-A3F3-EF57B3987662"/>
    <ds:schemaRef ds:uri="http://schemas.microsoft.com/office/infopath/2007/PartnerControls"/>
  </ds:schemaRefs>
</ds:datastoreItem>
</file>

<file path=customXml/itemProps2.xml><?xml version="1.0" encoding="utf-8"?>
<ds:datastoreItem xmlns:ds="http://schemas.openxmlformats.org/officeDocument/2006/customXml" ds:itemID="{C5BAF9E2-9D99-459B-838C-EF59C20FBF23}">
  <ds:schemaRefs>
    <ds:schemaRef ds:uri="http://schemas.microsoft.com/sharepoint/v3/contenttype/forms"/>
  </ds:schemaRefs>
</ds:datastoreItem>
</file>

<file path=customXml/itemProps3.xml><?xml version="1.0" encoding="utf-8"?>
<ds:datastoreItem xmlns:ds="http://schemas.openxmlformats.org/officeDocument/2006/customXml" ds:itemID="{A57742A8-D7A5-41D7-86EA-8531D885A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6C7C5B-9BF3-44DF-A3F3-EF57B3987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891A1B-61A6-47A2-926D-56F0345C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EXPLANATORY STATEMENT</vt:lpstr>
    </vt:vector>
  </TitlesOfParts>
  <LinksUpToDate>false</LinksUpToDate>
  <CharactersWithSpaces>10497</CharactersWithSpaces>
  <SharedDoc>false</SharedDoc>
  <HLinks>
    <vt:vector size="6" baseType="variant">
      <vt:variant>
        <vt:i4>7536680</vt:i4>
      </vt:variant>
      <vt:variant>
        <vt:i4>0</vt:i4>
      </vt:variant>
      <vt:variant>
        <vt:i4>0</vt:i4>
      </vt:variant>
      <vt:variant>
        <vt:i4>5</vt:i4>
      </vt:variant>
      <vt:variant>
        <vt:lpwstr>http://www.cbd.gov.au/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
  <cp:lastModifiedBy/>
  <cp:revision>1</cp:revision>
  <cp:lastPrinted>2010-07-06T23:58:00Z</cp:lastPrinted>
  <dcterms:created xsi:type="dcterms:W3CDTF">2016-06-24T06:13:00Z</dcterms:created>
  <dcterms:modified xsi:type="dcterms:W3CDTF">2016-06-24T06:13:00Z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S CancelDocNew">
    <vt:lpwstr>TRUE</vt:lpwstr>
  </property>
  <property fmtid="{D5CDD505-2E9C-101B-9397-08002B2CF9AE}" pid="3" name="Objective-Id">
    <vt:lpwstr>B1278768</vt:lpwstr>
  </property>
  <property fmtid="{D5CDD505-2E9C-101B-9397-08002B2CF9AE}" pid="4" name="Objective-Comment">
    <vt:lpwstr/>
  </property>
  <property fmtid="{D5CDD505-2E9C-101B-9397-08002B2CF9AE}" pid="5" name="Objective-CreationStamp">
    <vt:filetime>2010-06-28T00:00:00Z</vt:filetime>
  </property>
  <property fmtid="{D5CDD505-2E9C-101B-9397-08002B2CF9AE}" pid="6" name="Objective-IsApproved">
    <vt:lpwstr>No</vt:lpwstr>
  </property>
  <property fmtid="{D5CDD505-2E9C-101B-9397-08002B2CF9AE}" pid="7" name="Objective-IsPublished">
    <vt:lpwstr>Yes</vt:lpwstr>
  </property>
  <property fmtid="{D5CDD505-2E9C-101B-9397-08002B2CF9AE}" pid="8" name="Objective-DatePublished">
    <vt:filetime>2010-07-02T00:00:00Z</vt:filetime>
  </property>
  <property fmtid="{D5CDD505-2E9C-101B-9397-08002B2CF9AE}" pid="9" name="Objective-ModificationStamp">
    <vt:filetime>2010-07-02T00:00:00Z</vt:filetime>
  </property>
  <property fmtid="{D5CDD505-2E9C-101B-9397-08002B2CF9AE}" pid="10" name="Objective-Owner">
    <vt:lpwstr>Sainsbery, Catherine</vt:lpwstr>
  </property>
  <property fmtid="{D5CDD505-2E9C-101B-9397-08002B2CF9AE}" pid="11" name="Objective-Path">
    <vt:lpwstr>i Know-how Top Level:Client Groups:Dept of Climate Change and Energy Efficiency:DCCEE - Advice Matters:Building Energy Efficiency Disclosure Bill Implementation (10022349):10022349 - Matter Documents:10022349 Documents:</vt:lpwstr>
  </property>
  <property fmtid="{D5CDD505-2E9C-101B-9397-08002B2CF9AE}" pid="12" name="Objective-Parent">
    <vt:lpwstr>10022349 Documents</vt:lpwstr>
  </property>
  <property fmtid="{D5CDD505-2E9C-101B-9397-08002B2CF9AE}" pid="13" name="Objective-State">
    <vt:lpwstr>Published</vt:lpwstr>
  </property>
  <property fmtid="{D5CDD505-2E9C-101B-9397-08002B2CF9AE}" pid="14" name="Objective-Title">
    <vt:lpwstr>Draft Explanatory Statement for the Disclosure Affected Buildings Determination</vt:lpwstr>
  </property>
  <property fmtid="{D5CDD505-2E9C-101B-9397-08002B2CF9AE}" pid="15" name="Objective-Version">
    <vt:lpwstr>2.0</vt:lpwstr>
  </property>
  <property fmtid="{D5CDD505-2E9C-101B-9397-08002B2CF9AE}" pid="16" name="Objective-VersionComment">
    <vt:lpwstr>Include retrospective operation explanation.</vt:lpwstr>
  </property>
  <property fmtid="{D5CDD505-2E9C-101B-9397-08002B2CF9AE}" pid="17" name="Objective-VersionNumber">
    <vt:i4>5</vt:i4>
  </property>
  <property fmtid="{D5CDD505-2E9C-101B-9397-08002B2CF9AE}" pid="18" name="Objective-FileNumber">
    <vt:lpwstr>10022349-002</vt:lpwstr>
  </property>
  <property fmtid="{D5CDD505-2E9C-101B-9397-08002B2CF9AE}" pid="19" name="Objective-Classification">
    <vt:lpwstr>Not classified</vt:lpwstr>
  </property>
  <property fmtid="{D5CDD505-2E9C-101B-9397-08002B2CF9AE}" pid="20" name="Objective-Caveats">
    <vt:lpwstr/>
  </property>
  <property fmtid="{D5CDD505-2E9C-101B-9397-08002B2CF9AE}" pid="21" name="Objective-Document Category [system]">
    <vt:lpwstr/>
  </property>
  <property fmtid="{D5CDD505-2E9C-101B-9397-08002B2CF9AE}" pid="22" name="VersionNumber">
    <vt:i4>0</vt:i4>
  </property>
  <property fmtid="{D5CDD505-2E9C-101B-9397-08002B2CF9AE}" pid="23" name="ClassificationPty">
    <vt:lpwstr/>
  </property>
  <property fmtid="{D5CDD505-2E9C-101B-9397-08002B2CF9AE}" pid="24" name="FileNumberPty">
    <vt:lpwstr/>
  </property>
  <property fmtid="{D5CDD505-2E9C-101B-9397-08002B2CF9AE}" pid="25" name="CorporateTmplBased">
    <vt:lpwstr>No</vt:lpwstr>
  </property>
  <property fmtid="{D5CDD505-2E9C-101B-9397-08002B2CF9AE}" pid="26" name="ContentTypeId">
    <vt:lpwstr>0x010100266966F133664895A6EE3632470D45F501001EE2E235AF53FE4A8BB2E9148582F988</vt:lpwstr>
  </property>
</Properties>
</file>