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0C" w:rsidRPr="005807FD" w:rsidRDefault="0040320C" w:rsidP="0040320C">
      <w:pPr>
        <w:spacing w:line="360" w:lineRule="auto"/>
        <w:ind w:right="-45"/>
        <w:jc w:val="center"/>
        <w:rPr>
          <w:rFonts w:asciiTheme="minorHAnsi" w:hAnsiTheme="minorHAnsi" w:cs="Arial"/>
          <w:b/>
          <w:szCs w:val="22"/>
          <w:u w:val="single"/>
        </w:rPr>
      </w:pPr>
      <w:r w:rsidRPr="005807FD">
        <w:rPr>
          <w:rFonts w:asciiTheme="minorHAnsi" w:hAnsiTheme="minorHAnsi" w:cs="Arial"/>
          <w:b/>
          <w:szCs w:val="22"/>
          <w:u w:val="single"/>
        </w:rPr>
        <w:t>EXPLANATORY STATEMENT</w:t>
      </w:r>
    </w:p>
    <w:p w:rsidR="0040320C" w:rsidRPr="005807FD" w:rsidRDefault="0040320C" w:rsidP="0040320C">
      <w:pPr>
        <w:ind w:right="-425"/>
        <w:jc w:val="center"/>
        <w:rPr>
          <w:rFonts w:asciiTheme="minorHAnsi" w:hAnsiTheme="minorHAnsi" w:cs="Arial"/>
          <w:szCs w:val="22"/>
        </w:rPr>
      </w:pPr>
    </w:p>
    <w:p w:rsidR="0040320C" w:rsidRPr="005807FD" w:rsidRDefault="004A3149" w:rsidP="0040320C">
      <w:pPr>
        <w:ind w:right="-425"/>
        <w:jc w:val="center"/>
        <w:rPr>
          <w:rFonts w:asciiTheme="minorHAnsi" w:hAnsiTheme="minorHAnsi" w:cs="Arial"/>
          <w:i/>
          <w:szCs w:val="22"/>
        </w:rPr>
      </w:pPr>
      <w:r w:rsidRPr="004A3149">
        <w:rPr>
          <w:rFonts w:asciiTheme="minorHAnsi" w:hAnsiTheme="minorHAnsi" w:cs="Arial"/>
          <w:i/>
          <w:szCs w:val="22"/>
        </w:rPr>
        <w:t xml:space="preserve">Determination </w:t>
      </w:r>
      <w:r w:rsidR="009A7D1F">
        <w:rPr>
          <w:rFonts w:asciiTheme="minorHAnsi" w:hAnsiTheme="minorHAnsi" w:cs="Arial"/>
          <w:i/>
          <w:szCs w:val="22"/>
        </w:rPr>
        <w:t xml:space="preserve">made </w:t>
      </w:r>
      <w:r w:rsidRPr="004A3149">
        <w:rPr>
          <w:rFonts w:asciiTheme="minorHAnsi" w:hAnsiTheme="minorHAnsi" w:cs="Arial"/>
          <w:i/>
          <w:szCs w:val="22"/>
        </w:rPr>
        <w:t>under subclause 45</w:t>
      </w:r>
      <w:r w:rsidR="0016719E">
        <w:rPr>
          <w:rFonts w:asciiTheme="minorHAnsi" w:hAnsiTheme="minorHAnsi" w:cs="Arial"/>
          <w:i/>
          <w:szCs w:val="22"/>
        </w:rPr>
        <w:t>D</w:t>
      </w:r>
      <w:r w:rsidRPr="004A3149">
        <w:rPr>
          <w:rFonts w:asciiTheme="minorHAnsi" w:hAnsiTheme="minorHAnsi" w:cs="Arial"/>
          <w:i/>
          <w:szCs w:val="22"/>
        </w:rPr>
        <w:t>(6) of Schedule 1A to the Higher Education Support Act 2003</w:t>
      </w:r>
    </w:p>
    <w:p w:rsidR="0040320C" w:rsidRPr="005807FD" w:rsidRDefault="0040320C" w:rsidP="0040320C">
      <w:pPr>
        <w:ind w:right="-425"/>
        <w:jc w:val="center"/>
        <w:rPr>
          <w:rFonts w:asciiTheme="minorHAnsi" w:hAnsiTheme="minorHAnsi" w:cs="Arial"/>
          <w:i/>
          <w:szCs w:val="22"/>
        </w:rPr>
      </w:pPr>
    </w:p>
    <w:p w:rsidR="0040320C" w:rsidRPr="00227DFA" w:rsidRDefault="004A3149" w:rsidP="0040320C">
      <w:pPr>
        <w:ind w:right="-425"/>
        <w:jc w:val="center"/>
        <w:rPr>
          <w:rFonts w:asciiTheme="minorHAnsi" w:hAnsiTheme="minorHAnsi" w:cs="Arial"/>
          <w:b/>
          <w:szCs w:val="22"/>
        </w:rPr>
      </w:pPr>
      <w:r w:rsidRPr="00227DFA">
        <w:rPr>
          <w:rFonts w:asciiTheme="minorHAnsi" w:hAnsiTheme="minorHAnsi" w:cs="Arial"/>
          <w:b/>
          <w:szCs w:val="22"/>
        </w:rPr>
        <w:t>VET Provider Credits</w:t>
      </w:r>
      <w:r w:rsidR="004C2543" w:rsidRPr="00227DFA">
        <w:rPr>
          <w:rFonts w:asciiTheme="minorHAnsi" w:hAnsiTheme="minorHAnsi" w:cs="Arial"/>
          <w:b/>
          <w:szCs w:val="22"/>
        </w:rPr>
        <w:t xml:space="preserve"> Determination</w:t>
      </w:r>
      <w:r w:rsidRPr="00227DFA">
        <w:rPr>
          <w:rFonts w:asciiTheme="minorHAnsi" w:hAnsiTheme="minorHAnsi" w:cs="Arial"/>
          <w:b/>
          <w:szCs w:val="22"/>
        </w:rPr>
        <w:t xml:space="preserve"> No</w:t>
      </w:r>
      <w:r w:rsidR="004C2543" w:rsidRPr="00227DFA">
        <w:rPr>
          <w:rFonts w:asciiTheme="minorHAnsi" w:hAnsiTheme="minorHAnsi" w:cs="Arial"/>
          <w:b/>
          <w:szCs w:val="22"/>
        </w:rPr>
        <w:t>.</w:t>
      </w:r>
      <w:r w:rsidRPr="00227DFA">
        <w:rPr>
          <w:rFonts w:asciiTheme="minorHAnsi" w:hAnsiTheme="minorHAnsi" w:cs="Arial"/>
          <w:b/>
          <w:szCs w:val="22"/>
        </w:rPr>
        <w:t xml:space="preserve"> </w:t>
      </w:r>
      <w:r w:rsidR="00C41BC5">
        <w:rPr>
          <w:rFonts w:asciiTheme="minorHAnsi" w:hAnsiTheme="minorHAnsi" w:cs="Arial"/>
          <w:b/>
          <w:szCs w:val="22"/>
        </w:rPr>
        <w:t>3</w:t>
      </w:r>
      <w:r w:rsidR="007C0B67">
        <w:rPr>
          <w:rFonts w:asciiTheme="minorHAnsi" w:hAnsiTheme="minorHAnsi" w:cs="Arial"/>
          <w:b/>
          <w:szCs w:val="22"/>
        </w:rPr>
        <w:t xml:space="preserve"> of 2016</w:t>
      </w:r>
    </w:p>
    <w:p w:rsidR="0040320C" w:rsidRPr="005807FD" w:rsidRDefault="0040320C" w:rsidP="0040320C">
      <w:pPr>
        <w:ind w:right="-425"/>
        <w:rPr>
          <w:rFonts w:asciiTheme="minorHAnsi" w:hAnsiTheme="minorHAnsi" w:cs="Arial"/>
          <w:szCs w:val="22"/>
        </w:rPr>
      </w:pPr>
    </w:p>
    <w:p w:rsidR="0040320C" w:rsidRPr="005807FD" w:rsidRDefault="0040320C" w:rsidP="0040320C">
      <w:pPr>
        <w:ind w:right="-425"/>
        <w:jc w:val="center"/>
        <w:rPr>
          <w:rFonts w:asciiTheme="minorHAnsi" w:hAnsiTheme="minorHAnsi" w:cs="Arial"/>
          <w:b/>
          <w:szCs w:val="22"/>
          <w:u w:val="single"/>
        </w:rPr>
      </w:pPr>
      <w:r w:rsidRPr="005807FD">
        <w:rPr>
          <w:rFonts w:asciiTheme="minorHAnsi" w:hAnsiTheme="minorHAnsi" w:cs="Arial"/>
          <w:b/>
          <w:szCs w:val="22"/>
        </w:rPr>
        <w:t>Issued by the authority of the Minister</w:t>
      </w:r>
    </w:p>
    <w:p w:rsidR="0040320C" w:rsidRPr="005807FD" w:rsidRDefault="0040320C" w:rsidP="0040320C">
      <w:pPr>
        <w:ind w:right="-425"/>
        <w:rPr>
          <w:rFonts w:asciiTheme="minorHAnsi" w:hAnsiTheme="minorHAnsi" w:cs="Arial"/>
          <w:szCs w:val="22"/>
        </w:rPr>
      </w:pPr>
    </w:p>
    <w:p w:rsidR="0040320C" w:rsidRPr="005807FD" w:rsidRDefault="0040320C" w:rsidP="0040320C">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4A3149" w:rsidRDefault="004A3149" w:rsidP="00010680">
      <w:pPr>
        <w:spacing w:line="360" w:lineRule="auto"/>
        <w:ind w:right="-425"/>
        <w:rPr>
          <w:rFonts w:asciiTheme="minorHAnsi" w:hAnsiTheme="minorHAnsi" w:cs="Century Gothic"/>
          <w:bCs/>
          <w:szCs w:val="22"/>
        </w:rPr>
      </w:pPr>
      <w:r>
        <w:rPr>
          <w:rFonts w:asciiTheme="minorHAnsi" w:hAnsiTheme="minorHAnsi" w:cs="Century Gothic"/>
          <w:bCs/>
          <w:szCs w:val="22"/>
        </w:rPr>
        <w:t xml:space="preserve">Subclause 45D(6) </w:t>
      </w:r>
      <w:r w:rsidRPr="005807FD">
        <w:rPr>
          <w:rFonts w:asciiTheme="minorHAnsi" w:hAnsiTheme="minorHAnsi" w:cs="Century Gothic"/>
          <w:bCs/>
          <w:szCs w:val="22"/>
        </w:rPr>
        <w:t xml:space="preserve">of Schedule 1A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w:t>
      </w:r>
      <w:r>
        <w:rPr>
          <w:rFonts w:asciiTheme="minorHAnsi" w:hAnsiTheme="minorHAnsi" w:cs="Century Gothic"/>
          <w:bCs/>
          <w:szCs w:val="22"/>
        </w:rPr>
        <w:t>HESA</w:t>
      </w:r>
      <w:r w:rsidRPr="005807FD">
        <w:rPr>
          <w:rFonts w:asciiTheme="minorHAnsi" w:hAnsiTheme="minorHAnsi" w:cs="Century Gothic"/>
          <w:bCs/>
          <w:szCs w:val="22"/>
        </w:rPr>
        <w:t xml:space="preserve">) provides </w:t>
      </w:r>
      <w:r>
        <w:rPr>
          <w:rFonts w:asciiTheme="minorHAnsi" w:hAnsiTheme="minorHAnsi" w:cs="Century Gothic"/>
          <w:bCs/>
          <w:szCs w:val="22"/>
        </w:rPr>
        <w:t>that</w:t>
      </w:r>
      <w:r w:rsidRPr="004A3149">
        <w:rPr>
          <w:rFonts w:asciiTheme="minorHAnsi" w:hAnsiTheme="minorHAnsi" w:cs="Century Gothic"/>
          <w:bCs/>
          <w:szCs w:val="22"/>
        </w:rPr>
        <w:t xml:space="preserve"> </w:t>
      </w:r>
      <w:r w:rsidRPr="005807FD">
        <w:rPr>
          <w:rFonts w:asciiTheme="minorHAnsi" w:hAnsiTheme="minorHAnsi" w:cs="Century Gothic"/>
          <w:bCs/>
          <w:szCs w:val="22"/>
        </w:rPr>
        <w:t>the Minister</w:t>
      </w:r>
      <w:r>
        <w:rPr>
          <w:rFonts w:asciiTheme="minorHAnsi" w:hAnsiTheme="minorHAnsi" w:cs="Century Gothic"/>
          <w:bCs/>
          <w:szCs w:val="22"/>
        </w:rPr>
        <w:t xml:space="preserve"> may, by legislative instrument, determine that c</w:t>
      </w:r>
      <w:r w:rsidR="004B5FFB">
        <w:rPr>
          <w:rFonts w:asciiTheme="minorHAnsi" w:hAnsiTheme="minorHAnsi" w:cs="Century Gothic"/>
          <w:bCs/>
          <w:szCs w:val="22"/>
        </w:rPr>
        <w:t>redits arise in the VET FEE</w:t>
      </w:r>
      <w:r w:rsidR="004B5FFB">
        <w:rPr>
          <w:rFonts w:asciiTheme="minorHAnsi" w:hAnsiTheme="minorHAnsi" w:cs="Century Gothic"/>
          <w:bCs/>
          <w:szCs w:val="22"/>
        </w:rPr>
        <w:noBreakHyphen/>
      </w:r>
      <w:r w:rsidRPr="004A3149">
        <w:rPr>
          <w:rFonts w:asciiTheme="minorHAnsi" w:hAnsiTheme="minorHAnsi" w:cs="Century Gothic"/>
          <w:bCs/>
          <w:szCs w:val="22"/>
        </w:rPr>
        <w:t xml:space="preserve">HELP accounts of specified </w:t>
      </w:r>
      <w:r w:rsidR="00227DFA">
        <w:rPr>
          <w:rFonts w:asciiTheme="minorHAnsi" w:hAnsiTheme="minorHAnsi" w:cs="Century Gothic"/>
          <w:bCs/>
          <w:szCs w:val="22"/>
        </w:rPr>
        <w:t>vocational education and training (</w:t>
      </w:r>
      <w:r w:rsidRPr="004A3149">
        <w:rPr>
          <w:rFonts w:asciiTheme="minorHAnsi" w:hAnsiTheme="minorHAnsi" w:cs="Century Gothic"/>
          <w:bCs/>
          <w:szCs w:val="22"/>
        </w:rPr>
        <w:t>VET</w:t>
      </w:r>
      <w:r w:rsidR="00227DFA">
        <w:rPr>
          <w:rFonts w:asciiTheme="minorHAnsi" w:hAnsiTheme="minorHAnsi" w:cs="Century Gothic"/>
          <w:bCs/>
          <w:szCs w:val="22"/>
        </w:rPr>
        <w:t>)</w:t>
      </w:r>
      <w:r w:rsidR="007249CE">
        <w:rPr>
          <w:rFonts w:asciiTheme="minorHAnsi" w:hAnsiTheme="minorHAnsi" w:cs="Century Gothic"/>
          <w:bCs/>
          <w:szCs w:val="22"/>
        </w:rPr>
        <w:t xml:space="preserve"> providers</w:t>
      </w:r>
      <w:r w:rsidR="00FE2462">
        <w:rPr>
          <w:rFonts w:asciiTheme="minorHAnsi" w:hAnsiTheme="minorHAnsi" w:cs="Century Gothic"/>
          <w:bCs/>
          <w:szCs w:val="22"/>
        </w:rPr>
        <w:t xml:space="preserve">, and </w:t>
      </w:r>
      <w:r w:rsidR="00FE2462" w:rsidRPr="004A3149">
        <w:rPr>
          <w:rFonts w:asciiTheme="minorHAnsi" w:hAnsiTheme="minorHAnsi" w:cs="Century Gothic"/>
          <w:bCs/>
          <w:szCs w:val="22"/>
        </w:rPr>
        <w:t>the amounts of such credits</w:t>
      </w:r>
      <w:r w:rsidR="005C0CA6">
        <w:rPr>
          <w:rFonts w:asciiTheme="minorHAnsi" w:hAnsiTheme="minorHAnsi" w:cs="Century Gothic"/>
          <w:bCs/>
          <w:szCs w:val="22"/>
        </w:rPr>
        <w:t>,</w:t>
      </w:r>
      <w:r w:rsidR="00FE2462" w:rsidRPr="004A3149">
        <w:rPr>
          <w:rFonts w:asciiTheme="minorHAnsi" w:hAnsiTheme="minorHAnsi" w:cs="Century Gothic"/>
          <w:bCs/>
          <w:szCs w:val="22"/>
        </w:rPr>
        <w:t xml:space="preserve"> </w:t>
      </w:r>
      <w:r w:rsidRPr="004A3149">
        <w:rPr>
          <w:rFonts w:asciiTheme="minorHAnsi" w:hAnsiTheme="minorHAnsi" w:cs="Century Gothic"/>
          <w:bCs/>
          <w:szCs w:val="22"/>
        </w:rPr>
        <w:t>when another body ceases to be a VET provider</w:t>
      </w:r>
      <w:r>
        <w:rPr>
          <w:rFonts w:asciiTheme="minorHAnsi" w:hAnsiTheme="minorHAnsi" w:cs="Century Gothic"/>
          <w:bCs/>
          <w:szCs w:val="22"/>
        </w:rPr>
        <w:t>.</w:t>
      </w:r>
    </w:p>
    <w:p w:rsidR="008D687A" w:rsidRDefault="008D687A" w:rsidP="00010680">
      <w:pPr>
        <w:autoSpaceDE w:val="0"/>
        <w:autoSpaceDN w:val="0"/>
        <w:adjustRightInd w:val="0"/>
        <w:rPr>
          <w:rFonts w:asciiTheme="minorHAnsi" w:hAnsiTheme="minorHAnsi" w:cs="Century Gothic"/>
          <w:bCs/>
          <w:szCs w:val="22"/>
        </w:rPr>
      </w:pPr>
    </w:p>
    <w:p w:rsidR="0040320C" w:rsidRPr="00B37E61" w:rsidRDefault="0040320C" w:rsidP="00010680">
      <w:pPr>
        <w:spacing w:line="360" w:lineRule="auto"/>
        <w:ind w:right="-425"/>
        <w:rPr>
          <w:rFonts w:asciiTheme="minorHAnsi" w:hAnsiTheme="minorHAnsi" w:cs="Century Gothic"/>
          <w:bCs/>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w:t>
      </w:r>
      <w:r w:rsidR="0082322F">
        <w:rPr>
          <w:rFonts w:asciiTheme="minorHAnsi" w:hAnsiTheme="minorHAnsi" w:cs="Century Gothic"/>
          <w:bCs/>
          <w:szCs w:val="22"/>
        </w:rPr>
        <w:t>HESA</w:t>
      </w:r>
      <w:r w:rsidRPr="005807FD">
        <w:rPr>
          <w:rFonts w:asciiTheme="minorHAnsi" w:hAnsiTheme="minorHAnsi" w:cs="Century Gothic"/>
          <w:bCs/>
          <w:szCs w:val="22"/>
        </w:rPr>
        <w:t xml:space="preserve"> the Minister has delegated his powers under </w:t>
      </w:r>
      <w:r w:rsidR="004A3149">
        <w:rPr>
          <w:rFonts w:asciiTheme="minorHAnsi" w:hAnsiTheme="minorHAnsi" w:cs="Century Gothic"/>
          <w:bCs/>
          <w:szCs w:val="22"/>
        </w:rPr>
        <w:t>sub</w:t>
      </w:r>
      <w:r w:rsidR="004A3149" w:rsidRPr="00EC7E3C">
        <w:rPr>
          <w:rFonts w:asciiTheme="minorHAnsi" w:hAnsiTheme="minorHAnsi" w:cs="Century Gothic"/>
          <w:bCs/>
          <w:szCs w:val="22"/>
        </w:rPr>
        <w:t>clause 45D(6)</w:t>
      </w:r>
      <w:r w:rsidRPr="00EC7E3C">
        <w:rPr>
          <w:rFonts w:asciiTheme="minorHAnsi" w:hAnsiTheme="minorHAnsi" w:cs="Century Gothic"/>
          <w:bCs/>
          <w:szCs w:val="22"/>
        </w:rPr>
        <w:t xml:space="preserve"> of Schedule 1A to </w:t>
      </w:r>
      <w:r w:rsidR="0082322F" w:rsidRPr="00EC7E3C">
        <w:rPr>
          <w:rFonts w:asciiTheme="minorHAnsi" w:hAnsiTheme="minorHAnsi" w:cs="Century Gothic"/>
          <w:bCs/>
          <w:szCs w:val="22"/>
        </w:rPr>
        <w:t>HESA</w:t>
      </w:r>
      <w:r w:rsidRPr="009E5710">
        <w:rPr>
          <w:rFonts w:asciiTheme="minorHAnsi" w:hAnsiTheme="minorHAnsi" w:cs="Century Gothic"/>
          <w:bCs/>
          <w:szCs w:val="22"/>
        </w:rPr>
        <w:t xml:space="preserve"> to </w:t>
      </w:r>
      <w:r w:rsidR="008D687A" w:rsidRPr="009E5710">
        <w:rPr>
          <w:rFonts w:asciiTheme="minorHAnsi" w:hAnsiTheme="minorHAnsi" w:cs="Century Gothic"/>
          <w:bCs/>
          <w:szCs w:val="22"/>
        </w:rPr>
        <w:t xml:space="preserve">certain </w:t>
      </w:r>
      <w:r w:rsidR="00227DFA">
        <w:rPr>
          <w:rFonts w:asciiTheme="minorHAnsi" w:hAnsiTheme="minorHAnsi" w:cs="Century Gothic"/>
          <w:bCs/>
          <w:szCs w:val="22"/>
        </w:rPr>
        <w:t>Australian Public Service</w:t>
      </w:r>
      <w:r w:rsidRPr="009E5710">
        <w:rPr>
          <w:rFonts w:asciiTheme="minorHAnsi" w:hAnsiTheme="minorHAnsi" w:cs="Century Gothic"/>
          <w:bCs/>
          <w:szCs w:val="22"/>
        </w:rPr>
        <w:t xml:space="preserve"> employee</w:t>
      </w:r>
      <w:r w:rsidR="008D687A" w:rsidRPr="009E5710">
        <w:rPr>
          <w:rFonts w:asciiTheme="minorHAnsi" w:hAnsiTheme="minorHAnsi" w:cs="Century Gothic"/>
          <w:bCs/>
          <w:szCs w:val="22"/>
        </w:rPr>
        <w:t>s in the Department of Education and Training.</w:t>
      </w:r>
    </w:p>
    <w:p w:rsidR="0040320C" w:rsidRPr="005807FD" w:rsidRDefault="0040320C" w:rsidP="00010680">
      <w:pPr>
        <w:autoSpaceDE w:val="0"/>
        <w:autoSpaceDN w:val="0"/>
        <w:adjustRightInd w:val="0"/>
        <w:rPr>
          <w:rFonts w:asciiTheme="minorHAnsi" w:hAnsiTheme="minorHAnsi" w:cs="Arial"/>
          <w:b/>
          <w:szCs w:val="22"/>
        </w:rPr>
      </w:pPr>
    </w:p>
    <w:p w:rsidR="0040320C" w:rsidRPr="005807FD" w:rsidRDefault="0040320C" w:rsidP="0040320C">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EE279D" w:rsidRDefault="00B5313F" w:rsidP="00010680">
      <w:pPr>
        <w:spacing w:line="360" w:lineRule="auto"/>
        <w:ind w:right="-425"/>
        <w:rPr>
          <w:rFonts w:asciiTheme="minorHAnsi" w:hAnsiTheme="minorHAnsi" w:cs="Century Gothic"/>
          <w:bCs/>
          <w:szCs w:val="22"/>
        </w:rPr>
      </w:pPr>
      <w:r w:rsidRPr="00B5313F">
        <w:rPr>
          <w:rFonts w:asciiTheme="minorHAnsi" w:hAnsiTheme="minorHAnsi" w:cs="Arial"/>
          <w:szCs w:val="22"/>
        </w:rPr>
        <w:t>The providers named in Column 2 of Schedule 1 to this Determination</w:t>
      </w:r>
      <w:r w:rsidRPr="00B5313F">
        <w:rPr>
          <w:rFonts w:asciiTheme="minorHAnsi" w:hAnsiTheme="minorHAnsi" w:cs="Arial"/>
          <w:bCs/>
          <w:szCs w:val="22"/>
        </w:rPr>
        <w:t xml:space="preserve"> ceased to be VET providers on 11 April 2016</w:t>
      </w:r>
      <w:r w:rsidR="007249CE">
        <w:rPr>
          <w:rFonts w:asciiTheme="minorHAnsi" w:hAnsiTheme="minorHAnsi" w:cs="Arial"/>
          <w:bCs/>
          <w:szCs w:val="22"/>
        </w:rPr>
        <w:t>.</w:t>
      </w:r>
    </w:p>
    <w:p w:rsidR="0040320C" w:rsidRPr="005807FD" w:rsidRDefault="0040320C" w:rsidP="00010680">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970DCC" w:rsidRPr="00970DCC" w:rsidRDefault="00B5313F" w:rsidP="00970DCC">
      <w:pPr>
        <w:numPr>
          <w:ilvl w:val="0"/>
          <w:numId w:val="1"/>
        </w:numPr>
        <w:tabs>
          <w:tab w:val="num" w:pos="426"/>
        </w:tabs>
        <w:spacing w:line="360" w:lineRule="auto"/>
        <w:ind w:right="-425"/>
        <w:rPr>
          <w:rFonts w:asciiTheme="minorHAnsi" w:hAnsiTheme="minorHAnsi" w:cs="Century Gothic"/>
          <w:bCs/>
          <w:szCs w:val="22"/>
        </w:rPr>
      </w:pPr>
      <w:r w:rsidRPr="00B5313F">
        <w:rPr>
          <w:rFonts w:asciiTheme="minorHAnsi" w:hAnsiTheme="minorHAnsi" w:cs="Century Gothic"/>
          <w:bCs/>
          <w:szCs w:val="22"/>
        </w:rPr>
        <w:t>determines that credits arise in the VET FEE-HELP accounts, established by subclause 45D(1) of Schedule 1A to HESA, of the VET providers named in Column 2 of Schedule 2 to this Determination; and</w:t>
      </w:r>
    </w:p>
    <w:p w:rsidR="00970DCC" w:rsidRPr="00970DCC" w:rsidRDefault="00B5313F" w:rsidP="00970DCC">
      <w:pPr>
        <w:numPr>
          <w:ilvl w:val="0"/>
          <w:numId w:val="1"/>
        </w:numPr>
        <w:tabs>
          <w:tab w:val="num" w:pos="426"/>
        </w:tabs>
        <w:spacing w:line="360" w:lineRule="auto"/>
        <w:ind w:right="-425"/>
        <w:rPr>
          <w:rFonts w:asciiTheme="minorHAnsi" w:hAnsiTheme="minorHAnsi" w:cs="Century Gothic"/>
          <w:bCs/>
          <w:szCs w:val="22"/>
        </w:rPr>
      </w:pPr>
      <w:r w:rsidRPr="00B5313F">
        <w:rPr>
          <w:rFonts w:asciiTheme="minorHAnsi" w:hAnsiTheme="minorHAnsi" w:cs="Century Gothic"/>
          <w:bCs/>
          <w:szCs w:val="22"/>
        </w:rPr>
        <w:t>determines that the amounts of such credits shall be respectively the amounts set out in Column 3 of Schedule 2 to this Determination.</w:t>
      </w:r>
    </w:p>
    <w:p w:rsidR="00970DCC" w:rsidRPr="005807FD" w:rsidRDefault="00970DCC" w:rsidP="00010680">
      <w:pPr>
        <w:autoSpaceDE w:val="0"/>
        <w:autoSpaceDN w:val="0"/>
        <w:adjustRightInd w:val="0"/>
        <w:rPr>
          <w:rFonts w:asciiTheme="minorHAnsi" w:hAnsiTheme="minorHAnsi" w:cs="Century Gothic"/>
          <w:bCs/>
          <w:szCs w:val="22"/>
        </w:rPr>
      </w:pPr>
    </w:p>
    <w:p w:rsidR="0040320C" w:rsidRPr="005807FD" w:rsidRDefault="0040320C" w:rsidP="0040320C">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E748BB" w:rsidRDefault="007501E3" w:rsidP="00010680">
      <w:pPr>
        <w:spacing w:line="360" w:lineRule="auto"/>
        <w:ind w:right="-425"/>
        <w:rPr>
          <w:sz w:val="23"/>
          <w:szCs w:val="23"/>
        </w:rPr>
      </w:pPr>
      <w:r>
        <w:rPr>
          <w:rFonts w:asciiTheme="minorHAnsi" w:hAnsiTheme="minorHAnsi" w:cs="Arial"/>
          <w:bCs/>
          <w:szCs w:val="22"/>
        </w:rPr>
        <w:t>S</w:t>
      </w:r>
      <w:r w:rsidRPr="007501E3">
        <w:rPr>
          <w:rFonts w:asciiTheme="minorHAnsi" w:hAnsiTheme="minorHAnsi" w:cs="Arial"/>
          <w:bCs/>
          <w:szCs w:val="22"/>
        </w:rPr>
        <w:t>ubclause 45D(1) of Schedule 1A to HESA</w:t>
      </w:r>
      <w:r>
        <w:rPr>
          <w:rFonts w:asciiTheme="minorHAnsi" w:hAnsiTheme="minorHAnsi" w:cs="Arial"/>
          <w:bCs/>
          <w:szCs w:val="22"/>
        </w:rPr>
        <w:t xml:space="preserve"> establishes a notional </w:t>
      </w:r>
      <w:r w:rsidR="004B5FFB" w:rsidRPr="004B5FFB">
        <w:rPr>
          <w:rFonts w:asciiTheme="minorHAnsi" w:hAnsiTheme="minorHAnsi" w:cs="Arial"/>
          <w:bCs/>
          <w:szCs w:val="22"/>
        </w:rPr>
        <w:t>VET FEE</w:t>
      </w:r>
      <w:r w:rsidR="004B5FFB" w:rsidRPr="004B5FFB">
        <w:rPr>
          <w:rFonts w:asciiTheme="minorHAnsi" w:hAnsiTheme="minorHAnsi" w:cs="Arial"/>
          <w:bCs/>
          <w:szCs w:val="22"/>
        </w:rPr>
        <w:noBreakHyphen/>
        <w:t>HELP</w:t>
      </w:r>
      <w:r w:rsidRPr="007501E3">
        <w:rPr>
          <w:rFonts w:asciiTheme="minorHAnsi" w:hAnsiTheme="minorHAnsi" w:cs="Arial"/>
          <w:bCs/>
          <w:szCs w:val="22"/>
        </w:rPr>
        <w:t xml:space="preserve"> account</w:t>
      </w:r>
      <w:r>
        <w:rPr>
          <w:rFonts w:asciiTheme="minorHAnsi" w:hAnsiTheme="minorHAnsi" w:cs="Arial"/>
          <w:bCs/>
          <w:szCs w:val="22"/>
        </w:rPr>
        <w:t xml:space="preserve"> </w:t>
      </w:r>
      <w:r w:rsidRPr="007501E3">
        <w:rPr>
          <w:rFonts w:asciiTheme="minorHAnsi" w:hAnsiTheme="minorHAnsi" w:cs="Arial"/>
          <w:bCs/>
          <w:szCs w:val="22"/>
        </w:rPr>
        <w:t>for each VET provider</w:t>
      </w:r>
      <w:r>
        <w:rPr>
          <w:rFonts w:asciiTheme="minorHAnsi" w:hAnsiTheme="minorHAnsi" w:cs="Arial"/>
          <w:bCs/>
          <w:szCs w:val="22"/>
        </w:rPr>
        <w:t xml:space="preserve">. </w:t>
      </w:r>
      <w:r w:rsidR="00E748BB">
        <w:rPr>
          <w:sz w:val="23"/>
          <w:szCs w:val="23"/>
        </w:rPr>
        <w:t>That account is credited and debited with the amounts, and at the times, set o</w:t>
      </w:r>
      <w:r w:rsidR="00C447C4">
        <w:rPr>
          <w:sz w:val="23"/>
          <w:szCs w:val="23"/>
        </w:rPr>
        <w:t>ut in subclauses 45D(2) to (7).</w:t>
      </w:r>
    </w:p>
    <w:p w:rsidR="004A0DD1" w:rsidRDefault="004A0DD1" w:rsidP="00010680">
      <w:pPr>
        <w:autoSpaceDE w:val="0"/>
        <w:autoSpaceDN w:val="0"/>
        <w:adjustRightInd w:val="0"/>
        <w:rPr>
          <w:sz w:val="23"/>
          <w:szCs w:val="23"/>
        </w:rPr>
      </w:pPr>
    </w:p>
    <w:p w:rsidR="00E748BB" w:rsidRDefault="00306A39" w:rsidP="00010680">
      <w:pPr>
        <w:spacing w:line="360" w:lineRule="auto"/>
        <w:ind w:right="-425"/>
        <w:rPr>
          <w:rFonts w:asciiTheme="minorHAnsi" w:hAnsiTheme="minorHAnsi" w:cs="Arial"/>
          <w:szCs w:val="22"/>
        </w:rPr>
      </w:pPr>
      <w:r>
        <w:rPr>
          <w:rFonts w:asciiTheme="minorHAnsi" w:hAnsiTheme="minorHAnsi" w:cs="Arial"/>
          <w:szCs w:val="22"/>
        </w:rPr>
        <w:t>Subclause 45D(</w:t>
      </w:r>
      <w:r w:rsidR="004C2543">
        <w:rPr>
          <w:rFonts w:asciiTheme="minorHAnsi" w:hAnsiTheme="minorHAnsi" w:cs="Arial"/>
          <w:szCs w:val="22"/>
        </w:rPr>
        <w:t>7</w:t>
      </w:r>
      <w:r>
        <w:rPr>
          <w:rFonts w:asciiTheme="minorHAnsi" w:hAnsiTheme="minorHAnsi" w:cs="Arial"/>
          <w:szCs w:val="22"/>
        </w:rPr>
        <w:t xml:space="preserve">) </w:t>
      </w:r>
      <w:r w:rsidR="008A099C" w:rsidRPr="007501E3">
        <w:rPr>
          <w:rFonts w:asciiTheme="minorHAnsi" w:hAnsiTheme="minorHAnsi" w:cs="Arial"/>
          <w:bCs/>
          <w:szCs w:val="22"/>
        </w:rPr>
        <w:t>of Schedule 1A to HESA</w:t>
      </w:r>
      <w:r>
        <w:rPr>
          <w:rFonts w:asciiTheme="minorHAnsi" w:hAnsiTheme="minorHAnsi" w:cs="Arial"/>
          <w:szCs w:val="22"/>
        </w:rPr>
        <w:t xml:space="preserve"> provides for the debiting of a provider’s account in line with student entitlements to </w:t>
      </w:r>
      <w:r w:rsidRPr="00306A39">
        <w:rPr>
          <w:rFonts w:asciiTheme="minorHAnsi" w:hAnsiTheme="minorHAnsi" w:cs="Arial"/>
          <w:szCs w:val="22"/>
        </w:rPr>
        <w:t>VET FEE-HELP assistance</w:t>
      </w:r>
      <w:r>
        <w:rPr>
          <w:rFonts w:asciiTheme="minorHAnsi" w:hAnsiTheme="minorHAnsi" w:cs="Arial"/>
          <w:szCs w:val="22"/>
        </w:rPr>
        <w:t>.</w:t>
      </w:r>
      <w:r w:rsidR="004A0DD1">
        <w:rPr>
          <w:rFonts w:asciiTheme="minorHAnsi" w:hAnsiTheme="minorHAnsi" w:cs="Arial"/>
          <w:szCs w:val="22"/>
        </w:rPr>
        <w:t xml:space="preserve"> </w:t>
      </w:r>
      <w:r w:rsidR="00E748BB">
        <w:rPr>
          <w:rFonts w:asciiTheme="minorHAnsi" w:hAnsiTheme="minorHAnsi" w:cs="Arial"/>
          <w:szCs w:val="22"/>
        </w:rPr>
        <w:t xml:space="preserve">Should a </w:t>
      </w:r>
      <w:r w:rsidR="00E748BB">
        <w:rPr>
          <w:sz w:val="23"/>
          <w:szCs w:val="23"/>
        </w:rPr>
        <w:t xml:space="preserve">VET provider’s </w:t>
      </w:r>
      <w:r w:rsidR="004B5FFB" w:rsidRPr="004B5FFB">
        <w:rPr>
          <w:bCs/>
          <w:sz w:val="23"/>
          <w:szCs w:val="23"/>
        </w:rPr>
        <w:t>VET FEE</w:t>
      </w:r>
      <w:r w:rsidR="004B5FFB" w:rsidRPr="004B5FFB">
        <w:rPr>
          <w:bCs/>
          <w:sz w:val="23"/>
          <w:szCs w:val="23"/>
        </w:rPr>
        <w:noBreakHyphen/>
        <w:t>HELP</w:t>
      </w:r>
      <w:r w:rsidR="00E748BB">
        <w:rPr>
          <w:sz w:val="23"/>
          <w:szCs w:val="23"/>
        </w:rPr>
        <w:t xml:space="preserve"> account be in deficit at the end of a calendar year,</w:t>
      </w:r>
      <w:r w:rsidR="00E748BB">
        <w:rPr>
          <w:rFonts w:asciiTheme="minorHAnsi" w:hAnsiTheme="minorHAnsi" w:cs="Arial"/>
          <w:szCs w:val="22"/>
        </w:rPr>
        <w:t xml:space="preserve"> clause 45E </w:t>
      </w:r>
      <w:r w:rsidR="00E748BB" w:rsidRPr="007501E3">
        <w:rPr>
          <w:rFonts w:asciiTheme="minorHAnsi" w:hAnsiTheme="minorHAnsi" w:cs="Arial"/>
          <w:bCs/>
          <w:szCs w:val="22"/>
        </w:rPr>
        <w:t>of Schedule 1A to HESA</w:t>
      </w:r>
      <w:r w:rsidR="00E748BB">
        <w:rPr>
          <w:rFonts w:asciiTheme="minorHAnsi" w:hAnsiTheme="minorHAnsi" w:cs="Arial"/>
          <w:szCs w:val="22"/>
        </w:rPr>
        <w:t xml:space="preserve"> provides for the payment</w:t>
      </w:r>
      <w:r w:rsidR="00476041">
        <w:rPr>
          <w:rFonts w:asciiTheme="minorHAnsi" w:hAnsiTheme="minorHAnsi" w:cs="Arial"/>
          <w:szCs w:val="22"/>
        </w:rPr>
        <w:t xml:space="preserve"> to the Commonwealth</w:t>
      </w:r>
      <w:r w:rsidR="00E748BB">
        <w:rPr>
          <w:rFonts w:asciiTheme="minorHAnsi" w:hAnsiTheme="minorHAnsi" w:cs="Arial"/>
          <w:szCs w:val="22"/>
        </w:rPr>
        <w:t xml:space="preserve"> of an amo</w:t>
      </w:r>
      <w:r w:rsidR="00476041">
        <w:rPr>
          <w:rFonts w:asciiTheme="minorHAnsi" w:hAnsiTheme="minorHAnsi" w:cs="Arial"/>
          <w:szCs w:val="22"/>
        </w:rPr>
        <w:t>unt equal to that deficit</w:t>
      </w:r>
      <w:r w:rsidR="00E748BB">
        <w:rPr>
          <w:rFonts w:asciiTheme="minorHAnsi" w:hAnsiTheme="minorHAnsi" w:cs="Arial"/>
          <w:szCs w:val="22"/>
        </w:rPr>
        <w:t>.</w:t>
      </w:r>
    </w:p>
    <w:p w:rsidR="004A0DD1" w:rsidRDefault="004A0DD1" w:rsidP="00010680">
      <w:pPr>
        <w:autoSpaceDE w:val="0"/>
        <w:autoSpaceDN w:val="0"/>
        <w:adjustRightInd w:val="0"/>
        <w:rPr>
          <w:rFonts w:asciiTheme="minorHAnsi" w:hAnsiTheme="minorHAnsi" w:cs="Arial"/>
          <w:szCs w:val="22"/>
        </w:rPr>
      </w:pPr>
    </w:p>
    <w:p w:rsidR="008A099C" w:rsidRDefault="008A099C" w:rsidP="00010680">
      <w:pPr>
        <w:spacing w:line="360" w:lineRule="auto"/>
        <w:ind w:right="-425"/>
        <w:rPr>
          <w:rFonts w:asciiTheme="minorHAnsi" w:hAnsiTheme="minorHAnsi" w:cs="Century Gothic"/>
          <w:bCs/>
          <w:szCs w:val="22"/>
        </w:rPr>
      </w:pPr>
      <w:r>
        <w:rPr>
          <w:rFonts w:asciiTheme="minorHAnsi" w:hAnsiTheme="minorHAnsi" w:cs="Century Gothic"/>
          <w:bCs/>
          <w:szCs w:val="22"/>
        </w:rPr>
        <w:t xml:space="preserve">Subclause 45D(6) </w:t>
      </w:r>
      <w:r w:rsidRPr="005807FD">
        <w:rPr>
          <w:rFonts w:asciiTheme="minorHAnsi" w:hAnsiTheme="minorHAnsi" w:cs="Century Gothic"/>
          <w:bCs/>
          <w:szCs w:val="22"/>
        </w:rPr>
        <w:t xml:space="preserve">of Schedule 1A to </w:t>
      </w:r>
      <w:r>
        <w:rPr>
          <w:rFonts w:asciiTheme="minorHAnsi" w:hAnsiTheme="minorHAnsi" w:cs="Century Gothic"/>
          <w:bCs/>
          <w:szCs w:val="22"/>
        </w:rPr>
        <w:t>HESA provides that the Minister may determine</w:t>
      </w:r>
      <w:r w:rsidR="00E748BB">
        <w:rPr>
          <w:rFonts w:asciiTheme="minorHAnsi" w:hAnsiTheme="minorHAnsi" w:cs="Century Gothic"/>
          <w:bCs/>
          <w:szCs w:val="22"/>
        </w:rPr>
        <w:t>, by legislative instrument,</w:t>
      </w:r>
      <w:r>
        <w:rPr>
          <w:rFonts w:asciiTheme="minorHAnsi" w:hAnsiTheme="minorHAnsi" w:cs="Century Gothic"/>
          <w:bCs/>
          <w:szCs w:val="22"/>
        </w:rPr>
        <w:t xml:space="preserve"> that further credits arise </w:t>
      </w:r>
      <w:r w:rsidRPr="008A099C">
        <w:rPr>
          <w:rFonts w:asciiTheme="minorHAnsi" w:hAnsiTheme="minorHAnsi" w:cs="Arial"/>
          <w:szCs w:val="22"/>
        </w:rPr>
        <w:t>in the</w:t>
      </w:r>
      <w:r w:rsidR="004B5FFB" w:rsidRPr="004B5FFB">
        <w:rPr>
          <w:rFonts w:asciiTheme="minorHAnsi" w:hAnsiTheme="minorHAnsi" w:cs="Century Gothic"/>
          <w:bCs/>
          <w:szCs w:val="22"/>
        </w:rPr>
        <w:t xml:space="preserve"> </w:t>
      </w:r>
      <w:r w:rsidR="004B5FFB" w:rsidRPr="004B5FFB">
        <w:rPr>
          <w:rFonts w:asciiTheme="minorHAnsi" w:hAnsiTheme="minorHAnsi" w:cs="Arial"/>
          <w:bCs/>
          <w:szCs w:val="22"/>
        </w:rPr>
        <w:t>VET FEE</w:t>
      </w:r>
      <w:r w:rsidR="004B5FFB" w:rsidRPr="004B5FFB">
        <w:rPr>
          <w:rFonts w:asciiTheme="minorHAnsi" w:hAnsiTheme="minorHAnsi" w:cs="Arial"/>
          <w:bCs/>
          <w:szCs w:val="22"/>
        </w:rPr>
        <w:noBreakHyphen/>
        <w:t>HELP</w:t>
      </w:r>
      <w:r w:rsidRPr="008A099C">
        <w:rPr>
          <w:rFonts w:asciiTheme="minorHAnsi" w:hAnsiTheme="minorHAnsi" w:cs="Arial"/>
          <w:szCs w:val="22"/>
        </w:rPr>
        <w:t xml:space="preserve"> accounts of specified VET providers</w:t>
      </w:r>
      <w:r>
        <w:rPr>
          <w:rFonts w:asciiTheme="minorHAnsi" w:hAnsiTheme="minorHAnsi" w:cs="Arial"/>
          <w:szCs w:val="22"/>
        </w:rPr>
        <w:t xml:space="preserve">, and the amount of those credits, </w:t>
      </w:r>
      <w:r w:rsidRPr="008A099C">
        <w:rPr>
          <w:rFonts w:asciiTheme="minorHAnsi" w:hAnsiTheme="minorHAnsi" w:cs="Arial"/>
          <w:szCs w:val="22"/>
        </w:rPr>
        <w:t>when another body ceases to be a VET provider</w:t>
      </w:r>
      <w:r>
        <w:rPr>
          <w:rFonts w:asciiTheme="minorHAnsi" w:hAnsiTheme="minorHAnsi" w:cs="Arial"/>
          <w:szCs w:val="22"/>
        </w:rPr>
        <w:t>.</w:t>
      </w:r>
    </w:p>
    <w:p w:rsidR="00C447C4" w:rsidRDefault="00C447C4">
      <w:pPr>
        <w:spacing w:after="200" w:line="276" w:lineRule="auto"/>
        <w:rPr>
          <w:rFonts w:asciiTheme="minorHAnsi" w:hAnsiTheme="minorHAnsi" w:cs="Arial"/>
          <w:szCs w:val="22"/>
        </w:rPr>
      </w:pPr>
      <w:r>
        <w:rPr>
          <w:rFonts w:asciiTheme="minorHAnsi" w:hAnsiTheme="minorHAnsi" w:cs="Arial"/>
          <w:szCs w:val="22"/>
        </w:rPr>
        <w:br w:type="page"/>
      </w:r>
    </w:p>
    <w:p w:rsidR="0040320C" w:rsidRPr="00A90486" w:rsidRDefault="0040320C" w:rsidP="007269E4">
      <w:pPr>
        <w:spacing w:after="200" w:line="276" w:lineRule="auto"/>
        <w:rPr>
          <w:rFonts w:asciiTheme="minorHAnsi" w:hAnsiTheme="minorHAnsi" w:cs="Arial"/>
          <w:szCs w:val="22"/>
        </w:rPr>
      </w:pPr>
    </w:p>
    <w:p w:rsidR="009E5710" w:rsidRPr="00A90486" w:rsidRDefault="0040320C" w:rsidP="00010680">
      <w:pPr>
        <w:spacing w:line="360" w:lineRule="auto"/>
        <w:ind w:right="-425"/>
        <w:rPr>
          <w:rFonts w:asciiTheme="minorHAnsi" w:hAnsiTheme="minorHAnsi" w:cs="Arial"/>
          <w:b/>
          <w:szCs w:val="22"/>
        </w:rPr>
      </w:pPr>
      <w:r w:rsidRPr="00A90486">
        <w:rPr>
          <w:rFonts w:asciiTheme="minorHAnsi" w:hAnsiTheme="minorHAnsi" w:cs="Arial"/>
          <w:b/>
          <w:szCs w:val="22"/>
        </w:rPr>
        <w:t>Commencement</w:t>
      </w:r>
      <w:r w:rsidR="009E5710">
        <w:rPr>
          <w:rFonts w:asciiTheme="minorHAnsi" w:hAnsiTheme="minorHAnsi" w:cs="Arial"/>
          <w:b/>
          <w:szCs w:val="22"/>
        </w:rPr>
        <w:t xml:space="preserve"> </w:t>
      </w:r>
    </w:p>
    <w:p w:rsidR="008A099C" w:rsidRDefault="00B5313F" w:rsidP="00010680">
      <w:pPr>
        <w:spacing w:line="360" w:lineRule="auto"/>
        <w:ind w:right="-425"/>
        <w:rPr>
          <w:rFonts w:asciiTheme="minorHAnsi" w:hAnsiTheme="minorHAnsi" w:cs="Arial"/>
          <w:szCs w:val="22"/>
        </w:rPr>
      </w:pPr>
      <w:r w:rsidRPr="00B5313F">
        <w:rPr>
          <w:rFonts w:asciiTheme="minorHAnsi" w:hAnsiTheme="minorHAnsi" w:cs="Arial"/>
          <w:szCs w:val="22"/>
        </w:rPr>
        <w:t>In accordance with subparagraph 45D(2)(e)(i) of Schedule 1A to HESA the credits arise in the VET FEE</w:t>
      </w:r>
      <w:r w:rsidRPr="00B5313F">
        <w:rPr>
          <w:rFonts w:asciiTheme="minorHAnsi" w:hAnsiTheme="minorHAnsi" w:cs="Arial"/>
          <w:szCs w:val="22"/>
        </w:rPr>
        <w:noBreakHyphen/>
        <w:t>HELP accounts of the VET providers named in Column 2 of Schedule 2 to this Determination  at the time the providers named in Column 2 of Schedule 1 to this Determination ceased to be VET providers.</w:t>
      </w:r>
    </w:p>
    <w:p w:rsidR="00010680" w:rsidRDefault="00010680" w:rsidP="00010680">
      <w:pPr>
        <w:autoSpaceDE w:val="0"/>
        <w:autoSpaceDN w:val="0"/>
        <w:adjustRightInd w:val="0"/>
        <w:rPr>
          <w:rFonts w:asciiTheme="minorHAnsi" w:hAnsiTheme="minorHAnsi" w:cs="Arial"/>
          <w:szCs w:val="22"/>
        </w:rPr>
      </w:pPr>
    </w:p>
    <w:p w:rsidR="0072523E" w:rsidRDefault="00B5313F" w:rsidP="00010680">
      <w:pPr>
        <w:spacing w:line="360" w:lineRule="auto"/>
        <w:ind w:right="-425"/>
        <w:rPr>
          <w:rFonts w:asciiTheme="minorHAnsi" w:hAnsiTheme="minorHAnsi" w:cs="Arial"/>
          <w:szCs w:val="22"/>
        </w:rPr>
      </w:pPr>
      <w:r w:rsidRPr="00B5313F">
        <w:rPr>
          <w:rFonts w:asciiTheme="minorHAnsi" w:hAnsiTheme="minorHAnsi" w:cs="Arial"/>
          <w:szCs w:val="22"/>
        </w:rPr>
        <w:t>This Determination therefore commenced on 11 April 2016</w:t>
      </w:r>
      <w:r w:rsidR="004315D7">
        <w:rPr>
          <w:rFonts w:asciiTheme="minorHAnsi" w:hAnsiTheme="minorHAnsi" w:cs="Arial"/>
          <w:szCs w:val="22"/>
        </w:rPr>
        <w:t>,</w:t>
      </w:r>
      <w:r w:rsidRPr="00B5313F">
        <w:rPr>
          <w:rFonts w:asciiTheme="minorHAnsi" w:hAnsiTheme="minorHAnsi" w:cs="Arial"/>
          <w:szCs w:val="22"/>
        </w:rPr>
        <w:t xml:space="preserve"> which is when the providers named in Column 2 of Schedule 1 to this Determination ceased to be VET providers. This retrospective commencement does not adversely affect the rights of any person as it enables the VET providers named in Column 2 of Schedule 2 to this Determination to ensure continuity of VET FEE</w:t>
      </w:r>
      <w:r w:rsidRPr="00B5313F">
        <w:rPr>
          <w:rFonts w:asciiTheme="minorHAnsi" w:hAnsiTheme="minorHAnsi" w:cs="Arial"/>
          <w:szCs w:val="22"/>
        </w:rPr>
        <w:noBreakHyphen/>
        <w:t xml:space="preserve">HELP assistance to students </w:t>
      </w:r>
      <w:r w:rsidR="009F00E3">
        <w:rPr>
          <w:rFonts w:asciiTheme="minorHAnsi" w:hAnsiTheme="minorHAnsi" w:cs="Arial"/>
          <w:szCs w:val="22"/>
        </w:rPr>
        <w:t xml:space="preserve">previously </w:t>
      </w:r>
      <w:bookmarkStart w:id="0" w:name="_GoBack"/>
      <w:bookmarkEnd w:id="0"/>
      <w:r w:rsidRPr="00B5313F">
        <w:rPr>
          <w:rFonts w:asciiTheme="minorHAnsi" w:hAnsiTheme="minorHAnsi" w:cs="Arial"/>
          <w:szCs w:val="22"/>
        </w:rPr>
        <w:t>enrolled with the providers named in Column 2 of Schedule 1 to this Determination without putting their respective VET FEE</w:t>
      </w:r>
      <w:r w:rsidRPr="00B5313F">
        <w:rPr>
          <w:rFonts w:asciiTheme="minorHAnsi" w:hAnsiTheme="minorHAnsi" w:cs="Arial"/>
          <w:szCs w:val="22"/>
        </w:rPr>
        <w:noBreakHyphen/>
        <w:t>HELP accounts into deficit at the end of the calendar year.</w:t>
      </w:r>
    </w:p>
    <w:p w:rsidR="00010680" w:rsidRDefault="00010680" w:rsidP="00010680">
      <w:pPr>
        <w:autoSpaceDE w:val="0"/>
        <w:autoSpaceDN w:val="0"/>
        <w:adjustRightInd w:val="0"/>
        <w:rPr>
          <w:rFonts w:asciiTheme="minorHAnsi" w:hAnsiTheme="minorHAnsi" w:cs="Arial"/>
          <w:szCs w:val="22"/>
        </w:rPr>
      </w:pPr>
    </w:p>
    <w:p w:rsidR="009E5710" w:rsidRDefault="0005318A" w:rsidP="00010680">
      <w:pPr>
        <w:spacing w:line="360" w:lineRule="auto"/>
        <w:ind w:right="-425"/>
        <w:rPr>
          <w:rFonts w:asciiTheme="minorHAnsi" w:hAnsiTheme="minorHAnsi" w:cs="Arial"/>
          <w:szCs w:val="22"/>
        </w:rPr>
      </w:pPr>
      <w:r>
        <w:rPr>
          <w:rFonts w:asciiTheme="minorHAnsi" w:hAnsiTheme="minorHAnsi" w:cs="Arial"/>
          <w:szCs w:val="22"/>
        </w:rPr>
        <w:t xml:space="preserve">The retrospective commencement is appropriate and does not </w:t>
      </w:r>
      <w:r w:rsidR="0072523E">
        <w:rPr>
          <w:rFonts w:asciiTheme="minorHAnsi" w:hAnsiTheme="minorHAnsi" w:cs="Arial"/>
          <w:szCs w:val="22"/>
        </w:rPr>
        <w:t>trigger</w:t>
      </w:r>
      <w:r>
        <w:rPr>
          <w:rFonts w:asciiTheme="minorHAnsi" w:hAnsiTheme="minorHAnsi" w:cs="Arial"/>
          <w:szCs w:val="22"/>
        </w:rPr>
        <w:t xml:space="preserve"> subsection 12(2) of the </w:t>
      </w:r>
      <w:r w:rsidR="004B5FFB">
        <w:rPr>
          <w:rFonts w:asciiTheme="minorHAnsi" w:hAnsiTheme="minorHAnsi" w:cs="Arial"/>
          <w:i/>
          <w:szCs w:val="22"/>
        </w:rPr>
        <w:t>Legislation </w:t>
      </w:r>
      <w:r w:rsidRPr="007269E4">
        <w:rPr>
          <w:rFonts w:asciiTheme="minorHAnsi" w:hAnsiTheme="minorHAnsi" w:cs="Arial"/>
          <w:i/>
          <w:szCs w:val="22"/>
        </w:rPr>
        <w:t>Act 2003</w:t>
      </w:r>
      <w:r>
        <w:rPr>
          <w:rFonts w:asciiTheme="minorHAnsi" w:hAnsiTheme="minorHAnsi" w:cs="Arial"/>
          <w:szCs w:val="22"/>
        </w:rPr>
        <w:t>.</w:t>
      </w:r>
    </w:p>
    <w:p w:rsidR="00010680" w:rsidRPr="00A90486" w:rsidRDefault="00010680" w:rsidP="00010680">
      <w:pPr>
        <w:autoSpaceDE w:val="0"/>
        <w:autoSpaceDN w:val="0"/>
        <w:adjustRightInd w:val="0"/>
        <w:rPr>
          <w:rFonts w:asciiTheme="minorHAnsi" w:hAnsiTheme="minorHAnsi" w:cs="Arial"/>
          <w:szCs w:val="22"/>
        </w:rPr>
      </w:pPr>
    </w:p>
    <w:p w:rsidR="0040320C" w:rsidRPr="00A90486" w:rsidRDefault="0040320C" w:rsidP="0040320C">
      <w:pPr>
        <w:spacing w:line="360" w:lineRule="auto"/>
        <w:ind w:right="-425"/>
        <w:rPr>
          <w:rFonts w:asciiTheme="minorHAnsi" w:hAnsiTheme="minorHAnsi" w:cs="Arial"/>
          <w:b/>
          <w:szCs w:val="22"/>
        </w:rPr>
      </w:pPr>
      <w:r w:rsidRPr="00A90486">
        <w:rPr>
          <w:rFonts w:asciiTheme="minorHAnsi" w:hAnsiTheme="minorHAnsi" w:cs="Arial"/>
          <w:b/>
          <w:szCs w:val="22"/>
        </w:rPr>
        <w:t>Consultation</w:t>
      </w:r>
    </w:p>
    <w:p w:rsidR="0040320C" w:rsidRPr="00A90486" w:rsidRDefault="00B5313F" w:rsidP="00010680">
      <w:pPr>
        <w:spacing w:line="360" w:lineRule="auto"/>
        <w:ind w:right="-425"/>
        <w:rPr>
          <w:rFonts w:asciiTheme="minorHAnsi" w:hAnsiTheme="minorHAnsi"/>
          <w:szCs w:val="22"/>
        </w:rPr>
      </w:pPr>
      <w:r w:rsidRPr="00B5313F">
        <w:rPr>
          <w:rFonts w:asciiTheme="minorHAnsi" w:hAnsiTheme="minorHAnsi"/>
          <w:szCs w:val="22"/>
        </w:rPr>
        <w:t>Consultation with</w:t>
      </w:r>
      <w:r w:rsidRPr="00B5313F">
        <w:rPr>
          <w:rFonts w:asciiTheme="minorHAnsi" w:hAnsiTheme="minorHAnsi"/>
          <w:bCs/>
          <w:szCs w:val="22"/>
        </w:rPr>
        <w:t xml:space="preserve"> Western Australian Department of Training and Workforce Development</w:t>
      </w:r>
      <w:r w:rsidRPr="00B5313F">
        <w:rPr>
          <w:rFonts w:asciiTheme="minorHAnsi" w:hAnsiTheme="minorHAnsi"/>
          <w:szCs w:val="22"/>
        </w:rPr>
        <w:t xml:space="preserve"> was undertaken. Broader consultation was not considered necessary in this case because the notice confers a benefit on West Australian TAFEs and these bodies are the only bodies affected by the notice. This notice will not have a direct or substantial indirect effect on business, nor will it restrict competition.</w:t>
      </w:r>
    </w:p>
    <w:p w:rsidR="0040320C" w:rsidRPr="00A90486" w:rsidRDefault="0040320C" w:rsidP="0040320C">
      <w:pPr>
        <w:spacing w:line="360" w:lineRule="auto"/>
        <w:ind w:right="-425"/>
        <w:rPr>
          <w:rFonts w:asciiTheme="minorHAnsi" w:hAnsiTheme="minorHAnsi" w:cs="Arial"/>
          <w:szCs w:val="22"/>
        </w:rPr>
      </w:pPr>
      <w:r w:rsidRPr="00A90486">
        <w:rPr>
          <w:rFonts w:asciiTheme="minorHAnsi" w:hAnsiTheme="minorHAnsi" w:cs="Arial"/>
          <w:szCs w:val="22"/>
        </w:rPr>
        <w:br w:type="page"/>
      </w:r>
    </w:p>
    <w:p w:rsidR="0040320C" w:rsidRPr="00A90486" w:rsidRDefault="0040320C" w:rsidP="0040320C">
      <w:pPr>
        <w:jc w:val="center"/>
        <w:rPr>
          <w:rFonts w:asciiTheme="minorHAnsi" w:hAnsiTheme="minorHAnsi" w:cstheme="minorHAnsi"/>
          <w:b/>
          <w:szCs w:val="22"/>
        </w:rPr>
      </w:pPr>
      <w:r w:rsidRPr="00A90486">
        <w:rPr>
          <w:rFonts w:asciiTheme="minorHAnsi" w:hAnsiTheme="minorHAnsi" w:cstheme="minorHAnsi"/>
          <w:b/>
          <w:szCs w:val="22"/>
        </w:rPr>
        <w:lastRenderedPageBreak/>
        <w:t>Statement of Compatibility with Human Rights</w:t>
      </w:r>
    </w:p>
    <w:p w:rsidR="00227DFA" w:rsidRPr="005807FD" w:rsidRDefault="00227DFA" w:rsidP="00227DFA">
      <w:pPr>
        <w:ind w:right="-425"/>
        <w:rPr>
          <w:rFonts w:asciiTheme="minorHAnsi" w:hAnsiTheme="minorHAnsi" w:cs="Arial"/>
          <w:szCs w:val="22"/>
        </w:rPr>
      </w:pPr>
    </w:p>
    <w:p w:rsidR="0040320C" w:rsidRPr="00A90486" w:rsidRDefault="0040320C" w:rsidP="0040320C">
      <w:pPr>
        <w:jc w:val="center"/>
        <w:rPr>
          <w:rFonts w:asciiTheme="minorHAnsi" w:hAnsiTheme="minorHAnsi" w:cstheme="minorHAnsi"/>
          <w:i/>
          <w:szCs w:val="22"/>
        </w:rPr>
      </w:pPr>
      <w:r w:rsidRPr="00A90486">
        <w:rPr>
          <w:rFonts w:asciiTheme="minorHAnsi" w:hAnsiTheme="minorHAnsi" w:cstheme="minorHAnsi"/>
          <w:i/>
          <w:szCs w:val="22"/>
        </w:rPr>
        <w:t>Prepared in accordance with Part 3 of the Human Rights (Parliamentary Scrutiny) Act 2011</w:t>
      </w:r>
    </w:p>
    <w:p w:rsidR="0072523E" w:rsidRPr="00A90486" w:rsidRDefault="0072523E" w:rsidP="0072523E">
      <w:pPr>
        <w:jc w:val="center"/>
        <w:rPr>
          <w:rFonts w:asciiTheme="minorHAnsi" w:hAnsiTheme="minorHAnsi" w:cstheme="minorHAnsi"/>
          <w:b/>
          <w:szCs w:val="22"/>
        </w:rPr>
      </w:pPr>
    </w:p>
    <w:p w:rsidR="0072523E" w:rsidRPr="00227DFA" w:rsidRDefault="0072523E" w:rsidP="0072523E">
      <w:pPr>
        <w:ind w:right="-425"/>
        <w:jc w:val="center"/>
        <w:rPr>
          <w:rFonts w:asciiTheme="minorHAnsi" w:hAnsiTheme="minorHAnsi" w:cs="Arial"/>
          <w:b/>
          <w:szCs w:val="22"/>
        </w:rPr>
      </w:pPr>
      <w:r w:rsidRPr="00227DFA">
        <w:rPr>
          <w:rFonts w:asciiTheme="minorHAnsi" w:hAnsiTheme="minorHAnsi" w:cs="Arial"/>
          <w:b/>
          <w:szCs w:val="22"/>
        </w:rPr>
        <w:t>VET Provider Credits</w:t>
      </w:r>
      <w:r w:rsidR="007C0B67">
        <w:rPr>
          <w:rFonts w:asciiTheme="minorHAnsi" w:hAnsiTheme="minorHAnsi" w:cs="Arial"/>
          <w:b/>
          <w:szCs w:val="22"/>
        </w:rPr>
        <w:t xml:space="preserve"> Determination No. </w:t>
      </w:r>
      <w:r w:rsidR="00C41BC5">
        <w:rPr>
          <w:rFonts w:asciiTheme="minorHAnsi" w:hAnsiTheme="minorHAnsi" w:cs="Arial"/>
          <w:b/>
          <w:szCs w:val="22"/>
        </w:rPr>
        <w:t>3</w:t>
      </w:r>
      <w:r w:rsidR="007C0B67">
        <w:rPr>
          <w:rFonts w:asciiTheme="minorHAnsi" w:hAnsiTheme="minorHAnsi" w:cs="Arial"/>
          <w:b/>
          <w:szCs w:val="22"/>
        </w:rPr>
        <w:t xml:space="preserve"> of 2016</w:t>
      </w:r>
    </w:p>
    <w:p w:rsidR="0040320C" w:rsidRPr="00A90486" w:rsidRDefault="0040320C" w:rsidP="0040320C">
      <w:pPr>
        <w:jc w:val="center"/>
        <w:rPr>
          <w:rFonts w:asciiTheme="minorHAnsi" w:hAnsiTheme="minorHAnsi" w:cstheme="minorHAnsi"/>
          <w:b/>
          <w:szCs w:val="22"/>
        </w:rPr>
      </w:pPr>
    </w:p>
    <w:p w:rsidR="0040320C" w:rsidRPr="00A90486" w:rsidRDefault="0040320C" w:rsidP="0040320C">
      <w:pPr>
        <w:rPr>
          <w:rFonts w:asciiTheme="minorHAnsi" w:hAnsiTheme="minorHAnsi" w:cstheme="minorHAnsi"/>
          <w:b/>
          <w:szCs w:val="22"/>
        </w:rPr>
      </w:pPr>
    </w:p>
    <w:p w:rsidR="0040320C" w:rsidRPr="00A90486" w:rsidRDefault="0040320C" w:rsidP="00010680">
      <w:pPr>
        <w:spacing w:line="360" w:lineRule="auto"/>
        <w:ind w:right="-425"/>
        <w:rPr>
          <w:rFonts w:asciiTheme="minorHAnsi" w:hAnsiTheme="minorHAnsi" w:cstheme="minorHAnsi"/>
          <w:i/>
          <w:szCs w:val="22"/>
        </w:rPr>
      </w:pPr>
      <w:r w:rsidRPr="00A90486">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A90486">
        <w:rPr>
          <w:rFonts w:asciiTheme="minorHAnsi" w:hAnsiTheme="minorHAnsi" w:cstheme="minorHAnsi"/>
          <w:i/>
          <w:szCs w:val="22"/>
        </w:rPr>
        <w:t>Human Rights (Parliamentary Scrutiny) Act 2011.</w:t>
      </w:r>
    </w:p>
    <w:p w:rsidR="0040320C" w:rsidRPr="00A90486" w:rsidRDefault="0040320C" w:rsidP="00010680">
      <w:pPr>
        <w:autoSpaceDE w:val="0"/>
        <w:autoSpaceDN w:val="0"/>
        <w:adjustRightInd w:val="0"/>
        <w:rPr>
          <w:rFonts w:asciiTheme="minorHAnsi" w:hAnsiTheme="minorHAnsi" w:cstheme="minorHAnsi"/>
          <w:szCs w:val="22"/>
        </w:rPr>
      </w:pPr>
    </w:p>
    <w:p w:rsidR="0040320C" w:rsidRPr="00A90486" w:rsidRDefault="0040320C" w:rsidP="00010680">
      <w:pPr>
        <w:spacing w:line="360" w:lineRule="auto"/>
        <w:ind w:right="-425"/>
        <w:rPr>
          <w:rFonts w:asciiTheme="minorHAnsi" w:hAnsiTheme="minorHAnsi"/>
          <w:b/>
          <w:szCs w:val="22"/>
        </w:rPr>
      </w:pPr>
      <w:r w:rsidRPr="00A90486">
        <w:rPr>
          <w:rFonts w:asciiTheme="minorHAnsi" w:hAnsiTheme="minorHAnsi"/>
          <w:b/>
          <w:szCs w:val="22"/>
        </w:rPr>
        <w:t>Overview of the Legislative Instrument</w:t>
      </w:r>
    </w:p>
    <w:p w:rsidR="00387023" w:rsidRDefault="00B5313F" w:rsidP="00010680">
      <w:pPr>
        <w:spacing w:line="360" w:lineRule="auto"/>
        <w:ind w:right="-425"/>
        <w:rPr>
          <w:rFonts w:asciiTheme="minorHAnsi" w:hAnsiTheme="minorHAnsi"/>
          <w:bCs/>
          <w:szCs w:val="22"/>
        </w:rPr>
      </w:pPr>
      <w:r w:rsidRPr="00B5313F">
        <w:rPr>
          <w:rFonts w:asciiTheme="minorHAnsi" w:hAnsiTheme="minorHAnsi"/>
          <w:szCs w:val="22"/>
        </w:rPr>
        <w:t xml:space="preserve">The Instrument is made by the Minister’s delegate under </w:t>
      </w:r>
      <w:r w:rsidRPr="00B5313F">
        <w:rPr>
          <w:rFonts w:asciiTheme="minorHAnsi" w:hAnsiTheme="minorHAnsi"/>
          <w:bCs/>
          <w:szCs w:val="22"/>
        </w:rPr>
        <w:t>subclause 45D(6) of Schedule 1A to HESA</w:t>
      </w:r>
      <w:r w:rsidRPr="00B5313F">
        <w:rPr>
          <w:rFonts w:asciiTheme="minorHAnsi" w:hAnsiTheme="minorHAnsi"/>
          <w:szCs w:val="22"/>
        </w:rPr>
        <w:t xml:space="preserve">. The purpose of the Instrument is to determine that credits arise, and the amount of those respective credits, </w:t>
      </w:r>
      <w:r w:rsidRPr="00B5313F">
        <w:rPr>
          <w:rFonts w:asciiTheme="minorHAnsi" w:hAnsiTheme="minorHAnsi"/>
          <w:bCs/>
          <w:szCs w:val="22"/>
        </w:rPr>
        <w:t xml:space="preserve">in the VET FEE-HELP accounts of </w:t>
      </w:r>
      <w:r w:rsidRPr="00B5313F">
        <w:rPr>
          <w:rFonts w:asciiTheme="minorHAnsi" w:hAnsiTheme="minorHAnsi"/>
          <w:szCs w:val="22"/>
        </w:rPr>
        <w:t>the VET providers named in Column 2 of Schedule 2 to this Determination</w:t>
      </w:r>
      <w:r w:rsidRPr="00B5313F">
        <w:rPr>
          <w:rFonts w:asciiTheme="minorHAnsi" w:hAnsiTheme="minorHAnsi"/>
          <w:bCs/>
          <w:szCs w:val="22"/>
        </w:rPr>
        <w:t>.</w:t>
      </w:r>
    </w:p>
    <w:p w:rsidR="004A0DD1" w:rsidRDefault="004A0DD1" w:rsidP="00010680">
      <w:pPr>
        <w:autoSpaceDE w:val="0"/>
        <w:autoSpaceDN w:val="0"/>
        <w:adjustRightInd w:val="0"/>
        <w:rPr>
          <w:rFonts w:asciiTheme="minorHAnsi" w:hAnsiTheme="minorHAnsi"/>
          <w:bCs/>
          <w:szCs w:val="22"/>
        </w:rPr>
      </w:pPr>
    </w:p>
    <w:p w:rsidR="008C4ED0" w:rsidRDefault="00B5313F" w:rsidP="00010680">
      <w:pPr>
        <w:spacing w:line="360" w:lineRule="auto"/>
        <w:ind w:right="-425"/>
        <w:rPr>
          <w:rFonts w:asciiTheme="minorHAnsi" w:hAnsiTheme="minorHAnsi"/>
          <w:szCs w:val="22"/>
        </w:rPr>
      </w:pPr>
      <w:r w:rsidRPr="00B5313F">
        <w:rPr>
          <w:rFonts w:asciiTheme="minorHAnsi" w:hAnsiTheme="minorHAnsi"/>
          <w:bCs/>
          <w:szCs w:val="22"/>
        </w:rPr>
        <w:t>The condition precedent to the making of the determination is that another body ceases to be a VET provider. This condition is satisfied by the providers named in Column 2 of Schedule 1 to this Determination ceasing to be VET providers.</w:t>
      </w:r>
    </w:p>
    <w:p w:rsidR="0040320C" w:rsidRPr="00A90486" w:rsidRDefault="0040320C" w:rsidP="00010680">
      <w:pPr>
        <w:autoSpaceDE w:val="0"/>
        <w:autoSpaceDN w:val="0"/>
        <w:adjustRightInd w:val="0"/>
        <w:rPr>
          <w:rFonts w:asciiTheme="minorHAnsi" w:hAnsiTheme="minorHAnsi"/>
          <w:szCs w:val="22"/>
        </w:rPr>
      </w:pPr>
    </w:p>
    <w:p w:rsidR="0040320C" w:rsidRPr="00A90486" w:rsidRDefault="0040320C" w:rsidP="00010680">
      <w:pPr>
        <w:spacing w:line="360" w:lineRule="auto"/>
        <w:ind w:right="-425"/>
        <w:rPr>
          <w:rFonts w:asciiTheme="minorHAnsi" w:hAnsiTheme="minorHAnsi"/>
          <w:b/>
          <w:szCs w:val="22"/>
        </w:rPr>
      </w:pPr>
      <w:r w:rsidRPr="00A90486">
        <w:rPr>
          <w:rFonts w:asciiTheme="minorHAnsi" w:hAnsiTheme="minorHAnsi"/>
          <w:b/>
          <w:szCs w:val="22"/>
        </w:rPr>
        <w:t>Human rights implications</w:t>
      </w:r>
    </w:p>
    <w:p w:rsidR="0040320C" w:rsidRPr="00A90486" w:rsidRDefault="0040320C" w:rsidP="00010680">
      <w:pPr>
        <w:spacing w:line="360" w:lineRule="auto"/>
        <w:ind w:right="-425"/>
        <w:rPr>
          <w:rFonts w:asciiTheme="minorHAnsi" w:hAnsiTheme="minorHAnsi"/>
          <w:i/>
          <w:szCs w:val="22"/>
        </w:rPr>
      </w:pPr>
      <w:r w:rsidRPr="00A90486">
        <w:rPr>
          <w:rFonts w:asciiTheme="minorHAnsi" w:hAnsiTheme="minorHAnsi"/>
          <w:i/>
          <w:szCs w:val="22"/>
        </w:rPr>
        <w:t>Right to education</w:t>
      </w:r>
    </w:p>
    <w:p w:rsidR="0040320C" w:rsidRPr="00A90486" w:rsidRDefault="00B5313F" w:rsidP="00010680">
      <w:pPr>
        <w:spacing w:line="360" w:lineRule="auto"/>
        <w:ind w:right="-425"/>
        <w:rPr>
          <w:rFonts w:asciiTheme="minorHAnsi" w:hAnsiTheme="minorHAnsi"/>
          <w:szCs w:val="22"/>
        </w:rPr>
      </w:pPr>
      <w:r w:rsidRPr="00B5313F">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 the VET providers named in Column 2 of Schedule 2 to this Determination by enabling them to offer VET FEE</w:t>
      </w:r>
      <w:r w:rsidRPr="00B5313F">
        <w:rPr>
          <w:rFonts w:asciiTheme="minorHAnsi" w:hAnsiTheme="minorHAnsi"/>
          <w:szCs w:val="22"/>
        </w:rPr>
        <w:noBreakHyphen/>
        <w:t>HELP assistance to students previously enrolled with the providers named in Column 2 of Schedule 1 to this Determination without putting their respective VET FEE-HELP accounts into deficit at the end of the calendar year.</w:t>
      </w:r>
    </w:p>
    <w:p w:rsidR="0040320C" w:rsidRPr="00A90486" w:rsidRDefault="0040320C" w:rsidP="00010680">
      <w:pPr>
        <w:autoSpaceDE w:val="0"/>
        <w:autoSpaceDN w:val="0"/>
        <w:adjustRightInd w:val="0"/>
        <w:rPr>
          <w:rFonts w:asciiTheme="minorHAnsi" w:hAnsiTheme="minorHAnsi"/>
          <w:szCs w:val="22"/>
        </w:rPr>
      </w:pPr>
    </w:p>
    <w:p w:rsidR="002A120F" w:rsidRDefault="00B5313F" w:rsidP="00010680">
      <w:pPr>
        <w:spacing w:line="360" w:lineRule="auto"/>
        <w:ind w:right="-425"/>
        <w:rPr>
          <w:rFonts w:asciiTheme="minorHAnsi" w:hAnsiTheme="minorHAnsi"/>
          <w:szCs w:val="22"/>
        </w:rPr>
      </w:pPr>
      <w:r w:rsidRPr="00B5313F">
        <w:rPr>
          <w:rFonts w:asciiTheme="minorHAnsi" w:hAnsiTheme="minorHAnsi"/>
          <w:szCs w:val="22"/>
        </w:rPr>
        <w:t>The objective of the Instrument is to enable eligible students of the providers named in Column 2 of Schedule 1 to this Determination</w:t>
      </w:r>
      <w:r w:rsidRPr="00B5313F">
        <w:rPr>
          <w:rFonts w:asciiTheme="minorHAnsi" w:hAnsiTheme="minorHAnsi"/>
          <w:bCs/>
          <w:szCs w:val="22"/>
        </w:rPr>
        <w:t xml:space="preserve"> </w:t>
      </w:r>
      <w:r w:rsidRPr="00B5313F">
        <w:rPr>
          <w:rFonts w:asciiTheme="minorHAnsi" w:hAnsiTheme="minorHAnsi"/>
          <w:szCs w:val="22"/>
        </w:rPr>
        <w:t>to access VET FEE</w:t>
      </w:r>
      <w:r w:rsidRPr="00B5313F">
        <w:rPr>
          <w:rFonts w:asciiTheme="minorHAnsi" w:hAnsiTheme="minorHAnsi"/>
          <w:szCs w:val="22"/>
        </w:rPr>
        <w:noBreakHyphen/>
        <w:t>HELP assistance for VET courses of study with the VET providers named in Column 2 of Schedule 2 to this Determination.</w:t>
      </w:r>
    </w:p>
    <w:p w:rsidR="0040320C" w:rsidRPr="00A90486" w:rsidRDefault="0040320C" w:rsidP="00010680">
      <w:pPr>
        <w:autoSpaceDE w:val="0"/>
        <w:autoSpaceDN w:val="0"/>
        <w:adjustRightInd w:val="0"/>
        <w:rPr>
          <w:rFonts w:asciiTheme="minorHAnsi" w:hAnsiTheme="minorHAnsi"/>
          <w:szCs w:val="22"/>
        </w:rPr>
      </w:pPr>
    </w:p>
    <w:p w:rsidR="0016719E" w:rsidRDefault="00B5313F" w:rsidP="00010680">
      <w:pPr>
        <w:spacing w:line="360" w:lineRule="auto"/>
        <w:ind w:right="-425"/>
        <w:rPr>
          <w:rFonts w:asciiTheme="minorHAnsi" w:hAnsiTheme="minorHAnsi"/>
          <w:szCs w:val="22"/>
        </w:rPr>
      </w:pPr>
      <w:r w:rsidRPr="00B5313F">
        <w:rPr>
          <w:rFonts w:asciiTheme="minorHAnsi" w:hAnsiTheme="minorHAnsi"/>
          <w:szCs w:val="22"/>
        </w:rPr>
        <w:t>To the extent that the right to education is engaged, this right is promoted by the Instrument, as the Instrument enables eligible students of the providers named in Column 2 of Schedule 1 to this Determination</w:t>
      </w:r>
      <w:r w:rsidRPr="00B5313F">
        <w:rPr>
          <w:rFonts w:asciiTheme="minorHAnsi" w:hAnsiTheme="minorHAnsi"/>
          <w:bCs/>
          <w:szCs w:val="22"/>
        </w:rPr>
        <w:t xml:space="preserve"> </w:t>
      </w:r>
      <w:r w:rsidRPr="00B5313F">
        <w:rPr>
          <w:rFonts w:asciiTheme="minorHAnsi" w:hAnsiTheme="minorHAnsi"/>
          <w:szCs w:val="22"/>
        </w:rPr>
        <w:t>to access VET FEE</w:t>
      </w:r>
      <w:r w:rsidRPr="00B5313F">
        <w:rPr>
          <w:rFonts w:asciiTheme="minorHAnsi" w:hAnsiTheme="minorHAnsi"/>
          <w:szCs w:val="22"/>
        </w:rPr>
        <w:noBreakHyphen/>
        <w:t>HELP assistance for VET courses of study with the VET providers named in Column 2 of Schedule 2 to this Determination.</w:t>
      </w:r>
    </w:p>
    <w:p w:rsidR="0040320C" w:rsidRPr="005807FD" w:rsidRDefault="0040320C" w:rsidP="00010680">
      <w:pPr>
        <w:autoSpaceDE w:val="0"/>
        <w:autoSpaceDN w:val="0"/>
        <w:adjustRightInd w:val="0"/>
        <w:rPr>
          <w:rFonts w:asciiTheme="minorHAnsi" w:hAnsiTheme="minorHAnsi"/>
          <w:szCs w:val="22"/>
        </w:rPr>
      </w:pPr>
    </w:p>
    <w:p w:rsidR="0040320C" w:rsidRPr="005807FD" w:rsidRDefault="0040320C" w:rsidP="00010680">
      <w:pPr>
        <w:spacing w:line="360" w:lineRule="auto"/>
        <w:ind w:right="-425"/>
        <w:rPr>
          <w:rFonts w:asciiTheme="minorHAnsi" w:hAnsiTheme="minorHAnsi"/>
          <w:b/>
          <w:szCs w:val="22"/>
        </w:rPr>
      </w:pPr>
      <w:r w:rsidRPr="005807FD">
        <w:rPr>
          <w:rFonts w:asciiTheme="minorHAnsi" w:hAnsiTheme="minorHAnsi"/>
          <w:b/>
          <w:szCs w:val="22"/>
        </w:rPr>
        <w:t>Conclusion</w:t>
      </w:r>
    </w:p>
    <w:p w:rsidR="0040320C" w:rsidRPr="005807FD" w:rsidRDefault="0040320C" w:rsidP="00010680">
      <w:pPr>
        <w:spacing w:line="360" w:lineRule="auto"/>
        <w:ind w:right="-425"/>
        <w:rPr>
          <w:rFonts w:asciiTheme="minorHAnsi" w:hAnsiTheme="minorHAnsi"/>
          <w:szCs w:val="22"/>
        </w:rPr>
      </w:pPr>
      <w:r w:rsidRPr="005807FD">
        <w:rPr>
          <w:rFonts w:asciiTheme="minorHAnsi" w:hAnsiTheme="minorHAnsi"/>
          <w:szCs w:val="22"/>
        </w:rPr>
        <w:t xml:space="preserve">This Instrument is compatible with human rights because it advances </w:t>
      </w:r>
      <w:r w:rsidR="00010680">
        <w:rPr>
          <w:rFonts w:asciiTheme="minorHAnsi" w:hAnsiTheme="minorHAnsi"/>
          <w:szCs w:val="22"/>
        </w:rPr>
        <w:t>the protection of human rights.</w:t>
      </w:r>
    </w:p>
    <w:sectPr w:rsidR="0040320C" w:rsidRPr="005807FD" w:rsidSect="00011DF3">
      <w:headerReference w:type="default" r:id="rId9"/>
      <w:pgSz w:w="11907" w:h="16840" w:code="9"/>
      <w:pgMar w:top="851" w:right="1440" w:bottom="426" w:left="1440"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86" w:rsidRDefault="00A90486">
      <w:r>
        <w:separator/>
      </w:r>
    </w:p>
  </w:endnote>
  <w:endnote w:type="continuationSeparator" w:id="0">
    <w:p w:rsidR="00A90486" w:rsidRDefault="00A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86" w:rsidRDefault="00A90486">
      <w:r>
        <w:separator/>
      </w:r>
    </w:p>
  </w:footnote>
  <w:footnote w:type="continuationSeparator" w:id="0">
    <w:p w:rsidR="00A90486" w:rsidRDefault="00A9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BE" w:rsidRDefault="009F00E3">
    <w:pPr>
      <w:pStyle w:val="Header"/>
      <w:tabs>
        <w:tab w:val="clear" w:pos="4153"/>
        <w:tab w:val="center" w:pos="4678"/>
      </w:tabs>
      <w:jc w:val="center"/>
      <w:rPr>
        <w:rStyle w:val="PageNumber"/>
      </w:rPr>
    </w:pPr>
  </w:p>
  <w:p w:rsidR="00465FBE" w:rsidRDefault="009F00E3">
    <w:pPr>
      <w:pStyle w:val="Footer"/>
      <w:tabs>
        <w:tab w:val="right" w:pos="935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86"/>
    <w:rsid w:val="00010680"/>
    <w:rsid w:val="00046A4B"/>
    <w:rsid w:val="0005318A"/>
    <w:rsid w:val="000F0871"/>
    <w:rsid w:val="001169FA"/>
    <w:rsid w:val="00154DE7"/>
    <w:rsid w:val="0016719E"/>
    <w:rsid w:val="001D049A"/>
    <w:rsid w:val="001E15EF"/>
    <w:rsid w:val="00227DFA"/>
    <w:rsid w:val="00276F82"/>
    <w:rsid w:val="002A120F"/>
    <w:rsid w:val="002B17A8"/>
    <w:rsid w:val="00306A39"/>
    <w:rsid w:val="003703A2"/>
    <w:rsid w:val="00372CBB"/>
    <w:rsid w:val="00387023"/>
    <w:rsid w:val="0040320C"/>
    <w:rsid w:val="004315D7"/>
    <w:rsid w:val="0043489E"/>
    <w:rsid w:val="00476041"/>
    <w:rsid w:val="004A0DD1"/>
    <w:rsid w:val="004A3149"/>
    <w:rsid w:val="004B5FFB"/>
    <w:rsid w:val="004C2543"/>
    <w:rsid w:val="00553E12"/>
    <w:rsid w:val="005C0CA6"/>
    <w:rsid w:val="00680267"/>
    <w:rsid w:val="006A7268"/>
    <w:rsid w:val="006E635A"/>
    <w:rsid w:val="007249CE"/>
    <w:rsid w:val="0072523E"/>
    <w:rsid w:val="007269E4"/>
    <w:rsid w:val="007501E3"/>
    <w:rsid w:val="00770DEC"/>
    <w:rsid w:val="007A44CD"/>
    <w:rsid w:val="007C0B67"/>
    <w:rsid w:val="007D651A"/>
    <w:rsid w:val="0082322F"/>
    <w:rsid w:val="00834A04"/>
    <w:rsid w:val="00880EEB"/>
    <w:rsid w:val="008A099C"/>
    <w:rsid w:val="008C4ED0"/>
    <w:rsid w:val="008D687A"/>
    <w:rsid w:val="00970DCC"/>
    <w:rsid w:val="009A7D1F"/>
    <w:rsid w:val="009E5710"/>
    <w:rsid w:val="009F00E3"/>
    <w:rsid w:val="00A42970"/>
    <w:rsid w:val="00A55B30"/>
    <w:rsid w:val="00A90486"/>
    <w:rsid w:val="00AD6495"/>
    <w:rsid w:val="00B37E61"/>
    <w:rsid w:val="00B43911"/>
    <w:rsid w:val="00B5313F"/>
    <w:rsid w:val="00C41BC5"/>
    <w:rsid w:val="00C447C4"/>
    <w:rsid w:val="00C529F5"/>
    <w:rsid w:val="00C83FD8"/>
    <w:rsid w:val="00D05112"/>
    <w:rsid w:val="00D31680"/>
    <w:rsid w:val="00D31B4A"/>
    <w:rsid w:val="00D76628"/>
    <w:rsid w:val="00DB2558"/>
    <w:rsid w:val="00DC0E0B"/>
    <w:rsid w:val="00E748BB"/>
    <w:rsid w:val="00E95673"/>
    <w:rsid w:val="00EC7E3C"/>
    <w:rsid w:val="00ED0F0B"/>
    <w:rsid w:val="00ED3E77"/>
    <w:rsid w:val="00EE279D"/>
    <w:rsid w:val="00FA29DD"/>
    <w:rsid w:val="00FB0515"/>
    <w:rsid w:val="00FE2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0C"/>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20C"/>
    <w:pPr>
      <w:tabs>
        <w:tab w:val="center" w:pos="4153"/>
        <w:tab w:val="right" w:pos="8306"/>
      </w:tabs>
    </w:pPr>
  </w:style>
  <w:style w:type="character" w:customStyle="1" w:styleId="HeaderChar">
    <w:name w:val="Header Char"/>
    <w:basedOn w:val="DefaultParagraphFont"/>
    <w:link w:val="Header"/>
    <w:rsid w:val="0040320C"/>
    <w:rPr>
      <w:rFonts w:ascii="Calibri" w:eastAsia="Times New Roman" w:hAnsi="Calibri" w:cs="Times New Roman"/>
      <w:szCs w:val="20"/>
      <w:lang w:eastAsia="en-AU"/>
    </w:rPr>
  </w:style>
  <w:style w:type="paragraph" w:styleId="Footer">
    <w:name w:val="footer"/>
    <w:basedOn w:val="Normal"/>
    <w:link w:val="FooterChar"/>
    <w:rsid w:val="0040320C"/>
    <w:pPr>
      <w:tabs>
        <w:tab w:val="center" w:pos="4153"/>
        <w:tab w:val="right" w:pos="8306"/>
      </w:tabs>
      <w:jc w:val="center"/>
    </w:pPr>
    <w:rPr>
      <w:sz w:val="20"/>
    </w:rPr>
  </w:style>
  <w:style w:type="character" w:customStyle="1" w:styleId="FooterChar">
    <w:name w:val="Footer Char"/>
    <w:basedOn w:val="DefaultParagraphFont"/>
    <w:link w:val="Footer"/>
    <w:rsid w:val="0040320C"/>
    <w:rPr>
      <w:rFonts w:ascii="Calibri" w:eastAsia="Times New Roman" w:hAnsi="Calibri" w:cs="Times New Roman"/>
      <w:sz w:val="20"/>
      <w:szCs w:val="20"/>
      <w:lang w:eastAsia="en-AU"/>
    </w:rPr>
  </w:style>
  <w:style w:type="character" w:styleId="PageNumber">
    <w:name w:val="page number"/>
    <w:basedOn w:val="DefaultParagraphFont"/>
    <w:rsid w:val="0040320C"/>
  </w:style>
  <w:style w:type="character" w:styleId="CommentReference">
    <w:name w:val="annotation reference"/>
    <w:basedOn w:val="DefaultParagraphFont"/>
    <w:uiPriority w:val="99"/>
    <w:semiHidden/>
    <w:unhideWhenUsed/>
    <w:rsid w:val="004C2543"/>
    <w:rPr>
      <w:sz w:val="16"/>
      <w:szCs w:val="16"/>
    </w:rPr>
  </w:style>
  <w:style w:type="paragraph" w:styleId="CommentText">
    <w:name w:val="annotation text"/>
    <w:basedOn w:val="Normal"/>
    <w:link w:val="CommentTextChar"/>
    <w:uiPriority w:val="99"/>
    <w:semiHidden/>
    <w:unhideWhenUsed/>
    <w:rsid w:val="004C2543"/>
    <w:rPr>
      <w:sz w:val="20"/>
    </w:rPr>
  </w:style>
  <w:style w:type="character" w:customStyle="1" w:styleId="CommentTextChar">
    <w:name w:val="Comment Text Char"/>
    <w:basedOn w:val="DefaultParagraphFont"/>
    <w:link w:val="CommentText"/>
    <w:uiPriority w:val="99"/>
    <w:semiHidden/>
    <w:rsid w:val="004C254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C2543"/>
    <w:rPr>
      <w:b/>
      <w:bCs/>
    </w:rPr>
  </w:style>
  <w:style w:type="character" w:customStyle="1" w:styleId="CommentSubjectChar">
    <w:name w:val="Comment Subject Char"/>
    <w:basedOn w:val="CommentTextChar"/>
    <w:link w:val="CommentSubject"/>
    <w:uiPriority w:val="99"/>
    <w:semiHidden/>
    <w:rsid w:val="004C2543"/>
    <w:rPr>
      <w:rFonts w:ascii="Calibri" w:eastAsia="Times New Roman" w:hAnsi="Calibri" w:cs="Times New Roman"/>
      <w:b/>
      <w:bCs/>
      <w:sz w:val="20"/>
      <w:szCs w:val="20"/>
      <w:lang w:eastAsia="en-AU"/>
    </w:rPr>
  </w:style>
  <w:style w:type="paragraph" w:styleId="BalloonText">
    <w:name w:val="Balloon Text"/>
    <w:basedOn w:val="Normal"/>
    <w:link w:val="BalloonTextChar"/>
    <w:unhideWhenUsed/>
    <w:rsid w:val="004C2543"/>
    <w:rPr>
      <w:rFonts w:ascii="Tahoma" w:hAnsi="Tahoma" w:cs="Tahoma"/>
      <w:sz w:val="16"/>
      <w:szCs w:val="16"/>
    </w:rPr>
  </w:style>
  <w:style w:type="character" w:customStyle="1" w:styleId="BalloonTextChar">
    <w:name w:val="Balloon Text Char"/>
    <w:basedOn w:val="DefaultParagraphFont"/>
    <w:link w:val="BalloonText"/>
    <w:rsid w:val="004C2543"/>
    <w:rPr>
      <w:rFonts w:ascii="Tahoma" w:eastAsia="Times New Roman" w:hAnsi="Tahoma" w:cs="Tahoma"/>
      <w:sz w:val="16"/>
      <w:szCs w:val="16"/>
      <w:lang w:eastAsia="en-AU"/>
    </w:rPr>
  </w:style>
  <w:style w:type="paragraph" w:customStyle="1" w:styleId="Default">
    <w:name w:val="Default"/>
    <w:rsid w:val="007A44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748BB"/>
    <w:pPr>
      <w:spacing w:after="0" w:line="240" w:lineRule="auto"/>
    </w:pPr>
    <w:rPr>
      <w:rFonts w:ascii="Calibri" w:eastAsia="Times New Roman" w:hAnsi="Calibri" w:cs="Times New Roman"/>
      <w:szCs w:val="20"/>
      <w:lang w:eastAsia="en-AU"/>
    </w:rPr>
  </w:style>
  <w:style w:type="character" w:styleId="Hyperlink">
    <w:name w:val="Hyperlink"/>
    <w:basedOn w:val="DefaultParagraphFont"/>
    <w:uiPriority w:val="99"/>
    <w:unhideWhenUsed/>
    <w:rsid w:val="0005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0C"/>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20C"/>
    <w:pPr>
      <w:tabs>
        <w:tab w:val="center" w:pos="4153"/>
        <w:tab w:val="right" w:pos="8306"/>
      </w:tabs>
    </w:pPr>
  </w:style>
  <w:style w:type="character" w:customStyle="1" w:styleId="HeaderChar">
    <w:name w:val="Header Char"/>
    <w:basedOn w:val="DefaultParagraphFont"/>
    <w:link w:val="Header"/>
    <w:rsid w:val="0040320C"/>
    <w:rPr>
      <w:rFonts w:ascii="Calibri" w:eastAsia="Times New Roman" w:hAnsi="Calibri" w:cs="Times New Roman"/>
      <w:szCs w:val="20"/>
      <w:lang w:eastAsia="en-AU"/>
    </w:rPr>
  </w:style>
  <w:style w:type="paragraph" w:styleId="Footer">
    <w:name w:val="footer"/>
    <w:basedOn w:val="Normal"/>
    <w:link w:val="FooterChar"/>
    <w:rsid w:val="0040320C"/>
    <w:pPr>
      <w:tabs>
        <w:tab w:val="center" w:pos="4153"/>
        <w:tab w:val="right" w:pos="8306"/>
      </w:tabs>
      <w:jc w:val="center"/>
    </w:pPr>
    <w:rPr>
      <w:sz w:val="20"/>
    </w:rPr>
  </w:style>
  <w:style w:type="character" w:customStyle="1" w:styleId="FooterChar">
    <w:name w:val="Footer Char"/>
    <w:basedOn w:val="DefaultParagraphFont"/>
    <w:link w:val="Footer"/>
    <w:rsid w:val="0040320C"/>
    <w:rPr>
      <w:rFonts w:ascii="Calibri" w:eastAsia="Times New Roman" w:hAnsi="Calibri" w:cs="Times New Roman"/>
      <w:sz w:val="20"/>
      <w:szCs w:val="20"/>
      <w:lang w:eastAsia="en-AU"/>
    </w:rPr>
  </w:style>
  <w:style w:type="character" w:styleId="PageNumber">
    <w:name w:val="page number"/>
    <w:basedOn w:val="DefaultParagraphFont"/>
    <w:rsid w:val="0040320C"/>
  </w:style>
  <w:style w:type="character" w:styleId="CommentReference">
    <w:name w:val="annotation reference"/>
    <w:basedOn w:val="DefaultParagraphFont"/>
    <w:uiPriority w:val="99"/>
    <w:semiHidden/>
    <w:unhideWhenUsed/>
    <w:rsid w:val="004C2543"/>
    <w:rPr>
      <w:sz w:val="16"/>
      <w:szCs w:val="16"/>
    </w:rPr>
  </w:style>
  <w:style w:type="paragraph" w:styleId="CommentText">
    <w:name w:val="annotation text"/>
    <w:basedOn w:val="Normal"/>
    <w:link w:val="CommentTextChar"/>
    <w:uiPriority w:val="99"/>
    <w:semiHidden/>
    <w:unhideWhenUsed/>
    <w:rsid w:val="004C2543"/>
    <w:rPr>
      <w:sz w:val="20"/>
    </w:rPr>
  </w:style>
  <w:style w:type="character" w:customStyle="1" w:styleId="CommentTextChar">
    <w:name w:val="Comment Text Char"/>
    <w:basedOn w:val="DefaultParagraphFont"/>
    <w:link w:val="CommentText"/>
    <w:uiPriority w:val="99"/>
    <w:semiHidden/>
    <w:rsid w:val="004C254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C2543"/>
    <w:rPr>
      <w:b/>
      <w:bCs/>
    </w:rPr>
  </w:style>
  <w:style w:type="character" w:customStyle="1" w:styleId="CommentSubjectChar">
    <w:name w:val="Comment Subject Char"/>
    <w:basedOn w:val="CommentTextChar"/>
    <w:link w:val="CommentSubject"/>
    <w:uiPriority w:val="99"/>
    <w:semiHidden/>
    <w:rsid w:val="004C2543"/>
    <w:rPr>
      <w:rFonts w:ascii="Calibri" w:eastAsia="Times New Roman" w:hAnsi="Calibri" w:cs="Times New Roman"/>
      <w:b/>
      <w:bCs/>
      <w:sz w:val="20"/>
      <w:szCs w:val="20"/>
      <w:lang w:eastAsia="en-AU"/>
    </w:rPr>
  </w:style>
  <w:style w:type="paragraph" w:styleId="BalloonText">
    <w:name w:val="Balloon Text"/>
    <w:basedOn w:val="Normal"/>
    <w:link w:val="BalloonTextChar"/>
    <w:unhideWhenUsed/>
    <w:rsid w:val="004C2543"/>
    <w:rPr>
      <w:rFonts w:ascii="Tahoma" w:hAnsi="Tahoma" w:cs="Tahoma"/>
      <w:sz w:val="16"/>
      <w:szCs w:val="16"/>
    </w:rPr>
  </w:style>
  <w:style w:type="character" w:customStyle="1" w:styleId="BalloonTextChar">
    <w:name w:val="Balloon Text Char"/>
    <w:basedOn w:val="DefaultParagraphFont"/>
    <w:link w:val="BalloonText"/>
    <w:rsid w:val="004C2543"/>
    <w:rPr>
      <w:rFonts w:ascii="Tahoma" w:eastAsia="Times New Roman" w:hAnsi="Tahoma" w:cs="Tahoma"/>
      <w:sz w:val="16"/>
      <w:szCs w:val="16"/>
      <w:lang w:eastAsia="en-AU"/>
    </w:rPr>
  </w:style>
  <w:style w:type="paragraph" w:customStyle="1" w:styleId="Default">
    <w:name w:val="Default"/>
    <w:rsid w:val="007A44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748BB"/>
    <w:pPr>
      <w:spacing w:after="0" w:line="240" w:lineRule="auto"/>
    </w:pPr>
    <w:rPr>
      <w:rFonts w:ascii="Calibri" w:eastAsia="Times New Roman" w:hAnsi="Calibri" w:cs="Times New Roman"/>
      <w:szCs w:val="20"/>
      <w:lang w:eastAsia="en-AU"/>
    </w:rPr>
  </w:style>
  <w:style w:type="character" w:styleId="Hyperlink">
    <w:name w:val="Hyperlink"/>
    <w:basedOn w:val="DefaultParagraphFont"/>
    <w:uiPriority w:val="99"/>
    <w:unhideWhenUsed/>
    <w:rsid w:val="00053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3597">
      <w:bodyDiv w:val="1"/>
      <w:marLeft w:val="0"/>
      <w:marRight w:val="0"/>
      <w:marTop w:val="0"/>
      <w:marBottom w:val="0"/>
      <w:divBdr>
        <w:top w:val="none" w:sz="0" w:space="0" w:color="auto"/>
        <w:left w:val="none" w:sz="0" w:space="0" w:color="auto"/>
        <w:bottom w:val="none" w:sz="0" w:space="0" w:color="auto"/>
        <w:right w:val="none" w:sz="0" w:space="0" w:color="auto"/>
      </w:divBdr>
      <w:divsChild>
        <w:div w:id="1858041606">
          <w:marLeft w:val="0"/>
          <w:marRight w:val="0"/>
          <w:marTop w:val="0"/>
          <w:marBottom w:val="0"/>
          <w:divBdr>
            <w:top w:val="none" w:sz="0" w:space="0" w:color="auto"/>
            <w:left w:val="none" w:sz="0" w:space="0" w:color="auto"/>
            <w:bottom w:val="none" w:sz="0" w:space="0" w:color="auto"/>
            <w:right w:val="none" w:sz="0" w:space="0" w:color="auto"/>
          </w:divBdr>
          <w:divsChild>
            <w:div w:id="1897624070">
              <w:marLeft w:val="0"/>
              <w:marRight w:val="0"/>
              <w:marTop w:val="0"/>
              <w:marBottom w:val="0"/>
              <w:divBdr>
                <w:top w:val="none" w:sz="0" w:space="0" w:color="auto"/>
                <w:left w:val="none" w:sz="0" w:space="0" w:color="auto"/>
                <w:bottom w:val="none" w:sz="0" w:space="0" w:color="auto"/>
                <w:right w:val="none" w:sz="0" w:space="0" w:color="auto"/>
              </w:divBdr>
              <w:divsChild>
                <w:div w:id="1367363626">
                  <w:marLeft w:val="0"/>
                  <w:marRight w:val="0"/>
                  <w:marTop w:val="0"/>
                  <w:marBottom w:val="0"/>
                  <w:divBdr>
                    <w:top w:val="none" w:sz="0" w:space="0" w:color="auto"/>
                    <w:left w:val="none" w:sz="0" w:space="0" w:color="auto"/>
                    <w:bottom w:val="none" w:sz="0" w:space="0" w:color="auto"/>
                    <w:right w:val="none" w:sz="0" w:space="0" w:color="auto"/>
                  </w:divBdr>
                  <w:divsChild>
                    <w:div w:id="1230723811">
                      <w:marLeft w:val="0"/>
                      <w:marRight w:val="0"/>
                      <w:marTop w:val="0"/>
                      <w:marBottom w:val="0"/>
                      <w:divBdr>
                        <w:top w:val="none" w:sz="0" w:space="0" w:color="auto"/>
                        <w:left w:val="none" w:sz="0" w:space="0" w:color="auto"/>
                        <w:bottom w:val="none" w:sz="0" w:space="0" w:color="auto"/>
                        <w:right w:val="none" w:sz="0" w:space="0" w:color="auto"/>
                      </w:divBdr>
                      <w:divsChild>
                        <w:div w:id="21824567">
                          <w:marLeft w:val="0"/>
                          <w:marRight w:val="0"/>
                          <w:marTop w:val="0"/>
                          <w:marBottom w:val="0"/>
                          <w:divBdr>
                            <w:top w:val="none" w:sz="0" w:space="0" w:color="auto"/>
                            <w:left w:val="none" w:sz="0" w:space="0" w:color="auto"/>
                            <w:bottom w:val="none" w:sz="0" w:space="0" w:color="auto"/>
                            <w:right w:val="none" w:sz="0" w:space="0" w:color="auto"/>
                          </w:divBdr>
                          <w:divsChild>
                            <w:div w:id="813910304">
                              <w:marLeft w:val="0"/>
                              <w:marRight w:val="0"/>
                              <w:marTop w:val="0"/>
                              <w:marBottom w:val="0"/>
                              <w:divBdr>
                                <w:top w:val="single" w:sz="6" w:space="0" w:color="828282"/>
                                <w:left w:val="single" w:sz="6" w:space="0" w:color="828282"/>
                                <w:bottom w:val="single" w:sz="6" w:space="0" w:color="828282"/>
                                <w:right w:val="single" w:sz="6" w:space="0" w:color="828282"/>
                              </w:divBdr>
                              <w:divsChild>
                                <w:div w:id="1567187392">
                                  <w:marLeft w:val="0"/>
                                  <w:marRight w:val="0"/>
                                  <w:marTop w:val="0"/>
                                  <w:marBottom w:val="0"/>
                                  <w:divBdr>
                                    <w:top w:val="none" w:sz="0" w:space="0" w:color="auto"/>
                                    <w:left w:val="none" w:sz="0" w:space="0" w:color="auto"/>
                                    <w:bottom w:val="none" w:sz="0" w:space="0" w:color="auto"/>
                                    <w:right w:val="none" w:sz="0" w:space="0" w:color="auto"/>
                                  </w:divBdr>
                                  <w:divsChild>
                                    <w:div w:id="1867868140">
                                      <w:marLeft w:val="0"/>
                                      <w:marRight w:val="0"/>
                                      <w:marTop w:val="0"/>
                                      <w:marBottom w:val="0"/>
                                      <w:divBdr>
                                        <w:top w:val="none" w:sz="0" w:space="0" w:color="auto"/>
                                        <w:left w:val="none" w:sz="0" w:space="0" w:color="auto"/>
                                        <w:bottom w:val="none" w:sz="0" w:space="0" w:color="auto"/>
                                        <w:right w:val="none" w:sz="0" w:space="0" w:color="auto"/>
                                      </w:divBdr>
                                      <w:divsChild>
                                        <w:div w:id="618609457">
                                          <w:marLeft w:val="0"/>
                                          <w:marRight w:val="0"/>
                                          <w:marTop w:val="0"/>
                                          <w:marBottom w:val="0"/>
                                          <w:divBdr>
                                            <w:top w:val="none" w:sz="0" w:space="0" w:color="auto"/>
                                            <w:left w:val="none" w:sz="0" w:space="0" w:color="auto"/>
                                            <w:bottom w:val="none" w:sz="0" w:space="0" w:color="auto"/>
                                            <w:right w:val="none" w:sz="0" w:space="0" w:color="auto"/>
                                          </w:divBdr>
                                          <w:divsChild>
                                            <w:div w:id="360978830">
                                              <w:marLeft w:val="0"/>
                                              <w:marRight w:val="0"/>
                                              <w:marTop w:val="0"/>
                                              <w:marBottom w:val="0"/>
                                              <w:divBdr>
                                                <w:top w:val="none" w:sz="0" w:space="0" w:color="auto"/>
                                                <w:left w:val="none" w:sz="0" w:space="0" w:color="auto"/>
                                                <w:bottom w:val="none" w:sz="0" w:space="0" w:color="auto"/>
                                                <w:right w:val="none" w:sz="0" w:space="0" w:color="auto"/>
                                              </w:divBdr>
                                              <w:divsChild>
                                                <w:div w:id="1789279677">
                                                  <w:marLeft w:val="0"/>
                                                  <w:marRight w:val="0"/>
                                                  <w:marTop w:val="0"/>
                                                  <w:marBottom w:val="0"/>
                                                  <w:divBdr>
                                                    <w:top w:val="none" w:sz="0" w:space="0" w:color="auto"/>
                                                    <w:left w:val="none" w:sz="0" w:space="0" w:color="auto"/>
                                                    <w:bottom w:val="none" w:sz="0" w:space="0" w:color="auto"/>
                                                    <w:right w:val="none" w:sz="0" w:space="0" w:color="auto"/>
                                                  </w:divBdr>
                                                  <w:divsChild>
                                                    <w:div w:id="1198080431">
                                                      <w:marLeft w:val="0"/>
                                                      <w:marRight w:val="0"/>
                                                      <w:marTop w:val="0"/>
                                                      <w:marBottom w:val="0"/>
                                                      <w:divBdr>
                                                        <w:top w:val="none" w:sz="0" w:space="0" w:color="auto"/>
                                                        <w:left w:val="none" w:sz="0" w:space="0" w:color="auto"/>
                                                        <w:bottom w:val="none" w:sz="0" w:space="0" w:color="auto"/>
                                                        <w:right w:val="none" w:sz="0" w:space="0" w:color="auto"/>
                                                      </w:divBdr>
                                                      <w:divsChild>
                                                        <w:div w:id="607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8919-FBBE-47D1-8682-486C5BF3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A0C28510.dotm</Template>
  <TotalTime>10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Baronio</dc:creator>
  <cp:lastModifiedBy>Brett Peterson</cp:lastModifiedBy>
  <cp:revision>9</cp:revision>
  <cp:lastPrinted>2016-06-15T07:42:00Z</cp:lastPrinted>
  <dcterms:created xsi:type="dcterms:W3CDTF">2016-06-07T01:47:00Z</dcterms:created>
  <dcterms:modified xsi:type="dcterms:W3CDTF">2016-06-17T03:04:00Z</dcterms:modified>
</cp:coreProperties>
</file>