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6BFF4" w14:textId="77777777" w:rsidR="000A2591" w:rsidRDefault="000A2591" w:rsidP="000A2591">
      <w:pPr>
        <w:spacing w:before="63" w:line="479" w:lineRule="auto"/>
        <w:jc w:val="center"/>
        <w:rPr>
          <w:sz w:val="28"/>
          <w:szCs w:val="28"/>
        </w:rPr>
      </w:pPr>
      <w:r>
        <w:rPr>
          <w:b/>
          <w:color w:val="000000"/>
          <w:sz w:val="28"/>
        </w:rPr>
        <w:t>EXPLANATORY</w:t>
      </w:r>
      <w:r>
        <w:rPr>
          <w:b/>
          <w:color w:val="000000"/>
          <w:spacing w:val="-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 xml:space="preserve">STATEMENT for </w:t>
      </w:r>
      <w:r>
        <w:rPr>
          <w:b/>
          <w:color w:val="000000"/>
          <w:spacing w:val="-1"/>
          <w:sz w:val="28"/>
        </w:rPr>
        <w:br/>
        <w:t xml:space="preserve">ASIC Corporations (Amendment) </w:t>
      </w:r>
      <w:r w:rsidRPr="002B652F">
        <w:rPr>
          <w:b/>
          <w:color w:val="000000"/>
          <w:spacing w:val="-1"/>
          <w:sz w:val="28"/>
        </w:rPr>
        <w:t>Instrument 2016</w:t>
      </w:r>
      <w:r w:rsidRPr="0063623A">
        <w:rPr>
          <w:b/>
          <w:color w:val="000000"/>
          <w:spacing w:val="-1"/>
          <w:sz w:val="28"/>
        </w:rPr>
        <w:t>/</w:t>
      </w:r>
      <w:r>
        <w:rPr>
          <w:b/>
          <w:color w:val="000000"/>
          <w:spacing w:val="-1"/>
          <w:sz w:val="28"/>
        </w:rPr>
        <w:t>514</w:t>
      </w:r>
    </w:p>
    <w:p w14:paraId="2D0EBF18" w14:textId="77777777" w:rsidR="000A2591" w:rsidRDefault="000A2591" w:rsidP="000A2591">
      <w:pPr>
        <w:pStyle w:val="BodyText"/>
        <w:jc w:val="center"/>
      </w:pPr>
      <w:r>
        <w:t>Prepared by the Australian Securities and Investments Commission</w:t>
      </w:r>
    </w:p>
    <w:p w14:paraId="29C5D230" w14:textId="77777777" w:rsidR="000A2591" w:rsidRDefault="000A2591" w:rsidP="000A2591">
      <w:pPr>
        <w:spacing w:before="4" w:line="220" w:lineRule="exact"/>
        <w:jc w:val="center"/>
      </w:pPr>
    </w:p>
    <w:p w14:paraId="251D4671" w14:textId="77777777" w:rsidR="000A2591" w:rsidRDefault="000A2591" w:rsidP="000A2591">
      <w:pPr>
        <w:jc w:val="center"/>
        <w:rPr>
          <w:sz w:val="24"/>
          <w:szCs w:val="24"/>
        </w:rPr>
      </w:pPr>
      <w:r>
        <w:rPr>
          <w:i/>
          <w:sz w:val="24"/>
        </w:rPr>
        <w:t>Corporations Act 2001</w:t>
      </w:r>
    </w:p>
    <w:p w14:paraId="6F243012" w14:textId="77777777" w:rsidR="000A2591" w:rsidRDefault="000A2591" w:rsidP="000A2591">
      <w:pPr>
        <w:spacing w:before="3" w:line="220" w:lineRule="exact"/>
      </w:pPr>
    </w:p>
    <w:p w14:paraId="5A550644" w14:textId="5D8842F0" w:rsidR="000A2591" w:rsidRDefault="000A2591" w:rsidP="000A2591">
      <w:pPr>
        <w:pStyle w:val="BodyText"/>
        <w:spacing w:line="261" w:lineRule="auto"/>
        <w:rPr>
          <w:color w:val="000000"/>
          <w:spacing w:val="-1"/>
        </w:rPr>
      </w:pPr>
      <w:r>
        <w:t xml:space="preserve">The Australian Securities and </w:t>
      </w:r>
      <w:r>
        <w:rPr>
          <w:spacing w:val="-1"/>
        </w:rPr>
        <w:t>Investments</w:t>
      </w:r>
      <w:r>
        <w:t xml:space="preserve"> </w:t>
      </w:r>
      <w:r>
        <w:rPr>
          <w:spacing w:val="-1"/>
        </w:rPr>
        <w:t>Commission</w:t>
      </w:r>
      <w:r>
        <w:t xml:space="preserve"> (ASIC) </w:t>
      </w:r>
      <w:r>
        <w:rPr>
          <w:spacing w:val="-1"/>
        </w:rPr>
        <w:t xml:space="preserve">makes </w:t>
      </w:r>
      <w:r w:rsidRPr="00714480">
        <w:rPr>
          <w:i/>
          <w:spacing w:val="-1"/>
        </w:rPr>
        <w:t>ASIC Corporations (</w:t>
      </w:r>
      <w:r>
        <w:rPr>
          <w:i/>
          <w:spacing w:val="-1"/>
        </w:rPr>
        <w:t>Amendment</w:t>
      </w:r>
      <w:r w:rsidRPr="00714480">
        <w:rPr>
          <w:i/>
          <w:spacing w:val="-1"/>
        </w:rPr>
        <w:t>) Instrument 2016/</w:t>
      </w:r>
      <w:r>
        <w:rPr>
          <w:i/>
          <w:spacing w:val="-1"/>
        </w:rPr>
        <w:t>514</w:t>
      </w:r>
      <w:r w:rsidRPr="00714480">
        <w:rPr>
          <w:i/>
        </w:rPr>
        <w:t xml:space="preserve"> </w:t>
      </w:r>
      <w:r w:rsidR="00EA7AE8" w:rsidRPr="00EA7AE8">
        <w:t>(amending instrument)</w:t>
      </w:r>
      <w:r w:rsidR="00EA7AE8">
        <w:rPr>
          <w:i/>
        </w:rPr>
        <w:t xml:space="preserve"> </w:t>
      </w:r>
      <w:r>
        <w:rPr>
          <w:color w:val="000000"/>
          <w:spacing w:val="-1"/>
        </w:rPr>
        <w:t xml:space="preserve">under subsection 601QA(1) of the </w:t>
      </w:r>
      <w:r w:rsidRPr="00B357AE">
        <w:rPr>
          <w:i/>
          <w:color w:val="000000"/>
          <w:spacing w:val="-1"/>
        </w:rPr>
        <w:t>Corporations Act 2001</w:t>
      </w:r>
      <w:r>
        <w:rPr>
          <w:i/>
          <w:color w:val="000000"/>
          <w:spacing w:val="-1"/>
        </w:rPr>
        <w:t xml:space="preserve"> (</w:t>
      </w:r>
      <w:r w:rsidRPr="0097010B">
        <w:rPr>
          <w:b/>
          <w:i/>
          <w:color w:val="000000"/>
          <w:spacing w:val="-1"/>
        </w:rPr>
        <w:t>Act</w:t>
      </w:r>
      <w:r>
        <w:rPr>
          <w:i/>
          <w:color w:val="000000"/>
          <w:spacing w:val="-1"/>
        </w:rPr>
        <w:t>)</w:t>
      </w:r>
      <w:r>
        <w:rPr>
          <w:color w:val="000000"/>
          <w:spacing w:val="-1"/>
        </w:rPr>
        <w:t xml:space="preserve">. </w:t>
      </w:r>
    </w:p>
    <w:p w14:paraId="0ADE55EB" w14:textId="77777777" w:rsidR="000A2591" w:rsidRDefault="000A2591" w:rsidP="000A2591">
      <w:pPr>
        <w:pStyle w:val="BodyText"/>
        <w:spacing w:line="261" w:lineRule="auto"/>
        <w:rPr>
          <w:color w:val="000000"/>
        </w:rPr>
      </w:pPr>
      <w:r>
        <w:rPr>
          <w:color w:val="000000"/>
          <w:spacing w:val="-1"/>
        </w:rPr>
        <w:t>Subs</w:t>
      </w:r>
      <w:r>
        <w:t xml:space="preserve">ection 601QA(1) of the Act </w:t>
      </w:r>
      <w:r>
        <w:rPr>
          <w:color w:val="000000"/>
        </w:rPr>
        <w:t xml:space="preserve">provides that ASIC may exempt a person from a provision of Chapter 5C of the Act or declare that Chapter 5C applies to a person as if specified provisions were omitted, modified or varied as specified in the declaration. </w:t>
      </w:r>
    </w:p>
    <w:p w14:paraId="0E92CB7A" w14:textId="77777777" w:rsidR="000A2591" w:rsidRPr="00A4313F" w:rsidRDefault="000A2591" w:rsidP="000A2591">
      <w:pPr>
        <w:pStyle w:val="BodyText"/>
        <w:spacing w:before="240" w:line="240" w:lineRule="auto"/>
        <w:rPr>
          <w:szCs w:val="24"/>
        </w:rPr>
      </w:pPr>
      <w:r w:rsidRPr="00A4313F">
        <w:rPr>
          <w:szCs w:val="24"/>
        </w:rPr>
        <w:t xml:space="preserve">Under subsection 33(3) of the </w:t>
      </w:r>
      <w:r w:rsidRPr="00A4313F">
        <w:rPr>
          <w:i/>
          <w:szCs w:val="24"/>
        </w:rPr>
        <w:t>Acts Interpretations Act 1901</w:t>
      </w:r>
      <w:r w:rsidRPr="00A4313F">
        <w:rPr>
          <w:szCs w:val="24"/>
        </w:rPr>
        <w:t xml:space="preserve"> (as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 or vary any such instrument.</w:t>
      </w:r>
    </w:p>
    <w:p w14:paraId="3094B627" w14:textId="77777777" w:rsidR="000A2591" w:rsidRDefault="000A2591" w:rsidP="000A2591">
      <w:pPr>
        <w:spacing w:before="6" w:line="220" w:lineRule="exact"/>
      </w:pPr>
    </w:p>
    <w:p w14:paraId="541CBDCC" w14:textId="77777777" w:rsidR="000A2591" w:rsidRDefault="000A2591" w:rsidP="000A2591">
      <w:pPr>
        <w:widowControl w:val="0"/>
        <w:numPr>
          <w:ilvl w:val="0"/>
          <w:numId w:val="1"/>
        </w:numPr>
        <w:tabs>
          <w:tab w:val="left" w:pos="1592"/>
        </w:tabs>
        <w:spacing w:before="145" w:after="0"/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1._Background"/>
      <w:bookmarkEnd w:id="0"/>
      <w:r>
        <w:rPr>
          <w:rFonts w:ascii="Arial"/>
          <w:b/>
          <w:spacing w:val="-1"/>
          <w:sz w:val="24"/>
        </w:rPr>
        <w:t>Background</w:t>
      </w:r>
    </w:p>
    <w:p w14:paraId="6DAA2DD2" w14:textId="77777777" w:rsidR="000A2591" w:rsidRDefault="000A2591" w:rsidP="000A2591">
      <w:pPr>
        <w:pStyle w:val="Default"/>
      </w:pPr>
    </w:p>
    <w:p w14:paraId="34ACD504" w14:textId="77777777" w:rsidR="000A2591" w:rsidRDefault="000A2591" w:rsidP="000A2591">
      <w:pPr>
        <w:pStyle w:val="Default"/>
      </w:pPr>
      <w:r w:rsidRPr="00B973D8">
        <w:t>On 5 May 2016,</w:t>
      </w:r>
      <w:r>
        <w:t xml:space="preserve"> the</w:t>
      </w:r>
      <w:r w:rsidRPr="00B973D8">
        <w:t xml:space="preserve"> </w:t>
      </w:r>
      <w:r w:rsidRPr="00855AEF">
        <w:rPr>
          <w:i/>
        </w:rPr>
        <w:t>Tax Laws Amendment (New Tax System for Managed Investment Trusts) Act 2016</w:t>
      </w:r>
      <w:r>
        <w:t xml:space="preserve"> (and supporting legislation) created a new tax system for managed investment trusts.</w:t>
      </w:r>
    </w:p>
    <w:p w14:paraId="6574BA5D" w14:textId="77777777" w:rsidR="000A2591" w:rsidRPr="00EA7AE8" w:rsidRDefault="000A2591" w:rsidP="000A2591">
      <w:pPr>
        <w:spacing w:before="200" w:after="0"/>
        <w:rPr>
          <w:i/>
          <w:iCs/>
          <w:color w:val="000000"/>
          <w:sz w:val="24"/>
          <w:szCs w:val="24"/>
        </w:rPr>
      </w:pPr>
      <w:r w:rsidRPr="00D37796">
        <w:rPr>
          <w:i/>
          <w:iCs/>
          <w:color w:val="000000"/>
          <w:sz w:val="24"/>
          <w:szCs w:val="24"/>
        </w:rPr>
        <w:t>ASIC Corporations (Attribution Managed Investment Trusts) Instrument 2016/489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(the principal instrument) </w:t>
      </w:r>
      <w:r w:rsidRPr="00D37796">
        <w:rPr>
          <w:color w:val="000000"/>
          <w:sz w:val="24"/>
          <w:szCs w:val="24"/>
        </w:rPr>
        <w:t>provides relief to</w:t>
      </w:r>
      <w:r>
        <w:rPr>
          <w:color w:val="000000"/>
          <w:sz w:val="24"/>
          <w:szCs w:val="24"/>
        </w:rPr>
        <w:t>, among other things,</w:t>
      </w:r>
      <w:r w:rsidRPr="00D37796">
        <w:rPr>
          <w:color w:val="000000"/>
          <w:sz w:val="24"/>
          <w:szCs w:val="24"/>
        </w:rPr>
        <w:t xml:space="preserve"> enable a responsible entity of a registered scheme to change the scheme's constitution without a members' meeting where it reasonably considers the changes to be necessary for or incidental to the scheme being able to be operated as an attribution managed investment trust</w:t>
      </w:r>
      <w:r>
        <w:rPr>
          <w:color w:val="000000"/>
          <w:sz w:val="24"/>
          <w:szCs w:val="24"/>
        </w:rPr>
        <w:t xml:space="preserve"> in a manner permitted by </w:t>
      </w:r>
      <w:r w:rsidRPr="00EA7AE8">
        <w:rPr>
          <w:i/>
          <w:iCs/>
          <w:color w:val="000000"/>
          <w:sz w:val="24"/>
          <w:szCs w:val="24"/>
        </w:rPr>
        <w:t>the Income Tax Assessment Act 1997.</w:t>
      </w:r>
    </w:p>
    <w:p w14:paraId="4A1E7FAA" w14:textId="03A9E591" w:rsidR="000A2591" w:rsidRDefault="000A2591" w:rsidP="000A2591">
      <w:pPr>
        <w:spacing w:before="20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responsible entity may make a change to the scheme's constitution in reliance on relief provided by the principal instrument where it has followed the procedure in notional subsection 601GCA(3) (as inserted by the principal instrument).  </w:t>
      </w:r>
    </w:p>
    <w:p w14:paraId="0F147C98" w14:textId="77777777" w:rsidR="000A2591" w:rsidRPr="0063623A" w:rsidRDefault="000A2591" w:rsidP="000A2591">
      <w:pPr>
        <w:spacing w:before="200" w:after="0"/>
        <w:rPr>
          <w:rFonts w:ascii="Arial" w:hAnsi="Arial" w:cs="Arial"/>
          <w:b/>
          <w:sz w:val="24"/>
          <w:szCs w:val="24"/>
        </w:rPr>
      </w:pPr>
    </w:p>
    <w:p w14:paraId="1FFC92E9" w14:textId="77777777" w:rsidR="000A2591" w:rsidRPr="0063623A" w:rsidRDefault="000A2591" w:rsidP="000A2591">
      <w:pPr>
        <w:pStyle w:val="Heading3"/>
        <w:keepNext w:val="0"/>
        <w:widowControl w:val="0"/>
        <w:numPr>
          <w:ilvl w:val="0"/>
          <w:numId w:val="1"/>
        </w:numPr>
        <w:tabs>
          <w:tab w:val="left" w:pos="1592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1" w:name="2._Purpose_of_the_class_order_"/>
      <w:bookmarkEnd w:id="1"/>
      <w:r w:rsidRPr="0063623A">
        <w:rPr>
          <w:rFonts w:ascii="Arial" w:hAnsi="Arial" w:cs="Arial"/>
          <w:b/>
          <w:spacing w:val="-1"/>
          <w:sz w:val="24"/>
          <w:szCs w:val="24"/>
        </w:rPr>
        <w:t>Purpose</w:t>
      </w:r>
      <w:r w:rsidRPr="0063623A">
        <w:rPr>
          <w:rFonts w:ascii="Arial" w:hAnsi="Arial" w:cs="Arial"/>
          <w:b/>
          <w:sz w:val="24"/>
          <w:szCs w:val="24"/>
        </w:rPr>
        <w:t xml:space="preserve"> of </w:t>
      </w:r>
      <w:r w:rsidRPr="0063623A">
        <w:rPr>
          <w:rFonts w:ascii="Arial" w:hAnsi="Arial" w:cs="Arial"/>
          <w:b/>
          <w:spacing w:val="-1"/>
          <w:sz w:val="24"/>
          <w:szCs w:val="24"/>
        </w:rPr>
        <w:t>the</w:t>
      </w:r>
      <w:r w:rsidRPr="0063623A">
        <w:rPr>
          <w:rFonts w:ascii="Arial" w:hAnsi="Arial" w:cs="Arial"/>
          <w:b/>
          <w:sz w:val="24"/>
          <w:szCs w:val="24"/>
        </w:rPr>
        <w:t xml:space="preserve"> </w:t>
      </w:r>
      <w:r w:rsidRPr="0063623A">
        <w:rPr>
          <w:rFonts w:ascii="Arial" w:hAnsi="Arial" w:cs="Arial"/>
          <w:b/>
          <w:spacing w:val="-1"/>
          <w:sz w:val="24"/>
          <w:szCs w:val="24"/>
        </w:rPr>
        <w:t>instrument</w:t>
      </w:r>
    </w:p>
    <w:p w14:paraId="379CB742" w14:textId="7B16713E" w:rsidR="00E52C16" w:rsidRDefault="000A2591" w:rsidP="000A2591">
      <w:pPr>
        <w:pStyle w:val="RPG-BodyTextNumbered"/>
        <w:numPr>
          <w:ilvl w:val="0"/>
          <w:numId w:val="0"/>
        </w:numPr>
        <w:rPr>
          <w:sz w:val="24"/>
          <w:szCs w:val="24"/>
        </w:rPr>
      </w:pPr>
      <w:r w:rsidRPr="00D50260">
        <w:rPr>
          <w:sz w:val="24"/>
          <w:szCs w:val="24"/>
        </w:rPr>
        <w:t xml:space="preserve">The purpose of </w:t>
      </w:r>
      <w:r>
        <w:rPr>
          <w:sz w:val="24"/>
          <w:szCs w:val="24"/>
        </w:rPr>
        <w:t xml:space="preserve">the </w:t>
      </w:r>
      <w:r w:rsidR="00EA7AE8">
        <w:rPr>
          <w:sz w:val="24"/>
          <w:szCs w:val="24"/>
        </w:rPr>
        <w:t xml:space="preserve">amending </w:t>
      </w:r>
      <w:r w:rsidRPr="00D50260">
        <w:rPr>
          <w:sz w:val="24"/>
          <w:szCs w:val="24"/>
        </w:rPr>
        <w:t>instrument is to</w:t>
      </w:r>
      <w:r>
        <w:rPr>
          <w:sz w:val="24"/>
          <w:szCs w:val="24"/>
        </w:rPr>
        <w:t xml:space="preserve"> amend the principal instrument to clarify that where all members of a registered scheme acquired their interests in the scheme as wholesale clients, the responsible entity of a registered scheme may rely on </w:t>
      </w:r>
      <w:r>
        <w:rPr>
          <w:sz w:val="24"/>
          <w:szCs w:val="24"/>
        </w:rPr>
        <w:lastRenderedPageBreak/>
        <w:t xml:space="preserve">either the procedure under notional </w:t>
      </w:r>
      <w:r w:rsidR="00E52C16">
        <w:rPr>
          <w:sz w:val="24"/>
          <w:szCs w:val="24"/>
        </w:rPr>
        <w:t xml:space="preserve">paragraph </w:t>
      </w:r>
      <w:r>
        <w:rPr>
          <w:sz w:val="24"/>
          <w:szCs w:val="24"/>
        </w:rPr>
        <w:t xml:space="preserve">601GCA(3)(a) or 601GCA(3)(b) in order to change the constitution under </w:t>
      </w:r>
      <w:r w:rsidR="00E52C16">
        <w:rPr>
          <w:sz w:val="24"/>
          <w:szCs w:val="24"/>
        </w:rPr>
        <w:t xml:space="preserve">notional </w:t>
      </w:r>
      <w:r>
        <w:rPr>
          <w:sz w:val="24"/>
          <w:szCs w:val="24"/>
        </w:rPr>
        <w:t>subsection 601GCA(1)</w:t>
      </w:r>
      <w:r w:rsidR="00E52C16">
        <w:rPr>
          <w:sz w:val="24"/>
          <w:szCs w:val="24"/>
        </w:rPr>
        <w:t xml:space="preserve"> (as inserted by the principal instrument)</w:t>
      </w:r>
      <w:r>
        <w:rPr>
          <w:sz w:val="24"/>
          <w:szCs w:val="24"/>
        </w:rPr>
        <w:t>.</w:t>
      </w:r>
    </w:p>
    <w:p w14:paraId="122F24D0" w14:textId="77777777" w:rsidR="000A2591" w:rsidRDefault="000A2591" w:rsidP="000A2591">
      <w:pPr>
        <w:pStyle w:val="RPG-BodyTextNumbered"/>
        <w:numPr>
          <w:ilvl w:val="0"/>
          <w:numId w:val="0"/>
        </w:numPr>
        <w:rPr>
          <w:sz w:val="24"/>
          <w:szCs w:val="24"/>
        </w:rPr>
      </w:pPr>
    </w:p>
    <w:p w14:paraId="35A3FE21" w14:textId="77777777" w:rsidR="000A2591" w:rsidRPr="0063623A" w:rsidRDefault="000A2591" w:rsidP="000A2591">
      <w:pPr>
        <w:pStyle w:val="Heading3"/>
        <w:keepNext w:val="0"/>
        <w:widowControl w:val="0"/>
        <w:numPr>
          <w:ilvl w:val="0"/>
          <w:numId w:val="1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2" w:name="3._Operation_of_the_class_order_"/>
      <w:bookmarkEnd w:id="2"/>
      <w:r w:rsidRPr="0063623A">
        <w:rPr>
          <w:rFonts w:ascii="Arial" w:hAnsi="Arial" w:cs="Arial"/>
          <w:b/>
          <w:spacing w:val="-1"/>
          <w:sz w:val="24"/>
          <w:szCs w:val="24"/>
        </w:rPr>
        <w:t>Operation</w:t>
      </w:r>
      <w:r w:rsidRPr="0063623A">
        <w:rPr>
          <w:rFonts w:ascii="Arial" w:hAnsi="Arial" w:cs="Arial"/>
          <w:b/>
          <w:sz w:val="24"/>
          <w:szCs w:val="24"/>
        </w:rPr>
        <w:t xml:space="preserve"> </w:t>
      </w:r>
      <w:r w:rsidRPr="0063623A">
        <w:rPr>
          <w:rFonts w:ascii="Arial" w:hAnsi="Arial" w:cs="Arial"/>
          <w:b/>
          <w:spacing w:val="-1"/>
          <w:sz w:val="24"/>
          <w:szCs w:val="24"/>
        </w:rPr>
        <w:t>of</w:t>
      </w:r>
      <w:r w:rsidRPr="0063623A">
        <w:rPr>
          <w:rFonts w:ascii="Arial" w:hAnsi="Arial" w:cs="Arial"/>
          <w:b/>
          <w:sz w:val="24"/>
          <w:szCs w:val="24"/>
        </w:rPr>
        <w:t xml:space="preserve"> </w:t>
      </w:r>
      <w:r w:rsidRPr="0063623A">
        <w:rPr>
          <w:rFonts w:ascii="Arial" w:hAnsi="Arial" w:cs="Arial"/>
          <w:b/>
          <w:spacing w:val="-1"/>
          <w:sz w:val="24"/>
          <w:szCs w:val="24"/>
        </w:rPr>
        <w:t>the</w:t>
      </w:r>
      <w:r w:rsidRPr="0063623A">
        <w:rPr>
          <w:rFonts w:ascii="Arial" w:hAnsi="Arial" w:cs="Arial"/>
          <w:b/>
          <w:sz w:val="24"/>
          <w:szCs w:val="24"/>
        </w:rPr>
        <w:t xml:space="preserve"> instrument</w:t>
      </w:r>
    </w:p>
    <w:p w14:paraId="6F590529" w14:textId="77777777" w:rsidR="000A2591" w:rsidRDefault="000A2591" w:rsidP="000A2591">
      <w:pPr>
        <w:spacing w:before="1" w:line="120" w:lineRule="exact"/>
      </w:pPr>
    </w:p>
    <w:p w14:paraId="4527F98B" w14:textId="402106F7" w:rsidR="000A2591" w:rsidRDefault="000A2591" w:rsidP="000A259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A7AE8">
        <w:rPr>
          <w:sz w:val="24"/>
          <w:szCs w:val="24"/>
        </w:rPr>
        <w:t xml:space="preserve">amending </w:t>
      </w:r>
      <w:r>
        <w:rPr>
          <w:sz w:val="24"/>
          <w:szCs w:val="24"/>
        </w:rPr>
        <w:t>instrument amends section 6 of the principal instrument by omitting 'other' from notional paragraph 601GCA(3)(b).</w:t>
      </w:r>
    </w:p>
    <w:p w14:paraId="299D28E2" w14:textId="77777777" w:rsidR="000A2591" w:rsidRPr="0063623A" w:rsidRDefault="000A2591" w:rsidP="000A2591">
      <w:pPr>
        <w:pStyle w:val="Heading3"/>
        <w:keepNext w:val="0"/>
        <w:widowControl w:val="0"/>
        <w:numPr>
          <w:ilvl w:val="0"/>
          <w:numId w:val="1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3" w:name="4._Documents_incorporated_by_reference"/>
      <w:bookmarkStart w:id="4" w:name="5._Consultation"/>
      <w:bookmarkEnd w:id="3"/>
      <w:bookmarkEnd w:id="4"/>
      <w:r w:rsidRPr="0063623A">
        <w:rPr>
          <w:rFonts w:ascii="Arial" w:hAnsi="Arial" w:cs="Arial"/>
          <w:b/>
          <w:sz w:val="24"/>
          <w:szCs w:val="24"/>
        </w:rPr>
        <w:t>Consultation</w:t>
      </w:r>
    </w:p>
    <w:p w14:paraId="0D362259" w14:textId="5280D7FA" w:rsidR="000A2591" w:rsidRDefault="000A2591" w:rsidP="000A2591">
      <w:pPr>
        <w:pStyle w:val="Bodytextplain"/>
        <w:ind w:left="0"/>
      </w:pPr>
      <w:r w:rsidRPr="000A05A1">
        <w:rPr>
          <w:sz w:val="24"/>
          <w:szCs w:val="24"/>
        </w:rPr>
        <w:t>ASIC did not undertake a</w:t>
      </w:r>
      <w:r>
        <w:rPr>
          <w:sz w:val="24"/>
          <w:szCs w:val="24"/>
        </w:rPr>
        <w:t xml:space="preserve"> formal consultation process on </w:t>
      </w:r>
      <w:r w:rsidR="00EA7AE8">
        <w:rPr>
          <w:sz w:val="24"/>
          <w:szCs w:val="24"/>
        </w:rPr>
        <w:t xml:space="preserve">the amending </w:t>
      </w:r>
      <w:r>
        <w:rPr>
          <w:sz w:val="24"/>
          <w:szCs w:val="24"/>
        </w:rPr>
        <w:t>instrument on the basis that it makes a minor amendment to clarify the intended effect of the principal instrument.</w:t>
      </w:r>
    </w:p>
    <w:p w14:paraId="70D0654E" w14:textId="77777777" w:rsidR="000A2591" w:rsidRDefault="000A2591" w:rsidP="000A2591">
      <w:pPr>
        <w:pStyle w:val="Bodytextplain"/>
        <w:ind w:left="0"/>
      </w:pPr>
    </w:p>
    <w:p w14:paraId="05CB4B4A" w14:textId="77777777" w:rsidR="00EA7AE8" w:rsidRPr="000A2591" w:rsidRDefault="000A2591" w:rsidP="000A2591">
      <w:pPr>
        <w:spacing w:after="200" w:line="276" w:lineRule="auto"/>
        <w:rPr>
          <w:szCs w:val="22"/>
        </w:rPr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40336" wp14:editId="11CC2AB4">
                <wp:simplePos x="0" y="0"/>
                <wp:positionH relativeFrom="column">
                  <wp:posOffset>26035</wp:posOffset>
                </wp:positionH>
                <wp:positionV relativeFrom="paragraph">
                  <wp:posOffset>-73384</wp:posOffset>
                </wp:positionV>
                <wp:extent cx="5311140" cy="7060019"/>
                <wp:effectExtent l="38100" t="38100" r="41910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7060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8339" w14:textId="77777777" w:rsidR="00EA7AE8" w:rsidRPr="00834797" w:rsidRDefault="00EA7AE8" w:rsidP="000A2591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27E5CCDE" w14:textId="77777777" w:rsidR="00EA7AE8" w:rsidRPr="00247F54" w:rsidRDefault="00EA7AE8" w:rsidP="000A2591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35F12C1A" w14:textId="77777777" w:rsidR="00EA7AE8" w:rsidRPr="00247F54" w:rsidRDefault="00EA7AE8" w:rsidP="000A2591">
                            <w:pPr>
                              <w:spacing w:before="120" w:after="120"/>
                              <w:jc w:val="center"/>
                            </w:pPr>
                          </w:p>
                          <w:p w14:paraId="0035B7EB" w14:textId="77777777" w:rsidR="00EA7AE8" w:rsidRPr="00247F54" w:rsidRDefault="00EA7AE8" w:rsidP="000A2591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401822">
                              <w:rPr>
                                <w:b/>
                              </w:rPr>
                              <w:t>ASIC Corporations (</w:t>
                            </w:r>
                            <w:r>
                              <w:rPr>
                                <w:b/>
                              </w:rPr>
                              <w:t xml:space="preserve">Amendment) Instrument 2016/514 </w:t>
                            </w:r>
                          </w:p>
                          <w:p w14:paraId="27DD5703" w14:textId="77777777" w:rsidR="00EA7AE8" w:rsidRPr="00247F54" w:rsidRDefault="00EA7AE8" w:rsidP="000A2591">
                            <w:pPr>
                              <w:spacing w:before="120" w:after="120"/>
                              <w:jc w:val="center"/>
                            </w:pPr>
                          </w:p>
                          <w:p w14:paraId="715FE11C" w14:textId="77777777" w:rsidR="00EA7AE8" w:rsidRPr="00247F54" w:rsidRDefault="00EA7AE8" w:rsidP="000A2591">
                            <w:pPr>
                              <w:spacing w:before="120" w:after="120"/>
                            </w:pPr>
                            <w:r w:rsidRPr="00401822">
                              <w:rPr>
                                <w:i/>
                              </w:rPr>
                              <w:t>ASIC Corporations (</w:t>
                            </w:r>
                            <w:r>
                              <w:rPr>
                                <w:i/>
                              </w:rPr>
                              <w:t>Amendment) Instrument 2016/514</w:t>
                            </w:r>
                            <w:r w:rsidRPr="00714480">
                              <w:rPr>
                                <w:i/>
                              </w:rPr>
                              <w:t xml:space="preserve"> </w:t>
                            </w:r>
                            <w:r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Pr="00247F54">
                              <w:t>.</w:t>
                            </w:r>
                          </w:p>
                          <w:p w14:paraId="064BE14B" w14:textId="77777777" w:rsidR="00EA7AE8" w:rsidRPr="00247F54" w:rsidRDefault="00EA7AE8" w:rsidP="000A2591">
                            <w:pPr>
                              <w:spacing w:before="120" w:after="120"/>
                              <w:jc w:val="center"/>
                            </w:pPr>
                          </w:p>
                          <w:p w14:paraId="280E9FF0" w14:textId="77777777" w:rsidR="00EA7AE8" w:rsidRPr="00247F54" w:rsidRDefault="00EA7AE8" w:rsidP="000A2591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541A7BAD" w14:textId="7D01092F" w:rsidR="00EA7AE8" w:rsidRDefault="00EA7AE8" w:rsidP="000A2591">
                            <w:pPr>
                              <w:spacing w:before="120" w:after="120"/>
                            </w:pPr>
                            <w:r w:rsidRPr="00BD0937">
                              <w:rPr>
                                <w:szCs w:val="22"/>
                              </w:rPr>
                              <w:t xml:space="preserve">The purpose of </w:t>
                            </w:r>
                            <w:r>
                              <w:rPr>
                                <w:szCs w:val="22"/>
                              </w:rPr>
                              <w:t xml:space="preserve">the amending </w:t>
                            </w:r>
                            <w:r w:rsidRPr="00BD0937">
                              <w:rPr>
                                <w:szCs w:val="22"/>
                              </w:rPr>
                              <w:t>instrument is to</w:t>
                            </w:r>
                            <w:r>
                              <w:rPr>
                                <w:szCs w:val="22"/>
                              </w:rPr>
                              <w:t xml:space="preserve"> make a minor amendment to</w:t>
                            </w:r>
                            <w:r w:rsidRPr="00BD0937">
                              <w:rPr>
                                <w:szCs w:val="22"/>
                              </w:rPr>
                              <w:t xml:space="preserve"> </w:t>
                            </w:r>
                            <w:r w:rsidRPr="00BD0937">
                              <w:rPr>
                                <w:color w:val="000000"/>
                                <w:szCs w:val="22"/>
                              </w:rPr>
                              <w:t>ASIC Corporations (Attribution Managed Investment Trusts) Instrument 2016/489</w:t>
                            </w:r>
                            <w:r>
                              <w:rPr>
                                <w:color w:val="000000"/>
                                <w:szCs w:val="22"/>
                              </w:rPr>
                              <w:t xml:space="preserve"> (the principal instrument).</w:t>
                            </w:r>
                          </w:p>
                          <w:p w14:paraId="17076C40" w14:textId="77777777" w:rsidR="00EA7AE8" w:rsidRDefault="00EA7AE8" w:rsidP="000A2591">
                            <w:pPr>
                              <w:spacing w:before="120" w:after="120"/>
                            </w:pPr>
                            <w:r>
                              <w:rPr>
                                <w:color w:val="000000"/>
                                <w:szCs w:val="22"/>
                              </w:rPr>
                              <w:t xml:space="preserve">The principal instrument </w:t>
                            </w:r>
                            <w:r>
                              <w:t xml:space="preserve">provides relief to enable responsible entities of registered schemes to amend scheme constitutions without the need for a members' meeting to approve the amendments and also exempts responsible entities from having to comply with the duty to treat members </w:t>
                            </w:r>
                            <w:r w:rsidRPr="00073A1E">
                              <w:t>who hold interests of the same class equally so that attributions of amounts related to the income and tax offsets of the scheme to</w:t>
                            </w:r>
                            <w:r>
                              <w:t xml:space="preserve"> members may be made in accordance with the requirements under the new tax system. </w:t>
                            </w:r>
                          </w:p>
                          <w:p w14:paraId="6462AA82" w14:textId="7FB7BBDA" w:rsidR="00EA7AE8" w:rsidRPr="00F640B8" w:rsidRDefault="00EA7AE8" w:rsidP="000A2591">
                            <w:pPr>
                              <w:spacing w:before="120" w:after="120"/>
                            </w:pPr>
                            <w:r>
                              <w:t xml:space="preserve">The amending instrument amends the principal instrument to clarify the procedures that may be followed by a responsible entity to change the constitution of a registered scheme in reliance on relief under the principal instrument where </w:t>
                            </w:r>
                            <w:bookmarkStart w:id="5" w:name="_GoBack"/>
                            <w:bookmarkEnd w:id="5"/>
                            <w:r>
                              <w:t>all members of the scheme acquired their interests in the scheme as wholesale clients.</w:t>
                            </w:r>
                          </w:p>
                          <w:p w14:paraId="12D082E8" w14:textId="77777777" w:rsidR="00EA7AE8" w:rsidRPr="00247F54" w:rsidRDefault="00EA7AE8" w:rsidP="000A2591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643AC5D6" w14:textId="46AE918E" w:rsidR="00EA7AE8" w:rsidRPr="00247F54" w:rsidRDefault="00EA7AE8" w:rsidP="000A2591">
                            <w:pPr>
                              <w:spacing w:before="120" w:after="120"/>
                            </w:pPr>
                            <w:r>
                              <w:t>The 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does not engage any of the applicable rights or freedoms.</w:t>
                            </w:r>
                          </w:p>
                          <w:p w14:paraId="3DC48E7D" w14:textId="77777777" w:rsidR="00EA7AE8" w:rsidRPr="00247F54" w:rsidRDefault="00EA7AE8" w:rsidP="000A2591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389B32E5" w14:textId="3212DC10" w:rsidR="00EA7AE8" w:rsidRPr="00247F54" w:rsidRDefault="00EA7AE8" w:rsidP="000A2591">
                            <w:pPr>
                              <w:spacing w:before="120" w:after="120"/>
                            </w:pPr>
                            <w:r>
                              <w:t>The 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is compatible with human rights as it does not raise any human rights issues.</w:t>
                            </w:r>
                          </w:p>
                          <w:p w14:paraId="34FC3ABB" w14:textId="77777777" w:rsidR="00EA7AE8" w:rsidRDefault="00EA7AE8" w:rsidP="000A2591"/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05pt;margin-top:-5.8pt;width:418.2pt;height:5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" strokeweight="6pt">
                <v:stroke linestyle="thickBetweenThin"/>
                <v:textbox inset="5mm,,5mm">
                  <w:txbxContent>
                    <w:p w14:paraId="0CFB8339" w14:textId="77777777" w:rsidR="00EA7AE8" w:rsidRPr="00834797" w:rsidRDefault="00EA7AE8" w:rsidP="000A2591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27E5CCDE" w14:textId="77777777" w:rsidR="00EA7AE8" w:rsidRPr="00247F54" w:rsidRDefault="00EA7AE8" w:rsidP="000A2591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35F12C1A" w14:textId="77777777" w:rsidR="00EA7AE8" w:rsidRPr="00247F54" w:rsidRDefault="00EA7AE8" w:rsidP="000A2591">
                      <w:pPr>
                        <w:spacing w:before="120" w:after="120"/>
                        <w:jc w:val="center"/>
                      </w:pPr>
                    </w:p>
                    <w:p w14:paraId="0035B7EB" w14:textId="77777777" w:rsidR="00EA7AE8" w:rsidRPr="00247F54" w:rsidRDefault="00EA7AE8" w:rsidP="000A2591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401822">
                        <w:rPr>
                          <w:b/>
                        </w:rPr>
                        <w:t>ASIC Corporations (</w:t>
                      </w:r>
                      <w:r>
                        <w:rPr>
                          <w:b/>
                        </w:rPr>
                        <w:t xml:space="preserve">Amendment) Instrument 2016/514 </w:t>
                      </w:r>
                    </w:p>
                    <w:p w14:paraId="27DD5703" w14:textId="77777777" w:rsidR="00EA7AE8" w:rsidRPr="00247F54" w:rsidRDefault="00EA7AE8" w:rsidP="000A2591">
                      <w:pPr>
                        <w:spacing w:before="120" w:after="120"/>
                        <w:jc w:val="center"/>
                      </w:pPr>
                    </w:p>
                    <w:p w14:paraId="715FE11C" w14:textId="77777777" w:rsidR="00EA7AE8" w:rsidRPr="00247F54" w:rsidRDefault="00EA7AE8" w:rsidP="000A2591">
                      <w:pPr>
                        <w:spacing w:before="120" w:after="120"/>
                      </w:pPr>
                      <w:r w:rsidRPr="00401822">
                        <w:rPr>
                          <w:i/>
                        </w:rPr>
                        <w:t>ASIC Corporations (</w:t>
                      </w:r>
                      <w:r>
                        <w:rPr>
                          <w:i/>
                        </w:rPr>
                        <w:t>Amendment) Instrument 2016/514</w:t>
                      </w:r>
                      <w:r w:rsidRPr="00714480">
                        <w:rPr>
                          <w:i/>
                        </w:rPr>
                        <w:t xml:space="preserve"> </w:t>
                      </w:r>
                      <w:r w:rsidRPr="00247F54">
                        <w:t xml:space="preserve">is compatible with the human rights and freedoms recognised or declared in the international instruments listed in section 3 of the </w:t>
                      </w:r>
                      <w:r w:rsidRPr="00247F54">
                        <w:rPr>
                          <w:i/>
                        </w:rPr>
                        <w:t>Human Rights (Parliamentary Scrutiny) Act 2011</w:t>
                      </w:r>
                      <w:r w:rsidRPr="00247F54">
                        <w:t>.</w:t>
                      </w:r>
                    </w:p>
                    <w:p w14:paraId="064BE14B" w14:textId="77777777" w:rsidR="00EA7AE8" w:rsidRPr="00247F54" w:rsidRDefault="00EA7AE8" w:rsidP="000A2591">
                      <w:pPr>
                        <w:spacing w:before="120" w:after="120"/>
                        <w:jc w:val="center"/>
                      </w:pPr>
                    </w:p>
                    <w:p w14:paraId="280E9FF0" w14:textId="77777777" w:rsidR="00EA7AE8" w:rsidRPr="00247F54" w:rsidRDefault="00EA7AE8" w:rsidP="000A2591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14:paraId="541A7BAD" w14:textId="7D01092F" w:rsidR="00EA7AE8" w:rsidRDefault="00EA7AE8" w:rsidP="000A2591">
                      <w:pPr>
                        <w:spacing w:before="120" w:after="120"/>
                      </w:pPr>
                      <w:r w:rsidRPr="00BD0937">
                        <w:rPr>
                          <w:szCs w:val="22"/>
                        </w:rPr>
                        <w:t xml:space="preserve">The purpose of </w:t>
                      </w:r>
                      <w:r>
                        <w:rPr>
                          <w:szCs w:val="22"/>
                        </w:rPr>
                        <w:t xml:space="preserve">the amending </w:t>
                      </w:r>
                      <w:r w:rsidRPr="00BD0937">
                        <w:rPr>
                          <w:szCs w:val="22"/>
                        </w:rPr>
                        <w:t>instrument is to</w:t>
                      </w:r>
                      <w:r>
                        <w:rPr>
                          <w:szCs w:val="22"/>
                        </w:rPr>
                        <w:t xml:space="preserve"> make a minor amendment to</w:t>
                      </w:r>
                      <w:r w:rsidRPr="00BD0937">
                        <w:rPr>
                          <w:szCs w:val="22"/>
                        </w:rPr>
                        <w:t xml:space="preserve"> </w:t>
                      </w:r>
                      <w:r w:rsidRPr="00BD0937">
                        <w:rPr>
                          <w:color w:val="000000"/>
                          <w:szCs w:val="22"/>
                        </w:rPr>
                        <w:t>ASIC Corporations (Attribution Managed Investment Trusts) Instrument 2016/489</w:t>
                      </w:r>
                      <w:r>
                        <w:rPr>
                          <w:color w:val="000000"/>
                          <w:szCs w:val="22"/>
                        </w:rPr>
                        <w:t xml:space="preserve"> (the principal instrument).</w:t>
                      </w:r>
                    </w:p>
                    <w:p w14:paraId="17076C40" w14:textId="77777777" w:rsidR="00EA7AE8" w:rsidRDefault="00EA7AE8" w:rsidP="000A2591">
                      <w:pPr>
                        <w:spacing w:before="120" w:after="120"/>
                      </w:pPr>
                      <w:r>
                        <w:rPr>
                          <w:color w:val="000000"/>
                          <w:szCs w:val="22"/>
                        </w:rPr>
                        <w:t xml:space="preserve">The principal instrument </w:t>
                      </w:r>
                      <w:r>
                        <w:t xml:space="preserve">provides relief to enable responsible entities of registered schemes to amend scheme constitutions without the need for a members' meeting to approve the amendments and also exempts responsible entities from having to comply with the duty to treat members </w:t>
                      </w:r>
                      <w:r w:rsidRPr="00073A1E">
                        <w:t>who hold interests of the same class equally so that attributions of amounts related to the income and tax offsets of the scheme to</w:t>
                      </w:r>
                      <w:r>
                        <w:t xml:space="preserve"> members may be made in accordance with the requirements under the new tax system. </w:t>
                      </w:r>
                    </w:p>
                    <w:p w14:paraId="6462AA82" w14:textId="7FB7BBDA" w:rsidR="00EA7AE8" w:rsidRPr="00F640B8" w:rsidRDefault="00EA7AE8" w:rsidP="000A2591">
                      <w:pPr>
                        <w:spacing w:before="120" w:after="120"/>
                      </w:pPr>
                      <w:r>
                        <w:t xml:space="preserve">The amending instrument amends the principal instrument to clarify the procedures that may be followed by a responsible entity to change the constitution of a registered scheme in reliance on relief under the principal instrument where </w:t>
                      </w:r>
                      <w:bookmarkStart w:id="6" w:name="_GoBack"/>
                      <w:bookmarkEnd w:id="6"/>
                      <w:r>
                        <w:t>all members of the scheme acquired their interests in the scheme as wholesale clients.</w:t>
                      </w:r>
                    </w:p>
                    <w:p w14:paraId="12D082E8" w14:textId="77777777" w:rsidR="00EA7AE8" w:rsidRPr="00247F54" w:rsidRDefault="00EA7AE8" w:rsidP="000A2591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14:paraId="643AC5D6" w14:textId="46AE918E" w:rsidR="00EA7AE8" w:rsidRPr="00247F54" w:rsidRDefault="00EA7AE8" w:rsidP="000A2591">
                      <w:pPr>
                        <w:spacing w:before="120" w:after="120"/>
                      </w:pPr>
                      <w:r>
                        <w:t>The 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does not engage any of the applicable rights or freedoms.</w:t>
                      </w:r>
                    </w:p>
                    <w:p w14:paraId="3DC48E7D" w14:textId="77777777" w:rsidR="00EA7AE8" w:rsidRPr="00247F54" w:rsidRDefault="00EA7AE8" w:rsidP="000A2591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14:paraId="389B32E5" w14:textId="3212DC10" w:rsidR="00EA7AE8" w:rsidRPr="00247F54" w:rsidRDefault="00EA7AE8" w:rsidP="000A2591">
                      <w:pPr>
                        <w:spacing w:before="120" w:after="120"/>
                      </w:pPr>
                      <w:r>
                        <w:t>The 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is compatible with human rights as it does not raise any human rights issues.</w:t>
                      </w:r>
                    </w:p>
                    <w:p w14:paraId="34FC3ABB" w14:textId="77777777" w:rsidR="00EA7AE8" w:rsidRDefault="00EA7AE8" w:rsidP="000A2591"/>
                  </w:txbxContent>
                </v:textbox>
              </v:rect>
            </w:pict>
          </mc:Fallback>
        </mc:AlternateContent>
      </w:r>
    </w:p>
    <w:sectPr w:rsidR="00EA7AE8" w:rsidRPr="000A25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B950F" w14:textId="77777777" w:rsidR="00EA7AE8" w:rsidRDefault="00EA7AE8">
      <w:pPr>
        <w:spacing w:after="0"/>
      </w:pPr>
      <w:r>
        <w:separator/>
      </w:r>
    </w:p>
  </w:endnote>
  <w:endnote w:type="continuationSeparator" w:id="0">
    <w:p w14:paraId="097AC8AC" w14:textId="77777777" w:rsidR="00EA7AE8" w:rsidRDefault="00EA7AE8">
      <w:pPr>
        <w:spacing w:after="0"/>
      </w:pPr>
      <w:r>
        <w:continuationSeparator/>
      </w:r>
    </w:p>
  </w:endnote>
  <w:endnote w:type="continuationNotice" w:id="1">
    <w:p w14:paraId="050EFAB1" w14:textId="77777777" w:rsidR="00842E85" w:rsidRDefault="00842E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ABDD" w14:textId="77777777" w:rsidR="00EA7AE8" w:rsidRDefault="00EA7A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6002079D" w14:textId="77777777" w:rsidR="00EA7AE8" w:rsidRDefault="00EA7AE8">
    <w:pPr>
      <w:pStyle w:val="Footer"/>
      <w:ind w:right="360"/>
    </w:pPr>
  </w:p>
  <w:p w14:paraId="48EAF311" w14:textId="77777777" w:rsidR="00EA7AE8" w:rsidRDefault="00EA7AE8"/>
  <w:p w14:paraId="787BB5A1" w14:textId="77777777" w:rsidR="00EA7AE8" w:rsidRDefault="00EA7AE8"/>
  <w:p w14:paraId="3CF3D541" w14:textId="77777777" w:rsidR="00EA7AE8" w:rsidRDefault="00EA7AE8"/>
  <w:p w14:paraId="7148EA83" w14:textId="77777777" w:rsidR="00EA7AE8" w:rsidRDefault="00EA7AE8"/>
  <w:p w14:paraId="1559A3DF" w14:textId="77777777" w:rsidR="00EA7AE8" w:rsidRDefault="00EA7A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E7026" w14:textId="77777777" w:rsidR="00EA7AE8" w:rsidRDefault="00EA7AE8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765EEFA" wp14:editId="1C8DF4F8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F2D95" w14:textId="77777777" w:rsidR="00EA7AE8" w:rsidRPr="008F541E" w:rsidRDefault="00EA7AE8" w:rsidP="00EA7AE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72F0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3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717F2D95" w14:textId="77777777" w:rsidR="00EA7AE8" w:rsidRPr="008F541E" w:rsidRDefault="00EA7AE8" w:rsidP="00EA7AE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CB72F0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3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75CAA" w14:textId="77777777" w:rsidR="00EA7AE8" w:rsidRDefault="00EA7AE8">
      <w:pPr>
        <w:spacing w:after="0"/>
      </w:pPr>
      <w:r>
        <w:separator/>
      </w:r>
    </w:p>
  </w:footnote>
  <w:footnote w:type="continuationSeparator" w:id="0">
    <w:p w14:paraId="229915D7" w14:textId="77777777" w:rsidR="00EA7AE8" w:rsidRDefault="00EA7AE8">
      <w:pPr>
        <w:spacing w:after="0"/>
      </w:pPr>
      <w:r>
        <w:continuationSeparator/>
      </w:r>
    </w:p>
  </w:footnote>
  <w:footnote w:type="continuationNotice" w:id="1">
    <w:p w14:paraId="2E4DF40A" w14:textId="77777777" w:rsidR="00842E85" w:rsidRDefault="00842E8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EE712" w14:textId="77777777" w:rsidR="00EA7AE8" w:rsidRDefault="00EA7AE8"/>
  <w:p w14:paraId="654399C5" w14:textId="77777777" w:rsidR="00EA7AE8" w:rsidRDefault="00EA7A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EC0D9" w14:textId="77777777" w:rsidR="00EA7AE8" w:rsidRDefault="00EA7AE8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</w:p>
  <w:p w14:paraId="60892590" w14:textId="77777777" w:rsidR="00EA7AE8" w:rsidRDefault="00EA7A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A8BCD" w14:textId="77777777" w:rsidR="00EA7AE8" w:rsidRDefault="00EA7AE8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1">
    <w:nsid w:val="5B5A5FBC"/>
    <w:multiLevelType w:val="multilevel"/>
    <w:tmpl w:val="80DCFA4E"/>
    <w:lvl w:ilvl="0">
      <w:start w:val="1"/>
      <w:numFmt w:val="decimal"/>
      <w:pStyle w:val="RPG-BodyTextNumbered"/>
      <w:lvlText w:val="%1"/>
      <w:lvlJc w:val="left"/>
      <w:pPr>
        <w:tabs>
          <w:tab w:val="num" w:pos="851"/>
        </w:tabs>
        <w:ind w:left="851" w:hanging="426"/>
      </w:pPr>
      <w:rPr>
        <w:rFonts w:hint="default"/>
        <w:b w:val="0"/>
        <w:sz w:val="18"/>
      </w:rPr>
    </w:lvl>
    <w:lvl w:ilvl="1">
      <w:start w:val="1"/>
      <w:numFmt w:val="lowerLetter"/>
      <w:pStyle w:val="RPG-SublistLevel1"/>
      <w:lvlText w:val="(%2)"/>
      <w:lvlJc w:val="left"/>
      <w:pPr>
        <w:tabs>
          <w:tab w:val="num" w:pos="1276"/>
        </w:tabs>
        <w:ind w:left="1276" w:hanging="425"/>
      </w:pPr>
      <w:rPr>
        <w:rFonts w:ascii="Times New Roman" w:eastAsia="Calibri" w:hAnsi="Times New Roman" w:cs="Times New Roman"/>
        <w:b w:val="0"/>
        <w:sz w:val="18"/>
      </w:rPr>
    </w:lvl>
    <w:lvl w:ilvl="2">
      <w:start w:val="1"/>
      <w:numFmt w:val="lowerRoman"/>
      <w:pStyle w:val="RPG-SublistLevel2"/>
      <w:lvlText w:val="(%3)"/>
      <w:lvlJc w:val="left"/>
      <w:pPr>
        <w:tabs>
          <w:tab w:val="num" w:pos="1701"/>
        </w:tabs>
        <w:ind w:left="1701" w:hanging="425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91"/>
    <w:rsid w:val="000002B9"/>
    <w:rsid w:val="000A2591"/>
    <w:rsid w:val="000D6B99"/>
    <w:rsid w:val="00216D67"/>
    <w:rsid w:val="00447D43"/>
    <w:rsid w:val="00702B12"/>
    <w:rsid w:val="00842470"/>
    <w:rsid w:val="00842E85"/>
    <w:rsid w:val="009C4A18"/>
    <w:rsid w:val="009D1A08"/>
    <w:rsid w:val="009E0937"/>
    <w:rsid w:val="00AF741F"/>
    <w:rsid w:val="00CB72F0"/>
    <w:rsid w:val="00E52C16"/>
    <w:rsid w:val="00E7407F"/>
    <w:rsid w:val="00EA7AE8"/>
    <w:rsid w:val="00F0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8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91"/>
    <w:pPr>
      <w:spacing w:after="24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0A2591"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2591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link w:val="BodyTextChar"/>
    <w:rsid w:val="000A2591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A25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A2591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A2591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0A2591"/>
    <w:rPr>
      <w:b/>
      <w:sz w:val="20"/>
    </w:rPr>
  </w:style>
  <w:style w:type="paragraph" w:styleId="Header">
    <w:name w:val="header"/>
    <w:basedOn w:val="Normal"/>
    <w:link w:val="HeaderChar"/>
    <w:uiPriority w:val="99"/>
    <w:rsid w:val="000A2591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591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Bodytextplain">
    <w:name w:val="Body text plain"/>
    <w:basedOn w:val="BodyText"/>
    <w:rsid w:val="000A2591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RPG-BodyTextNumbered">
    <w:name w:val="RPG - Body Text (Numbered)"/>
    <w:basedOn w:val="Normal"/>
    <w:link w:val="RPG-BodyTextNumberedChar"/>
    <w:qFormat/>
    <w:rsid w:val="000A2591"/>
    <w:pPr>
      <w:numPr>
        <w:numId w:val="2"/>
      </w:numPr>
      <w:spacing w:before="200" w:after="0"/>
    </w:pPr>
    <w:rPr>
      <w:rFonts w:eastAsia="Calibri"/>
      <w:szCs w:val="22"/>
      <w:lang w:eastAsia="en-US"/>
    </w:rPr>
  </w:style>
  <w:style w:type="paragraph" w:customStyle="1" w:styleId="RPG-SublistLevel1">
    <w:name w:val="RPG - Sublist Level 1"/>
    <w:basedOn w:val="RPG-BodyTextNumbered"/>
    <w:qFormat/>
    <w:rsid w:val="000A2591"/>
    <w:pPr>
      <w:numPr>
        <w:ilvl w:val="1"/>
      </w:numPr>
      <w:tabs>
        <w:tab w:val="clear" w:pos="1276"/>
        <w:tab w:val="num" w:pos="360"/>
      </w:tabs>
      <w:spacing w:before="120"/>
      <w:ind w:left="1440" w:hanging="360"/>
    </w:pPr>
  </w:style>
  <w:style w:type="paragraph" w:customStyle="1" w:styleId="RPG-SublistLevel2">
    <w:name w:val="RPG - Sublist Level 2"/>
    <w:basedOn w:val="RPG-SublistLevel1"/>
    <w:qFormat/>
    <w:rsid w:val="000A2591"/>
    <w:pPr>
      <w:numPr>
        <w:ilvl w:val="2"/>
      </w:numPr>
      <w:tabs>
        <w:tab w:val="clear" w:pos="1701"/>
        <w:tab w:val="num" w:pos="360"/>
      </w:tabs>
      <w:ind w:left="2160" w:hanging="360"/>
    </w:pPr>
  </w:style>
  <w:style w:type="character" w:customStyle="1" w:styleId="RPG-BodyTextNumberedChar">
    <w:name w:val="RPG - Body Text (Numbered) Char"/>
    <w:link w:val="RPG-BodyTextNumbered"/>
    <w:rsid w:val="000A2591"/>
    <w:rPr>
      <w:rFonts w:ascii="Times New Roman" w:eastAsia="Calibri" w:hAnsi="Times New Roman" w:cs="Times New Roman"/>
    </w:rPr>
  </w:style>
  <w:style w:type="paragraph" w:customStyle="1" w:styleId="Default">
    <w:name w:val="Default"/>
    <w:rsid w:val="000A2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E8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91"/>
    <w:pPr>
      <w:spacing w:after="24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0A2591"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2591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link w:val="BodyTextChar"/>
    <w:rsid w:val="000A2591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A25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A2591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A2591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0A2591"/>
    <w:rPr>
      <w:b/>
      <w:sz w:val="20"/>
    </w:rPr>
  </w:style>
  <w:style w:type="paragraph" w:styleId="Header">
    <w:name w:val="header"/>
    <w:basedOn w:val="Normal"/>
    <w:link w:val="HeaderChar"/>
    <w:uiPriority w:val="99"/>
    <w:rsid w:val="000A2591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591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Bodytextplain">
    <w:name w:val="Body text plain"/>
    <w:basedOn w:val="BodyText"/>
    <w:rsid w:val="000A2591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RPG-BodyTextNumbered">
    <w:name w:val="RPG - Body Text (Numbered)"/>
    <w:basedOn w:val="Normal"/>
    <w:link w:val="RPG-BodyTextNumberedChar"/>
    <w:qFormat/>
    <w:rsid w:val="000A2591"/>
    <w:pPr>
      <w:numPr>
        <w:numId w:val="2"/>
      </w:numPr>
      <w:spacing w:before="200" w:after="0"/>
    </w:pPr>
    <w:rPr>
      <w:rFonts w:eastAsia="Calibri"/>
      <w:szCs w:val="22"/>
      <w:lang w:eastAsia="en-US"/>
    </w:rPr>
  </w:style>
  <w:style w:type="paragraph" w:customStyle="1" w:styleId="RPG-SublistLevel1">
    <w:name w:val="RPG - Sublist Level 1"/>
    <w:basedOn w:val="RPG-BodyTextNumbered"/>
    <w:qFormat/>
    <w:rsid w:val="000A2591"/>
    <w:pPr>
      <w:numPr>
        <w:ilvl w:val="1"/>
      </w:numPr>
      <w:tabs>
        <w:tab w:val="clear" w:pos="1276"/>
        <w:tab w:val="num" w:pos="360"/>
      </w:tabs>
      <w:spacing w:before="120"/>
      <w:ind w:left="1440" w:hanging="360"/>
    </w:pPr>
  </w:style>
  <w:style w:type="paragraph" w:customStyle="1" w:styleId="RPG-SublistLevel2">
    <w:name w:val="RPG - Sublist Level 2"/>
    <w:basedOn w:val="RPG-SublistLevel1"/>
    <w:qFormat/>
    <w:rsid w:val="000A2591"/>
    <w:pPr>
      <w:numPr>
        <w:ilvl w:val="2"/>
      </w:numPr>
      <w:tabs>
        <w:tab w:val="clear" w:pos="1701"/>
        <w:tab w:val="num" w:pos="360"/>
      </w:tabs>
      <w:ind w:left="2160" w:hanging="360"/>
    </w:pPr>
  </w:style>
  <w:style w:type="character" w:customStyle="1" w:styleId="RPG-BodyTextNumberedChar">
    <w:name w:val="RPG - Body Text (Numbered) Char"/>
    <w:link w:val="RPG-BodyTextNumbered"/>
    <w:rsid w:val="000A2591"/>
    <w:rPr>
      <w:rFonts w:ascii="Times New Roman" w:eastAsia="Calibri" w:hAnsi="Times New Roman" w:cs="Times New Roman"/>
    </w:rPr>
  </w:style>
  <w:style w:type="paragraph" w:customStyle="1" w:styleId="Default">
    <w:name w:val="Default"/>
    <w:rsid w:val="000A2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E8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FilesetOrganisationID xmlns="da7a9ac0-bc47-4684-84e6-3a8e9ac80c12" xsi:nil="true"/>
    <n984d001a78f4b1f81661dbc6638eecd xmlns="e61c8409-2b3d-41a9-86ff-6de17ebba263">
      <Terms xmlns="http://schemas.microsoft.com/office/infopath/2007/PartnerControls"/>
    </n984d001a78f4b1f81661dbc6638eecd>
    <ga500041e31e499bae0a2e3b28b012fb xmlns="da7a9ac0-bc47-4684-84e6-3a8e9ac80c12" xsi:nil="true"/>
    <RecordNumber xmlns="da7a9ac0-bc47-4684-84e6-3a8e9ac80c12" xsi:nil="true"/>
    <hb3476fe0c25428da9d0464ead195eef xmlns="e61c8409-2b3d-41a9-86ff-6de17ebba263">
      <Terms xmlns="http://schemas.microsoft.com/office/infopath/2007/PartnerControls"/>
    </hb3476fe0c25428da9d0464ead195eef>
    <ObjectiveID xmlns="da7a9ac0-bc47-4684-84e6-3a8e9ac80c12" xsi:nil="true"/>
    <f998abd3fd1d41029811a1917032a7bb xmlns="da7a9ac0-bc47-4684-84e6-3a8e9ac80c12" xsi:nil="true"/>
    <n5630a39299d49819c7e0406fbc52e67 xmlns="da7a9ac0-bc47-4684-84e6-3a8e9ac80c12" xsi:nil="true"/>
    <o370174a30b54570b9bc2a9201a399da xmlns="e61c8409-2b3d-41a9-86ff-6de17ebba263">
      <Terms xmlns="http://schemas.microsoft.com/office/infopath/2007/PartnerControls"/>
    </o370174a30b54570b9bc2a9201a399da>
    <IMSOrganisationID xmlns="da7a9ac0-bc47-4684-84e6-3a8e9ac80c12" xsi:nil="true"/>
    <b909c30f6af94f8daa4f6bc346664858 xmlns="da7a9ac0-bc47-4684-84e6-3a8e9ac80c12" xsi:nil="true"/>
    <IconOverlay xmlns="http://schemas.microsoft.com/sharepoint/v4" xsi:nil="true"/>
    <TaxCatchAll xmlns="e61c8409-2b3d-41a9-86ff-6de17ebba263">
      <Value>6</Value>
    </TaxCatchAll>
    <SignificantFlag xmlns="da7a9ac0-bc47-4684-84e6-3a8e9ac80c12">false</SignificantFlag>
    <Tag xmlns="da7a9ac0-bc47-4684-84e6-3a8e9ac80c12" xsi:nil="true"/>
    <p0defd040bb9426381491b2c186908cb xmlns="e61c8409-2b3d-41a9-86ff-6de17ebba2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0defd040bb9426381491b2c186908cb>
    <f51ae816e01b4965a21cde6183109b29 xmlns="e61c8409-2b3d-41a9-86ff-6de17ebba263">
      <Terms xmlns="http://schemas.microsoft.com/office/infopath/2007/PartnerControls"/>
    </f51ae816e01b4965a21cde6183109b29>
    <SenateOrder12 xmlns="da7a9ac0-bc47-4684-84e6-3a8e9ac80c12">false</SenateOrder12>
    <j9a53d7fe1554b91b170ef98e3957baf xmlns="0ac98799-20dc-43fa-a7f5-120fca1d2db7">
      <Terms xmlns="http://schemas.microsoft.com/office/infopath/2007/PartnerControls"/>
    </j9a53d7fe1554b91b170ef98e3957baf>
    <k9c390b121b84919acb0b9151690da40 xmlns="e61c8409-2b3d-41a9-86ff-6de17ebba263">
      <Terms xmlns="http://schemas.microsoft.com/office/infopath/2007/PartnerControls"/>
    </k9c390b121b84919acb0b9151690da40>
    <Approvers xmlns="17f478ab-373e-4295-9ff0-9b833ad01319">
      <UserInfo>
        <DisplayName/>
        <AccountId xsi:nil="true"/>
        <AccountType/>
      </UserInfo>
    </Approvers>
    <ded95d7ab059406991d558011d18c177 xmlns="da7a9ac0-bc47-4684-84e6-3a8e9ac80c12" xsi:nil="true"/>
    <Reviewers xmlns="17f478ab-373e-4295-9ff0-9b833ad01319">
      <UserInfo>
        <DisplayName/>
        <AccountId xsi:nil="true"/>
        <AccountType/>
      </UserInfo>
    </Reviewers>
    <e3d6af94617946d9813caf87b95826d7 xmlns="0ac98799-20dc-43fa-a7f5-120fca1d2db7">
      <Terms xmlns="http://schemas.microsoft.com/office/infopath/2007/PartnerControls"/>
    </e3d6af94617946d9813caf87b95826d7>
    <SignificantReason xmlns="da7a9ac0-bc47-4684-84e6-3a8e9ac80c12" xsi:nil="true"/>
    <f4c29409d90b4a578b768720fd07bb93 xmlns="e61c8409-2b3d-41a9-86ff-6de17ebba263">
      <Terms xmlns="http://schemas.microsoft.com/office/infopath/2007/PartnerControls"/>
    </f4c29409d90b4a578b768720fd07bb93>
    <NotesLinks xmlns="da7a9ac0-bc47-4684-84e6-3a8e9ac80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B5F685A1365F544391EF8C813B164F3AC100B96475DE23F29F44A6FD58A31C00EB7B" ma:contentTypeVersion="31" ma:contentTypeDescription="" ma:contentTypeScope="" ma:versionID="6cba0ed706dc6cf1ae3da10692dfebc7">
  <xsd:schema xmlns:xsd="http://www.w3.org/2001/XMLSchema" xmlns:xs="http://www.w3.org/2001/XMLSchema" xmlns:p="http://schemas.microsoft.com/office/2006/metadata/properties" xmlns:ns2="da7a9ac0-bc47-4684-84e6-3a8e9ac80c12" xmlns:ns3="e61c8409-2b3d-41a9-86ff-6de17ebba263" xmlns:ns4="17f478ab-373e-4295-9ff0-9b833ad01319" xmlns:ns5="0ac98799-20dc-43fa-a7f5-120fca1d2db7" xmlns:ns6="http://schemas.microsoft.com/sharepoint/v4" targetNamespace="http://schemas.microsoft.com/office/2006/metadata/properties" ma:root="true" ma:fieldsID="d3b005fcabee450f98f5084330f781ee" ns2:_="" ns3:_="" ns4:_="" ns5:_="" ns6:_="">
    <xsd:import namespace="da7a9ac0-bc47-4684-84e6-3a8e9ac80c12"/>
    <xsd:import namespace="e61c8409-2b3d-41a9-86ff-6de17ebba263"/>
    <xsd:import namespace="17f478ab-373e-4295-9ff0-9b833ad01319"/>
    <xsd:import namespace="0ac98799-20dc-43fa-a7f5-120fca1d2d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2:IMSFilesetOrganisationID" minOccurs="0"/>
                <xsd:element ref="ns2:IMSOrganisationID" minOccurs="0"/>
                <xsd:element ref="ns2:Tag" minOccurs="0"/>
                <xsd:element ref="ns2:NotesLinks" minOccurs="0"/>
                <xsd:element ref="ns4:Reviewers" minOccurs="0"/>
                <xsd:element ref="ns4:Approvers" minOccurs="0"/>
                <xsd:element ref="ns2:b909c30f6af94f8daa4f6bc346664858" minOccurs="0"/>
                <xsd:element ref="ns3:p0defd040bb9426381491b2c186908cb" minOccurs="0"/>
                <xsd:element ref="ns3:hb3476fe0c25428da9d0464ead195eef" minOccurs="0"/>
                <xsd:element ref="ns6:IconOverlay" minOccurs="0"/>
                <xsd:element ref="ns2:ded95d7ab059406991d558011d18c177" minOccurs="0"/>
                <xsd:element ref="ns3:f51ae816e01b4965a21cde6183109b29" minOccurs="0"/>
                <xsd:element ref="ns2:f998abd3fd1d41029811a1917032a7bb" minOccurs="0"/>
                <xsd:element ref="ns5:j9a53d7fe1554b91b170ef98e3957baf" minOccurs="0"/>
                <xsd:element ref="ns3:TaxCatchAll" minOccurs="0"/>
                <xsd:element ref="ns5:e3d6af94617946d9813caf87b95826d7" minOccurs="0"/>
                <xsd:element ref="ns3:k9c390b121b84919acb0b9151690da40" minOccurs="0"/>
                <xsd:element ref="ns3:n984d001a78f4b1f81661dbc6638eecd" minOccurs="0"/>
                <xsd:element ref="ns2:ga500041e31e499bae0a2e3b28b012fb" minOccurs="0"/>
                <xsd:element ref="ns3:f4c29409d90b4a578b768720fd07bb93" minOccurs="0"/>
                <xsd:element ref="ns2:n5630a39299d49819c7e0406fbc52e67" minOccurs="0"/>
                <xsd:element ref="ns3:o370174a30b54570b9bc2a9201a399da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IMSFilesetOrganisationID" ma:index="9" nillable="true" ma:displayName="Fileset IMS Organisation ID" ma:internalName="IMSFilesetOrganisationID">
      <xsd:simpleType>
        <xsd:restriction base="dms:Text">
          <xsd:maxLength value="255"/>
        </xsd:restriction>
      </xsd:simpleType>
    </xsd:element>
    <xsd:element name="IMSOrganisationID" ma:index="10" nillable="true" ma:displayName="File IMS Organisation ID" ma:internalName="IMSOrganisationID">
      <xsd:simpleType>
        <xsd:restriction base="dms:Text">
          <xsd:maxLength value="255"/>
        </xsd:restriction>
      </xsd:simpleType>
    </xsd:element>
    <xsd:element name="Tag" ma:index="17" nillable="true" ma:displayName="Tag" ma:internalName="Tag">
      <xsd:simpleType>
        <xsd:restriction base="dms:Text">
          <xsd:maxLength value="255"/>
        </xsd:restriction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  <xsd:element name="b909c30f6af94f8daa4f6bc346664858" ma:index="21" nillable="true" ma:displayName="Filesearchkeywords_0" ma:hidden="true" ma:internalName="b909c30f6af94f8daa4f6bc346664858" ma:readOnly="false">
      <xsd:simpleType>
        <xsd:restriction base="dms:Note"/>
      </xsd:simpleType>
    </xsd:element>
    <xsd:element name="ded95d7ab059406991d558011d18c177" ma:index="30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f998abd3fd1d41029811a1917032a7bb" ma:index="32" nillable="true" ma:displayName="IMSProductType_0" ma:hidden="true" ma:internalName="f998abd3fd1d41029811a1917032a7bb" ma:readOnly="false">
      <xsd:simpleType>
        <xsd:restriction base="dms:Note"/>
      </xsd:simpleType>
    </xsd:element>
    <xsd:element name="ga500041e31e499bae0a2e3b28b012fb" ma:index="40" nillable="true" ma:displayName="IMSEntity_0" ma:hidden="true" ma:internalName="ga500041e31e499bae0a2e3b28b012fb" ma:readOnly="false">
      <xsd:simpleType>
        <xsd:restriction base="dms:Note"/>
      </xsd:simpleType>
    </xsd:element>
    <xsd:element name="n5630a39299d49819c7e0406fbc52e67" ma:index="43" nillable="true" ma:displayName="IMSDocumentType_0" ma:hidden="true" ma:internalName="n5630a39299d49819c7e0406fbc52e6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8409-2b3d-41a9-86ff-6de17ebba263" elementFormDefault="qualified">
    <xsd:import namespace="http://schemas.microsoft.com/office/2006/documentManagement/types"/>
    <xsd:import namespace="http://schemas.microsoft.com/office/infopath/2007/PartnerControls"/>
    <xsd:element name="p0defd040bb9426381491b2c186908cb" ma:index="23" ma:taxonomy="true" ma:internalName="p0defd040bb9426381491b2c186908cb" ma:taxonomyFieldName="SecurityClassification" ma:displayName="Security Classification" ma:default="6;#Sensitive|19fd2cb8-3e97-4464-ae71-8c2c2095d028" ma:fieldId="{90defd04-0bb9-4263-8149-1b2c186908cb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476fe0c25428da9d0464ead195eef" ma:index="24" nillable="true" ma:taxonomy="true" ma:internalName="hb3476fe0c25428da9d0464ead195eef" ma:taxonomyFieldName="IMSDocumentType" ma:displayName="IMS Document Type" ma:fieldId="{1b3476fe-0c25-428d-a9d0-464ead195eef}" ma:sspId="b38671ba-7d76-46f8-b8a5-5fc3a7d6229d" ma:termSetId="49658fea-027b-4427-8d41-db611e9ad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1ae816e01b4965a21cde6183109b29" ma:index="31" nillable="true" ma:taxonomy="true" ma:internalName="f51ae816e01b4965a21cde6183109b29" ma:taxonomyFieldName="File_x0020_search_x0020_keywords" ma:displayName="File search keywords" ma:readOnly="false" ma:fieldId="{f51ae816-e01b-4965-a21c-de6183109b29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1ba42a0f-8771-4b0a-aa2d-0ef4af23b252}" ma:internalName="TaxCatchAll" ma:showField="CatchAllData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c390b121b84919acb0b9151690da40" ma:index="37" nillable="true" ma:taxonomy="true" ma:internalName="k9c390b121b84919acb0b9151690da40" ma:taxonomyFieldName="Fileset_x0020_search_x0020_keywords" ma:displayName="Fileset search keywords" ma:readOnly="false" ma:fieldId="{49c390b1-21b8-4919-acb0-b9151690da40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4d001a78f4b1f81661dbc6638eecd" ma:index="39" nillable="true" ma:taxonomy="true" ma:internalName="n984d001a78f4b1f81661dbc6638eecd" ma:taxonomyFieldName="IMSEntity" ma:displayName="File IMS Entity" ma:default="" ma:fieldId="{7984d001-a78f-4b1f-8166-1dbc6638eecd}" ma:taxonomyMulti="true" ma:sspId="b38671ba-7d76-46f8-b8a5-5fc3a7d6229d" ma:termSetId="40156809-d0f5-45f9-b880-9371d52d72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4c29409d90b4a578b768720fd07bb93" ma:index="42" nillable="true" ma:taxonomy="true" ma:internalName="f4c29409d90b4a578b768720fd07bb93" ma:taxonomyFieldName="IMSProductType" ma:displayName="File IMS Product Type" ma:default="" ma:fieldId="{f4c29409-d90b-4a57-8b76-8720fd07bb93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70174a30b54570b9bc2a9201a399da" ma:index="44" nillable="true" ma:taxonomy="true" ma:internalName="o370174a30b54570b9bc2a9201a399da" ma:taxonomyFieldName="IMS_x0020_Precedent" ma:displayName="IMS Precedent" ma:readOnly="false" ma:fieldId="{8370174a-30b5-4570-b9bc-2a9201a399da}" ma:sspId="b38671ba-7d76-46f8-b8a5-5fc3a7d6229d" ma:termSetId="8c7e6307-f991-4b2f-967c-99c1c26b56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1ba42a0f-8771-4b0a-aa2d-0ef4af23b252}" ma:internalName="TaxCatchAllLabel" ma:readOnly="true" ma:showField="CatchAllDataLabel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8799-20dc-43fa-a7f5-120fca1d2db7" elementFormDefault="qualified">
    <xsd:import namespace="http://schemas.microsoft.com/office/2006/documentManagement/types"/>
    <xsd:import namespace="http://schemas.microsoft.com/office/infopath/2007/PartnerControls"/>
    <xsd:element name="j9a53d7fe1554b91b170ef98e3957baf" ma:index="33" nillable="true" ma:taxonomy="true" ma:internalName="j9a53d7fe1554b91b170ef98e3957baf" ma:taxonomyFieldName="IMSFilesetEntity" ma:displayName="Fileset IMS Entity" ma:default="" ma:fieldId="{39a53d7f-e155-4b91-b170-ef98e3957baf}" ma:taxonomyMulti="true" ma:sspId="b38671ba-7d76-46f8-b8a5-5fc3a7d6229d" ma:termSetId="40156809-d0f5-45f9-b880-9371d52d7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6af94617946d9813caf87b95826d7" ma:index="35" nillable="true" ma:taxonomy="true" ma:internalName="e3d6af94617946d9813caf87b95826d7" ma:taxonomyFieldName="IMSFilesetProductType" ma:displayName="Fileset IMS Product Type" ma:default="" ma:fieldId="{e3d6af94-6179-46d9-813c-af87b95826d7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EC853-D228-4394-93AA-5939BD9D5A36}"/>
</file>

<file path=customXml/itemProps2.xml><?xml version="1.0" encoding="utf-8"?>
<ds:datastoreItem xmlns:ds="http://schemas.openxmlformats.org/officeDocument/2006/customXml" ds:itemID="{88BB3486-D6C0-4B66-AC52-FA073692E100}"/>
</file>

<file path=customXml/itemProps3.xml><?xml version="1.0" encoding="utf-8"?>
<ds:datastoreItem xmlns:ds="http://schemas.openxmlformats.org/officeDocument/2006/customXml" ds:itemID="{3A3585FA-A5D3-4A1B-98CB-4344EA3A6A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thomas.hough</dc:creator>
  <cp:lastModifiedBy>thomas.hough</cp:lastModifiedBy>
  <cp:revision>5</cp:revision>
  <dcterms:created xsi:type="dcterms:W3CDTF">2016-06-22T04:23:00Z</dcterms:created>
  <dcterms:modified xsi:type="dcterms:W3CDTF">2016-06-22T05:03:00Z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0x010100B5F685A1365F544391EF8C813B164F3AC100B96475DE23F29F44A6FD58A31C00EB7B</vt:lpwstr>
  </property>
  <property fmtid="{D5CDD505-2E9C-101B-9397-08002B2CF9AE}" pid="3" name="File_x0020_search_x0020_keywords">
    <vt:lpwstr/>
  </property>
  <property fmtid="{D5CDD505-2E9C-101B-9397-08002B2CF9AE}" pid="4" name="IMS_x0020_Precedent">
    <vt:lpwstr/>
  </property>
  <property fmtid="{D5CDD505-2E9C-101B-9397-08002B2CF9AE}" pid="5" name="IMSEntity">
    <vt:lpwstr/>
  </property>
  <property fmtid="{D5CDD505-2E9C-101B-9397-08002B2CF9AE}" pid="6" name="Fileset search keywords">
    <vt:lpwstr/>
  </property>
  <property fmtid="{D5CDD505-2E9C-101B-9397-08002B2CF9AE}" pid="7" name="SecurityClassification">
    <vt:lpwstr>6;#Sensitive|19fd2cb8-3e97-4464-ae71-8c2c2095d028</vt:lpwstr>
  </property>
  <property fmtid="{D5CDD505-2E9C-101B-9397-08002B2CF9AE}" pid="8" name="IMSDocumentType">
    <vt:lpwstr/>
  </property>
  <property fmtid="{D5CDD505-2E9C-101B-9397-08002B2CF9AE}" pid="9" name="RecordPoint_WorkflowType">
    <vt:lpwstr>ActiveSubmitStub</vt:lpwstr>
  </property>
  <property fmtid="{D5CDD505-2E9C-101B-9397-08002B2CF9AE}" pid="10" name="IMSFilesetEntity">
    <vt:lpwstr/>
  </property>
  <property fmtid="{D5CDD505-2E9C-101B-9397-08002B2CF9AE}" pid="11" name="IMSProductType">
    <vt:lpwstr/>
  </property>
  <property fmtid="{D5CDD505-2E9C-101B-9397-08002B2CF9AE}" pid="12" name="RecordPoint_ActiveItemUniqueId">
    <vt:lpwstr>{dee930f3-92d7-4278-892d-1ae73ad53105}</vt:lpwstr>
  </property>
  <property fmtid="{D5CDD505-2E9C-101B-9397-08002B2CF9AE}" pid="13" name="IMSFilesetProductType">
    <vt:lpwstr/>
  </property>
  <property fmtid="{D5CDD505-2E9C-101B-9397-08002B2CF9AE}" pid="14" name="File search keywords">
    <vt:lpwstr/>
  </property>
  <property fmtid="{D5CDD505-2E9C-101B-9397-08002B2CF9AE}" pid="15" name="IMS Precedent">
    <vt:lpwstr/>
  </property>
  <property fmtid="{D5CDD505-2E9C-101B-9397-08002B2CF9AE}" pid="16" name="RecordPoint_ActiveItemWebId">
    <vt:lpwstr>{e61c8409-2b3d-41a9-86ff-6de17ebba263}</vt:lpwstr>
  </property>
  <property fmtid="{D5CDD505-2E9C-101B-9397-08002B2CF9AE}" pid="17" name="RecordPoint_ActiveItemSiteId">
    <vt:lpwstr>{7c55c358-5415-4198-9ede-08a0775024ad}</vt:lpwstr>
  </property>
  <property fmtid="{D5CDD505-2E9C-101B-9397-08002B2CF9AE}" pid="18" name="RecordPoint_ActiveItemListId">
    <vt:lpwstr>{0ac98799-20dc-43fa-a7f5-120fca1d2db7}</vt:lpwstr>
  </property>
</Properties>
</file>