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A6" w:rsidRPr="002D2309" w:rsidRDefault="00BF50A6" w:rsidP="00E93D6E">
      <w:pPr>
        <w:pStyle w:val="LDClauseHeading"/>
        <w:spacing w:before="0"/>
        <w:rPr>
          <w:color w:val="000000" w:themeColor="text1"/>
        </w:rPr>
      </w:pPr>
      <w:r w:rsidRPr="002D2309">
        <w:rPr>
          <w:color w:val="000000" w:themeColor="text1"/>
        </w:rPr>
        <w:t>Explanatory Statement</w:t>
      </w:r>
    </w:p>
    <w:p w:rsidR="00D13891" w:rsidRPr="002D2309" w:rsidRDefault="00D13891" w:rsidP="00D13891">
      <w:pPr>
        <w:pStyle w:val="LDClauseHeading"/>
        <w:spacing w:before="140" w:after="40"/>
        <w:rPr>
          <w:color w:val="000000" w:themeColor="text1"/>
        </w:rPr>
      </w:pPr>
      <w:r w:rsidRPr="002D2309">
        <w:rPr>
          <w:color w:val="000000" w:themeColor="text1"/>
        </w:rPr>
        <w:t>Civil Aviation Safety Regulations 1998</w:t>
      </w:r>
    </w:p>
    <w:p w:rsidR="00BF50A6" w:rsidRPr="002D2309" w:rsidRDefault="005B1774" w:rsidP="00001E6F">
      <w:pPr>
        <w:pStyle w:val="LDClauseHeading"/>
        <w:tabs>
          <w:tab w:val="clear" w:pos="737"/>
          <w:tab w:val="left" w:pos="0"/>
        </w:tabs>
        <w:spacing w:before="140" w:after="40"/>
        <w:ind w:left="0" w:firstLine="0"/>
        <w:rPr>
          <w:color w:val="000000" w:themeColor="text1"/>
        </w:rPr>
      </w:pPr>
      <w:bookmarkStart w:id="0" w:name="_GoBack"/>
      <w:r>
        <w:t>Exemption</w:t>
      </w:r>
      <w:r>
        <w:rPr>
          <w:rFonts w:cs="Arial"/>
        </w:rPr>
        <w:t xml:space="preserve"> – Cessna 100 series aircraft operated in the private category – extension of </w:t>
      </w:r>
      <w:r w:rsidRPr="004F53AE">
        <w:rPr>
          <w:rFonts w:cs="Arial"/>
        </w:rPr>
        <w:t>Supplemental Inspection Document requirements</w:t>
      </w:r>
      <w:bookmarkEnd w:id="0"/>
    </w:p>
    <w:p w:rsidR="008F638C" w:rsidRPr="002D2309" w:rsidRDefault="008F638C" w:rsidP="008F638C">
      <w:pPr>
        <w:ind w:right="431"/>
        <w:rPr>
          <w:b/>
          <w:color w:val="000000" w:themeColor="text1"/>
        </w:rPr>
      </w:pPr>
    </w:p>
    <w:p w:rsidR="008F638C" w:rsidRPr="002D2309" w:rsidRDefault="008F638C" w:rsidP="008F638C">
      <w:pPr>
        <w:ind w:right="431"/>
        <w:rPr>
          <w:b/>
          <w:color w:val="000000" w:themeColor="text1"/>
        </w:rPr>
      </w:pPr>
      <w:r w:rsidRPr="002D2309">
        <w:rPr>
          <w:b/>
          <w:color w:val="000000" w:themeColor="text1"/>
        </w:rPr>
        <w:t>Legislation</w:t>
      </w:r>
    </w:p>
    <w:p w:rsidR="00256CF0" w:rsidRPr="002D2309" w:rsidRDefault="008F638C" w:rsidP="00F70AC8">
      <w:pPr>
        <w:rPr>
          <w:color w:val="000000" w:themeColor="text1"/>
          <w:lang w:eastAsia="en-US"/>
        </w:rPr>
      </w:pPr>
      <w:r w:rsidRPr="002D2309">
        <w:rPr>
          <w:color w:val="000000" w:themeColor="text1"/>
        </w:rPr>
        <w:t xml:space="preserve">Section 98 of the </w:t>
      </w:r>
      <w:r w:rsidRPr="002D2309">
        <w:rPr>
          <w:i/>
          <w:color w:val="000000" w:themeColor="text1"/>
        </w:rPr>
        <w:t>Civil Aviation Act 1988</w:t>
      </w:r>
      <w:r w:rsidRPr="002D2309">
        <w:rPr>
          <w:color w:val="000000" w:themeColor="text1"/>
        </w:rPr>
        <w:t xml:space="preserve"> </w:t>
      </w:r>
      <w:r w:rsidR="005E0B4F" w:rsidRPr="002D2309">
        <w:rPr>
          <w:color w:val="000000" w:themeColor="text1"/>
        </w:rPr>
        <w:t xml:space="preserve">(the </w:t>
      </w:r>
      <w:r w:rsidR="005E0B4F" w:rsidRPr="002D2309">
        <w:rPr>
          <w:b/>
          <w:i/>
          <w:color w:val="000000" w:themeColor="text1"/>
        </w:rPr>
        <w:t>Act</w:t>
      </w:r>
      <w:r w:rsidR="005E0B4F" w:rsidRPr="002D2309">
        <w:rPr>
          <w:color w:val="000000" w:themeColor="text1"/>
        </w:rPr>
        <w:t xml:space="preserve">) </w:t>
      </w:r>
      <w:r w:rsidRPr="002D2309">
        <w:rPr>
          <w:color w:val="000000" w:themeColor="text1"/>
        </w:rPr>
        <w:t>empowers the Governor-General to make regulations.</w:t>
      </w:r>
      <w:r w:rsidR="00F70AC8">
        <w:rPr>
          <w:color w:val="000000" w:themeColor="text1"/>
        </w:rPr>
        <w:t xml:space="preserve"> </w:t>
      </w:r>
      <w:r w:rsidR="00256CF0" w:rsidRPr="002D2309">
        <w:rPr>
          <w:color w:val="000000" w:themeColor="text1"/>
          <w:lang w:eastAsia="en-US"/>
        </w:rPr>
        <w:t xml:space="preserve">Subregulation 11.160 (1) of the </w:t>
      </w:r>
      <w:r w:rsidR="00256CF0" w:rsidRPr="002D2309">
        <w:rPr>
          <w:i/>
          <w:color w:val="000000" w:themeColor="text1"/>
          <w:lang w:eastAsia="en-US"/>
        </w:rPr>
        <w:t xml:space="preserve">Civil Aviation Safety Regulations 1998 </w:t>
      </w:r>
      <w:r w:rsidR="00256CF0" w:rsidRPr="002D2309">
        <w:rPr>
          <w:color w:val="000000" w:themeColor="text1"/>
          <w:lang w:eastAsia="en-US"/>
        </w:rPr>
        <w:t>(</w:t>
      </w:r>
      <w:r w:rsidR="00256CF0" w:rsidRPr="002D2309">
        <w:rPr>
          <w:b/>
          <w:i/>
          <w:color w:val="000000" w:themeColor="text1"/>
          <w:lang w:eastAsia="en-US"/>
        </w:rPr>
        <w:t>CASR 1998</w:t>
      </w:r>
      <w:r w:rsidR="00256CF0" w:rsidRPr="002D2309">
        <w:rPr>
          <w:color w:val="000000" w:themeColor="text1"/>
          <w:lang w:eastAsia="en-US"/>
        </w:rPr>
        <w:t>) provides that, for subsection 98 (5A)</w:t>
      </w:r>
      <w:r w:rsidR="001540AF" w:rsidRPr="002D2309">
        <w:rPr>
          <w:color w:val="000000" w:themeColor="text1"/>
          <w:lang w:eastAsia="en-US"/>
        </w:rPr>
        <w:t xml:space="preserve"> of the Act</w:t>
      </w:r>
      <w:r w:rsidR="00256CF0" w:rsidRPr="002D2309">
        <w:rPr>
          <w:color w:val="000000" w:themeColor="text1"/>
          <w:lang w:eastAsia="en-US"/>
        </w:rPr>
        <w:t xml:space="preserve">, CASA may grant an exemption from a provision of the Regulations, including the </w:t>
      </w:r>
      <w:r w:rsidR="00256CF0" w:rsidRPr="002D2309">
        <w:rPr>
          <w:i/>
          <w:color w:val="000000" w:themeColor="text1"/>
          <w:lang w:eastAsia="en-US"/>
        </w:rPr>
        <w:t>Civil Aviation Regulations 1988</w:t>
      </w:r>
      <w:r w:rsidR="00256CF0" w:rsidRPr="002D2309">
        <w:rPr>
          <w:color w:val="000000" w:themeColor="text1"/>
          <w:lang w:eastAsia="en-US"/>
        </w:rPr>
        <w:t xml:space="preserve"> (</w:t>
      </w:r>
      <w:r w:rsidR="00256CF0" w:rsidRPr="002D2309">
        <w:rPr>
          <w:b/>
          <w:i/>
          <w:color w:val="000000" w:themeColor="text1"/>
          <w:lang w:eastAsia="en-US"/>
        </w:rPr>
        <w:t>CAR 1988</w:t>
      </w:r>
      <w:r w:rsidR="00256CF0" w:rsidRPr="002D2309">
        <w:rPr>
          <w:color w:val="000000" w:themeColor="text1"/>
          <w:lang w:eastAsia="en-US"/>
        </w:rPr>
        <w:t>) or a provision of the Civil Aviation Orders</w:t>
      </w:r>
      <w:r w:rsidR="00D13891" w:rsidRPr="002D2309">
        <w:rPr>
          <w:color w:val="000000" w:themeColor="text1"/>
          <w:lang w:eastAsia="en-US"/>
        </w:rPr>
        <w:t xml:space="preserve"> (the </w:t>
      </w:r>
      <w:r w:rsidR="00D13891" w:rsidRPr="002D2309">
        <w:rPr>
          <w:b/>
          <w:i/>
          <w:color w:val="000000" w:themeColor="text1"/>
          <w:lang w:eastAsia="en-US"/>
        </w:rPr>
        <w:t>CAOs</w:t>
      </w:r>
      <w:r w:rsidR="00D13891" w:rsidRPr="002D2309">
        <w:rPr>
          <w:color w:val="000000" w:themeColor="text1"/>
          <w:lang w:eastAsia="en-US"/>
        </w:rPr>
        <w:t>)</w:t>
      </w:r>
      <w:r w:rsidR="00256CF0" w:rsidRPr="002D2309">
        <w:rPr>
          <w:color w:val="000000" w:themeColor="text1"/>
          <w:lang w:eastAsia="en-US"/>
        </w:rPr>
        <w:t xml:space="preserve">, in relation to a matter mentioned in that subsection. Under subregulation 11.160 (2), an exemption may be granted to a person, or to a class of persons, and may specify the class by reference to membership of a specified body or any other characteristic. </w:t>
      </w:r>
    </w:p>
    <w:p w:rsidR="00256CF0" w:rsidRPr="002D2309" w:rsidRDefault="00256CF0" w:rsidP="00256CF0">
      <w:pPr>
        <w:tabs>
          <w:tab w:val="left" w:pos="567"/>
        </w:tabs>
        <w:overflowPunct w:val="0"/>
        <w:autoSpaceDE w:val="0"/>
        <w:autoSpaceDN w:val="0"/>
        <w:adjustRightInd w:val="0"/>
        <w:textAlignment w:val="baseline"/>
        <w:rPr>
          <w:color w:val="000000" w:themeColor="text1"/>
          <w:lang w:eastAsia="en-US"/>
        </w:rPr>
      </w:pPr>
    </w:p>
    <w:p w:rsidR="00256CF0" w:rsidRPr="002D2309" w:rsidRDefault="00256CF0" w:rsidP="00256CF0">
      <w:pPr>
        <w:tabs>
          <w:tab w:val="left" w:pos="567"/>
        </w:tabs>
        <w:overflowPunct w:val="0"/>
        <w:autoSpaceDE w:val="0"/>
        <w:autoSpaceDN w:val="0"/>
        <w:adjustRightInd w:val="0"/>
        <w:textAlignment w:val="baseline"/>
        <w:rPr>
          <w:color w:val="000000" w:themeColor="text1"/>
          <w:lang w:eastAsia="en-US"/>
        </w:rPr>
      </w:pPr>
      <w:r w:rsidRPr="002D2309">
        <w:rPr>
          <w:color w:val="000000" w:themeColor="text1"/>
          <w:lang w:eastAsia="en-US"/>
        </w:rPr>
        <w:t>Under subregulation 11.205 (1) of CASR 1998, CASA may impose conditions on an exemption if this is necessary in the interests of the safety of air navigation. Under regulation 11.225 of CASR 1998, an exemption must be published on the Internet. Under subregulation 11.230 (1), an exemption ceases on the day specified within it (but no longer than 3 years after its commencement) or, if no day is specified, 3 years after commencement.</w:t>
      </w:r>
    </w:p>
    <w:p w:rsidR="00256CF0" w:rsidRPr="007C200C" w:rsidRDefault="00256CF0" w:rsidP="00256CF0">
      <w:pPr>
        <w:tabs>
          <w:tab w:val="left" w:pos="567"/>
        </w:tabs>
        <w:overflowPunct w:val="0"/>
        <w:autoSpaceDE w:val="0"/>
        <w:autoSpaceDN w:val="0"/>
        <w:adjustRightInd w:val="0"/>
        <w:textAlignment w:val="baseline"/>
        <w:rPr>
          <w:color w:val="000000" w:themeColor="text1"/>
          <w:lang w:eastAsia="en-US"/>
        </w:rPr>
      </w:pPr>
    </w:p>
    <w:p w:rsidR="000E0AC3" w:rsidRDefault="008F638C" w:rsidP="00CD2577">
      <w:pPr>
        <w:ind w:right="-198"/>
        <w:rPr>
          <w:color w:val="000000" w:themeColor="text1"/>
        </w:rPr>
      </w:pPr>
      <w:r w:rsidRPr="002D2309">
        <w:rPr>
          <w:color w:val="000000" w:themeColor="text1"/>
        </w:rPr>
        <w:t>The instrument provides</w:t>
      </w:r>
      <w:r w:rsidR="0022528E">
        <w:rPr>
          <w:color w:val="000000" w:themeColor="text1"/>
        </w:rPr>
        <w:t xml:space="preserve"> an </w:t>
      </w:r>
      <w:r w:rsidRPr="002D2309">
        <w:rPr>
          <w:color w:val="000000" w:themeColor="text1"/>
        </w:rPr>
        <w:t xml:space="preserve">exemption </w:t>
      </w:r>
      <w:r w:rsidR="0022528E">
        <w:rPr>
          <w:color w:val="000000" w:themeColor="text1"/>
        </w:rPr>
        <w:t xml:space="preserve">from </w:t>
      </w:r>
      <w:r w:rsidR="00116080" w:rsidRPr="002D2309">
        <w:rPr>
          <w:color w:val="000000" w:themeColor="text1"/>
        </w:rPr>
        <w:t xml:space="preserve">regulation </w:t>
      </w:r>
      <w:r w:rsidR="00F70AC8">
        <w:rPr>
          <w:color w:val="000000" w:themeColor="text1"/>
        </w:rPr>
        <w:t>41</w:t>
      </w:r>
      <w:r w:rsidR="0022528E">
        <w:rPr>
          <w:color w:val="000000" w:themeColor="text1"/>
        </w:rPr>
        <w:t xml:space="preserve"> of CAR 1988</w:t>
      </w:r>
      <w:r w:rsidRPr="002D2309">
        <w:rPr>
          <w:color w:val="000000" w:themeColor="text1"/>
        </w:rPr>
        <w:t>,</w:t>
      </w:r>
      <w:r w:rsidR="00A16397">
        <w:rPr>
          <w:color w:val="000000" w:themeColor="text1"/>
        </w:rPr>
        <w:t xml:space="preserve"> </w:t>
      </w:r>
      <w:r w:rsidR="00F70AC8">
        <w:rPr>
          <w:color w:val="000000" w:themeColor="text1"/>
        </w:rPr>
        <w:t>which requires that the holder of the certificate of registration for an aircraft must ensure that all maintenance required to be carried out, is carried out when required by the aircraft’s maintenance schedule. The effect of the exemption is to delay</w:t>
      </w:r>
      <w:r w:rsidR="00194282" w:rsidRPr="002D2309">
        <w:rPr>
          <w:color w:val="000000" w:themeColor="text1"/>
        </w:rPr>
        <w:t xml:space="preserve"> </w:t>
      </w:r>
      <w:r w:rsidR="009C390B">
        <w:rPr>
          <w:color w:val="000000" w:themeColor="text1"/>
        </w:rPr>
        <w:t>Supplemental Inspection Documents (</w:t>
      </w:r>
      <w:r w:rsidR="00194282" w:rsidRPr="009C390B">
        <w:rPr>
          <w:b/>
          <w:i/>
          <w:color w:val="000000" w:themeColor="text1"/>
        </w:rPr>
        <w:t>SIDs</w:t>
      </w:r>
      <w:r w:rsidR="009C390B">
        <w:rPr>
          <w:color w:val="000000" w:themeColor="text1"/>
        </w:rPr>
        <w:t>)</w:t>
      </w:r>
      <w:r w:rsidR="00194282" w:rsidRPr="002D2309">
        <w:rPr>
          <w:color w:val="000000" w:themeColor="text1"/>
        </w:rPr>
        <w:t xml:space="preserve"> </w:t>
      </w:r>
      <w:r w:rsidR="00201FC8">
        <w:rPr>
          <w:color w:val="000000" w:themeColor="text1"/>
        </w:rPr>
        <w:t xml:space="preserve">inspections </w:t>
      </w:r>
      <w:r w:rsidR="00F70AC8">
        <w:rPr>
          <w:color w:val="000000" w:themeColor="text1"/>
        </w:rPr>
        <w:t>until June 2018</w:t>
      </w:r>
      <w:r w:rsidR="009C390B">
        <w:rPr>
          <w:color w:val="000000" w:themeColor="text1"/>
        </w:rPr>
        <w:t>.</w:t>
      </w:r>
      <w:r w:rsidR="002973AE" w:rsidRPr="002D2309">
        <w:rPr>
          <w:color w:val="000000" w:themeColor="text1"/>
        </w:rPr>
        <w:t xml:space="preserve"> </w:t>
      </w:r>
    </w:p>
    <w:p w:rsidR="00F70AC8" w:rsidRDefault="00F70AC8" w:rsidP="00F70AC8">
      <w:pPr>
        <w:ind w:right="-198"/>
        <w:rPr>
          <w:color w:val="000000" w:themeColor="text1"/>
        </w:rPr>
      </w:pPr>
    </w:p>
    <w:p w:rsidR="00F70AC8" w:rsidRDefault="00F70AC8" w:rsidP="00CD2577">
      <w:pPr>
        <w:ind w:right="-198"/>
      </w:pPr>
      <w:r>
        <w:t>The exemption is subject to conditions. T</w:t>
      </w:r>
      <w:r w:rsidRPr="00F70AC8">
        <w:t xml:space="preserve">he holder of the certification of registration </w:t>
      </w:r>
      <w:r>
        <w:t xml:space="preserve">will need to establish from the maintenance records or by inspection, what SIDs tasks and structural inspections have been previously performed and what tasks are outstanding. They will also need to ensure that the aircraft’s Principal Structural Elements, have been visually inspected in accordance with the SIDs or the applicable Maintenance Schedule for the aircraft at its most recent periodic/ 100 hourly inspection. If there is any uncertainty as to whether that inspection was fully performed the PSE must be inspected before 30 June 2016 or before further flight after that date. This will ensure a satisfactory level of structural integrity is apparent in the airframe, to the satisfaction of the certifying aircraft engineer. </w:t>
      </w:r>
    </w:p>
    <w:p w:rsidR="00F70AC8" w:rsidRDefault="00F70AC8" w:rsidP="00F70AC8">
      <w:pPr>
        <w:ind w:right="-198"/>
      </w:pPr>
    </w:p>
    <w:p w:rsidR="00F70AC8" w:rsidRPr="00E94176" w:rsidRDefault="00F70AC8" w:rsidP="00F70AC8">
      <w:pPr>
        <w:ind w:right="-198"/>
      </w:pPr>
      <w:r>
        <w:t>Finally, a written SIDs compliance plan will need to be developed by 30 June 2016, which requires all applicable SIDs requirements to be completed by 30 June 2018.</w:t>
      </w:r>
    </w:p>
    <w:p w:rsidR="000E0AC3" w:rsidRDefault="000E0AC3" w:rsidP="00747582">
      <w:pPr>
        <w:keepNext/>
        <w:rPr>
          <w:b/>
          <w:color w:val="000000" w:themeColor="text1"/>
        </w:rPr>
      </w:pPr>
    </w:p>
    <w:p w:rsidR="00483AF3" w:rsidRPr="002D2309" w:rsidRDefault="00483AF3" w:rsidP="00747582">
      <w:pPr>
        <w:keepNext/>
        <w:rPr>
          <w:b/>
          <w:color w:val="000000" w:themeColor="text1"/>
        </w:rPr>
      </w:pPr>
      <w:r w:rsidRPr="002D2309">
        <w:rPr>
          <w:b/>
          <w:color w:val="000000" w:themeColor="text1"/>
        </w:rPr>
        <w:t>Legislative Instruments Act</w:t>
      </w:r>
    </w:p>
    <w:p w:rsidR="00483AF3" w:rsidRPr="002D2309" w:rsidRDefault="00483AF3" w:rsidP="00DC29BA">
      <w:pPr>
        <w:keepNext/>
        <w:rPr>
          <w:color w:val="000000" w:themeColor="text1"/>
        </w:rPr>
      </w:pPr>
      <w:r w:rsidRPr="002D2309">
        <w:rPr>
          <w:color w:val="000000" w:themeColor="text1"/>
        </w:rPr>
        <w:t xml:space="preserve">Subsection 98 (5AA) of the Act states that an instrument issued under paragraph 98 (5A) (a) is a legislative instrument if it applies to a class of persons or a class of aircraft. This exemption applies to a class of aircraft and classes of persons and is accordingly a legislative instrument. As a legislative instrument, it is subject to tabling and disallowance in the Parliament under sections 38 and 42 of the </w:t>
      </w:r>
      <w:r w:rsidRPr="002D2309">
        <w:rPr>
          <w:i/>
          <w:color w:val="000000" w:themeColor="text1"/>
        </w:rPr>
        <w:t>Legisla</w:t>
      </w:r>
      <w:r w:rsidR="00DC29BA">
        <w:rPr>
          <w:i/>
          <w:color w:val="000000" w:themeColor="text1"/>
        </w:rPr>
        <w:t xml:space="preserve">tion </w:t>
      </w:r>
      <w:r w:rsidRPr="002D2309">
        <w:rPr>
          <w:i/>
          <w:color w:val="000000" w:themeColor="text1"/>
        </w:rPr>
        <w:t>Act 2003</w:t>
      </w:r>
      <w:r w:rsidRPr="002D2309">
        <w:rPr>
          <w:color w:val="000000" w:themeColor="text1"/>
        </w:rPr>
        <w:t xml:space="preserve"> (the </w:t>
      </w:r>
      <w:r w:rsidRPr="002D2309">
        <w:rPr>
          <w:b/>
          <w:i/>
          <w:color w:val="000000" w:themeColor="text1"/>
        </w:rPr>
        <w:t>LA</w:t>
      </w:r>
      <w:r w:rsidRPr="002D2309">
        <w:rPr>
          <w:color w:val="000000" w:themeColor="text1"/>
        </w:rPr>
        <w:t>).</w:t>
      </w:r>
    </w:p>
    <w:p w:rsidR="00F70AC8" w:rsidRDefault="00F70AC8" w:rsidP="00F70AC8">
      <w:pPr>
        <w:rPr>
          <w:b/>
          <w:color w:val="000000" w:themeColor="text1"/>
        </w:rPr>
      </w:pPr>
    </w:p>
    <w:p w:rsidR="00BF50A6" w:rsidRDefault="00BF50A6" w:rsidP="005B1774">
      <w:pPr>
        <w:keepNext/>
        <w:rPr>
          <w:b/>
          <w:color w:val="000000" w:themeColor="text1"/>
        </w:rPr>
      </w:pPr>
      <w:r w:rsidRPr="002D2309">
        <w:rPr>
          <w:b/>
          <w:color w:val="000000" w:themeColor="text1"/>
        </w:rPr>
        <w:lastRenderedPageBreak/>
        <w:t>Consultation</w:t>
      </w:r>
    </w:p>
    <w:p w:rsidR="00DC29BA" w:rsidRPr="00DC29BA" w:rsidRDefault="00DC29BA" w:rsidP="00DC29BA">
      <w:pPr>
        <w:rPr>
          <w:i/>
          <w:iCs/>
          <w:color w:val="000000" w:themeColor="text1"/>
        </w:rPr>
      </w:pPr>
      <w:r>
        <w:rPr>
          <w:color w:val="000000" w:themeColor="text1"/>
        </w:rPr>
        <w:t xml:space="preserve">Section 17(2) of the LA states </w:t>
      </w:r>
      <w:r w:rsidRPr="00DC29BA">
        <w:rPr>
          <w:color w:val="000000" w:themeColor="text1"/>
        </w:rPr>
        <w:t xml:space="preserve">(2)  </w:t>
      </w:r>
      <w:r w:rsidRPr="00DC29BA">
        <w:rPr>
          <w:i/>
          <w:iCs/>
          <w:color w:val="000000" w:themeColor="text1"/>
        </w:rPr>
        <w:t>In determining whether any consultation that was undertaken is appropriate, the rule-maker may have regard to any relevant matter, including the ex</w:t>
      </w:r>
      <w:r w:rsidR="005B1774">
        <w:rPr>
          <w:i/>
          <w:iCs/>
          <w:color w:val="000000" w:themeColor="text1"/>
        </w:rPr>
        <w:t>tent to which the consultation:</w:t>
      </w:r>
    </w:p>
    <w:p w:rsidR="00DC29BA" w:rsidRPr="00DC29BA" w:rsidRDefault="00DC29BA" w:rsidP="005B1774">
      <w:pPr>
        <w:tabs>
          <w:tab w:val="left" w:pos="567"/>
        </w:tabs>
        <w:ind w:left="567" w:hanging="567"/>
        <w:rPr>
          <w:i/>
          <w:iCs/>
          <w:color w:val="000000" w:themeColor="text1"/>
        </w:rPr>
      </w:pPr>
      <w:r w:rsidRPr="00DC29BA">
        <w:rPr>
          <w:i/>
          <w:iCs/>
          <w:color w:val="000000" w:themeColor="text1"/>
        </w:rPr>
        <w:t>(a)</w:t>
      </w:r>
      <w:r w:rsidR="005B1774">
        <w:rPr>
          <w:i/>
          <w:iCs/>
          <w:color w:val="000000" w:themeColor="text1"/>
        </w:rPr>
        <w:tab/>
      </w:r>
      <w:proofErr w:type="gramStart"/>
      <w:r w:rsidRPr="00DC29BA">
        <w:rPr>
          <w:i/>
          <w:iCs/>
          <w:color w:val="000000" w:themeColor="text1"/>
        </w:rPr>
        <w:t>drew</w:t>
      </w:r>
      <w:proofErr w:type="gramEnd"/>
      <w:r w:rsidRPr="00DC29BA">
        <w:rPr>
          <w:i/>
          <w:iCs/>
          <w:color w:val="000000" w:themeColor="text1"/>
        </w:rPr>
        <w:t xml:space="preserve"> on the knowledge of persons having expertise in fields relevant to the proposed instrument; and </w:t>
      </w:r>
    </w:p>
    <w:p w:rsidR="00DC29BA" w:rsidRPr="00DC29BA" w:rsidRDefault="00DC29BA" w:rsidP="005B1774">
      <w:pPr>
        <w:tabs>
          <w:tab w:val="left" w:pos="567"/>
        </w:tabs>
        <w:ind w:left="567" w:hanging="567"/>
        <w:rPr>
          <w:i/>
          <w:iCs/>
          <w:color w:val="000000" w:themeColor="text1"/>
        </w:rPr>
      </w:pPr>
      <w:r w:rsidRPr="00DC29BA">
        <w:rPr>
          <w:i/>
          <w:iCs/>
          <w:color w:val="000000" w:themeColor="text1"/>
        </w:rPr>
        <w:t>(b)</w:t>
      </w:r>
      <w:r w:rsidR="005B1774">
        <w:rPr>
          <w:i/>
          <w:iCs/>
          <w:color w:val="000000" w:themeColor="text1"/>
        </w:rPr>
        <w:tab/>
      </w:r>
      <w:proofErr w:type="gramStart"/>
      <w:r w:rsidRPr="00DC29BA">
        <w:rPr>
          <w:i/>
          <w:iCs/>
          <w:color w:val="000000" w:themeColor="text1"/>
        </w:rPr>
        <w:t>ensured</w:t>
      </w:r>
      <w:proofErr w:type="gramEnd"/>
      <w:r w:rsidRPr="00DC29BA">
        <w:rPr>
          <w:i/>
          <w:iCs/>
          <w:color w:val="000000" w:themeColor="text1"/>
        </w:rPr>
        <w:t xml:space="preserve"> that persons likely to be affected by the proposed instrument had an adequate opportunity to comment on its proposed content.</w:t>
      </w:r>
    </w:p>
    <w:p w:rsidR="00DC29BA" w:rsidRDefault="00DC29BA" w:rsidP="00DC29BA">
      <w:pPr>
        <w:rPr>
          <w:color w:val="000000" w:themeColor="text1"/>
        </w:rPr>
      </w:pPr>
    </w:p>
    <w:p w:rsidR="00DC29BA" w:rsidRDefault="00DC29BA" w:rsidP="00DC29BA">
      <w:pPr>
        <w:rPr>
          <w:color w:val="000000" w:themeColor="text1"/>
        </w:rPr>
      </w:pPr>
      <w:r>
        <w:rPr>
          <w:color w:val="000000" w:themeColor="text1"/>
        </w:rPr>
        <w:t xml:space="preserve">On 7 June 2016, CASA consulted with a number of chief engineers of maintenance organisations about the exemption. They represented a significant proportion of owners of affected aircraft as well as aircraft maintainers who have been performing SIDS inspections. </w:t>
      </w:r>
    </w:p>
    <w:p w:rsidR="00C96FCC" w:rsidRPr="002D2309" w:rsidRDefault="00C96FCC" w:rsidP="00BD5874">
      <w:pPr>
        <w:rPr>
          <w:color w:val="000000" w:themeColor="text1"/>
        </w:rPr>
      </w:pPr>
    </w:p>
    <w:p w:rsidR="001C568D" w:rsidRPr="002D2309" w:rsidRDefault="001C568D" w:rsidP="001C568D">
      <w:pPr>
        <w:keepNext/>
        <w:rPr>
          <w:color w:val="000000" w:themeColor="text1"/>
          <w:lang w:eastAsia="en-US"/>
        </w:rPr>
      </w:pPr>
      <w:r w:rsidRPr="002D2309">
        <w:rPr>
          <w:b/>
          <w:iCs/>
          <w:color w:val="000000" w:themeColor="text1"/>
          <w:lang w:eastAsia="en-US"/>
        </w:rPr>
        <w:t>Statement of Compatibility with Human Rights</w:t>
      </w:r>
    </w:p>
    <w:p w:rsidR="001C568D" w:rsidRPr="002D2309" w:rsidRDefault="001C568D" w:rsidP="001C568D">
      <w:pPr>
        <w:rPr>
          <w:color w:val="000000" w:themeColor="text1"/>
        </w:rPr>
      </w:pPr>
      <w:r w:rsidRPr="002D2309">
        <w:rPr>
          <w:color w:val="000000" w:themeColor="text1"/>
        </w:rPr>
        <w:t>A Statement of Compatibility with Human Rights is at Attachment 1.</w:t>
      </w:r>
    </w:p>
    <w:p w:rsidR="00BD79E3" w:rsidRPr="002D2309" w:rsidRDefault="00BD79E3" w:rsidP="001C568D">
      <w:pPr>
        <w:rPr>
          <w:color w:val="000000" w:themeColor="text1"/>
        </w:rPr>
      </w:pPr>
    </w:p>
    <w:p w:rsidR="00BD79E3" w:rsidRPr="002D2309" w:rsidRDefault="00BD79E3" w:rsidP="00BD79E3">
      <w:pPr>
        <w:outlineLvl w:val="0"/>
        <w:rPr>
          <w:b/>
          <w:color w:val="000000" w:themeColor="text1"/>
        </w:rPr>
      </w:pPr>
      <w:r w:rsidRPr="002D2309">
        <w:rPr>
          <w:b/>
          <w:color w:val="000000" w:themeColor="text1"/>
        </w:rPr>
        <w:t>Office of Best Practice Regulation (</w:t>
      </w:r>
      <w:r w:rsidRPr="002D2309">
        <w:rPr>
          <w:b/>
          <w:i/>
          <w:color w:val="000000" w:themeColor="text1"/>
        </w:rPr>
        <w:t>OBPR</w:t>
      </w:r>
      <w:r w:rsidRPr="002D2309">
        <w:rPr>
          <w:b/>
          <w:color w:val="000000" w:themeColor="text1"/>
        </w:rPr>
        <w:t>)</w:t>
      </w:r>
    </w:p>
    <w:p w:rsidR="00BD79E3" w:rsidRDefault="00BD79E3" w:rsidP="00BD79E3">
      <w:pPr>
        <w:pStyle w:val="LDBodytext"/>
        <w:rPr>
          <w:color w:val="000000" w:themeColor="text1"/>
          <w:lang w:val="en"/>
        </w:rPr>
      </w:pPr>
      <w:r w:rsidRPr="002D2309">
        <w:rPr>
          <w:color w:val="000000" w:themeColor="text1"/>
        </w:rPr>
        <w:t>A Regulation Impact Statement (</w:t>
      </w:r>
      <w:r w:rsidRPr="002D2309">
        <w:rPr>
          <w:b/>
          <w:i/>
          <w:color w:val="000000" w:themeColor="text1"/>
        </w:rPr>
        <w:t>RIS</w:t>
      </w:r>
      <w:r w:rsidRPr="002D2309">
        <w:rPr>
          <w:color w:val="000000" w:themeColor="text1"/>
        </w:rPr>
        <w:t xml:space="preserve">) is not required because the exemption is covered by </w:t>
      </w:r>
      <w:r w:rsidRPr="002D2309">
        <w:rPr>
          <w:color w:val="000000" w:themeColor="text1"/>
          <w:lang w:val="en"/>
        </w:rPr>
        <w:t>a standing agreement between CASA and OBPR under which a RIS is not required f</w:t>
      </w:r>
      <w:r w:rsidR="00747582">
        <w:rPr>
          <w:color w:val="000000" w:themeColor="text1"/>
          <w:lang w:val="en"/>
        </w:rPr>
        <w:t>or exemptions (OBPR id: 14507).</w:t>
      </w:r>
    </w:p>
    <w:p w:rsidR="00747582" w:rsidRPr="002D2309" w:rsidRDefault="00747582" w:rsidP="00BD79E3">
      <w:pPr>
        <w:pStyle w:val="LDBodytext"/>
        <w:rPr>
          <w:color w:val="000000" w:themeColor="text1"/>
        </w:rPr>
      </w:pPr>
    </w:p>
    <w:p w:rsidR="001C568D" w:rsidRPr="00747582" w:rsidRDefault="001C568D" w:rsidP="00747582">
      <w:pPr>
        <w:keepNext/>
        <w:rPr>
          <w:b/>
          <w:iCs/>
          <w:color w:val="000000" w:themeColor="text1"/>
          <w:lang w:eastAsia="en-US"/>
        </w:rPr>
      </w:pPr>
      <w:r w:rsidRPr="00747582">
        <w:rPr>
          <w:b/>
          <w:iCs/>
          <w:color w:val="000000" w:themeColor="text1"/>
          <w:lang w:eastAsia="en-US"/>
        </w:rPr>
        <w:t>Making and commencement</w:t>
      </w:r>
    </w:p>
    <w:p w:rsidR="00510009" w:rsidRPr="005B0993" w:rsidRDefault="00510009" w:rsidP="00510009">
      <w:r w:rsidRPr="005B0993">
        <w:t>The instrument has been made by a delegate of CASA relying on the power of delegation under subregulation 11.260</w:t>
      </w:r>
      <w:r>
        <w:t> </w:t>
      </w:r>
      <w:r w:rsidRPr="005B0993">
        <w:t>(1) of CASR 1998.</w:t>
      </w:r>
    </w:p>
    <w:p w:rsidR="001C568D" w:rsidRPr="002D2309" w:rsidRDefault="001C568D" w:rsidP="001C568D">
      <w:pPr>
        <w:ind w:right="-1"/>
        <w:rPr>
          <w:color w:val="000000" w:themeColor="text1"/>
        </w:rPr>
      </w:pPr>
    </w:p>
    <w:p w:rsidR="001C568D" w:rsidRDefault="00D87B01" w:rsidP="00F70AC8">
      <w:pPr>
        <w:ind w:right="-1"/>
        <w:rPr>
          <w:color w:val="000000" w:themeColor="text1"/>
        </w:rPr>
      </w:pPr>
      <w:r w:rsidRPr="002D2309">
        <w:rPr>
          <w:color w:val="000000" w:themeColor="text1"/>
        </w:rPr>
        <w:t>The instrument commences on</w:t>
      </w:r>
      <w:r w:rsidR="007A2650">
        <w:rPr>
          <w:color w:val="000000" w:themeColor="text1"/>
        </w:rPr>
        <w:t xml:space="preserve"> the day of registration</w:t>
      </w:r>
      <w:r w:rsidR="001C568D" w:rsidRPr="002D2309">
        <w:rPr>
          <w:color w:val="000000" w:themeColor="text1"/>
        </w:rPr>
        <w:t xml:space="preserve">. It </w:t>
      </w:r>
      <w:r w:rsidR="00160FE7">
        <w:rPr>
          <w:color w:val="000000" w:themeColor="text1"/>
        </w:rPr>
        <w:t>expire</w:t>
      </w:r>
      <w:r w:rsidR="007A2650">
        <w:rPr>
          <w:color w:val="000000" w:themeColor="text1"/>
        </w:rPr>
        <w:t>s</w:t>
      </w:r>
      <w:r w:rsidR="009B3234" w:rsidRPr="002D2309">
        <w:rPr>
          <w:color w:val="000000" w:themeColor="text1"/>
        </w:rPr>
        <w:t xml:space="preserve"> at the end of</w:t>
      </w:r>
      <w:r w:rsidR="007A2650">
        <w:rPr>
          <w:color w:val="000000" w:themeColor="text1"/>
        </w:rPr>
        <w:t xml:space="preserve"> </w:t>
      </w:r>
      <w:r w:rsidR="00F70AC8">
        <w:rPr>
          <w:color w:val="000000" w:themeColor="text1"/>
        </w:rPr>
        <w:t>June</w:t>
      </w:r>
      <w:r w:rsidR="00A16397">
        <w:rPr>
          <w:color w:val="000000" w:themeColor="text1"/>
        </w:rPr>
        <w:t xml:space="preserve"> </w:t>
      </w:r>
      <w:r w:rsidR="007A2650">
        <w:rPr>
          <w:color w:val="000000" w:themeColor="text1"/>
        </w:rPr>
        <w:t>2018</w:t>
      </w:r>
      <w:r w:rsidR="001C568D" w:rsidRPr="002D2309">
        <w:rPr>
          <w:color w:val="000000" w:themeColor="text1"/>
        </w:rPr>
        <w:t>.</w:t>
      </w:r>
    </w:p>
    <w:p w:rsidR="00A57178" w:rsidRPr="002D2309" w:rsidRDefault="00A57178" w:rsidP="001C568D">
      <w:pPr>
        <w:ind w:right="-1"/>
        <w:rPr>
          <w:color w:val="000000" w:themeColor="text1"/>
        </w:rPr>
      </w:pPr>
    </w:p>
    <w:p w:rsidR="001C568D" w:rsidRPr="002D2309" w:rsidRDefault="001C568D" w:rsidP="00346B1C">
      <w:pPr>
        <w:spacing w:before="120"/>
        <w:rPr>
          <w:color w:val="000000" w:themeColor="text1"/>
          <w:sz w:val="20"/>
          <w:szCs w:val="20"/>
        </w:rPr>
      </w:pPr>
      <w:r w:rsidRPr="002D2309">
        <w:rPr>
          <w:color w:val="000000" w:themeColor="text1"/>
          <w:sz w:val="20"/>
          <w:szCs w:val="20"/>
        </w:rPr>
        <w:t xml:space="preserve">[Instrument number CASA </w:t>
      </w:r>
      <w:r w:rsidRPr="00346B1C">
        <w:rPr>
          <w:color w:val="000000" w:themeColor="text1"/>
          <w:sz w:val="20"/>
          <w:szCs w:val="20"/>
        </w:rPr>
        <w:t>EX</w:t>
      </w:r>
      <w:r w:rsidR="00346B1C" w:rsidRPr="00346B1C">
        <w:rPr>
          <w:color w:val="000000" w:themeColor="text1"/>
          <w:sz w:val="20"/>
          <w:szCs w:val="20"/>
        </w:rPr>
        <w:t>96</w:t>
      </w:r>
      <w:r w:rsidRPr="002D2309">
        <w:rPr>
          <w:color w:val="000000" w:themeColor="text1"/>
          <w:sz w:val="20"/>
          <w:szCs w:val="20"/>
        </w:rPr>
        <w:t>/</w:t>
      </w:r>
      <w:r w:rsidR="002D2309">
        <w:rPr>
          <w:color w:val="000000" w:themeColor="text1"/>
          <w:sz w:val="20"/>
          <w:szCs w:val="20"/>
        </w:rPr>
        <w:t>1</w:t>
      </w:r>
      <w:r w:rsidR="00DC29BA">
        <w:rPr>
          <w:color w:val="000000" w:themeColor="text1"/>
          <w:sz w:val="20"/>
          <w:szCs w:val="20"/>
        </w:rPr>
        <w:t>6</w:t>
      </w:r>
      <w:r w:rsidR="00747582">
        <w:rPr>
          <w:color w:val="000000" w:themeColor="text1"/>
          <w:sz w:val="20"/>
          <w:szCs w:val="20"/>
        </w:rPr>
        <w:t>]</w:t>
      </w:r>
    </w:p>
    <w:p w:rsidR="001C568D" w:rsidRPr="002D2309" w:rsidRDefault="001C568D" w:rsidP="002D2309">
      <w:pPr>
        <w:pageBreakBefore/>
        <w:spacing w:after="200" w:line="276" w:lineRule="auto"/>
        <w:jc w:val="right"/>
        <w:rPr>
          <w:rFonts w:ascii="Arial" w:hAnsi="Arial" w:cs="Arial"/>
          <w:b/>
          <w:color w:val="000000" w:themeColor="text1"/>
        </w:rPr>
      </w:pPr>
      <w:r w:rsidRPr="002D2309">
        <w:rPr>
          <w:rFonts w:ascii="Arial" w:hAnsi="Arial" w:cs="Arial"/>
          <w:b/>
          <w:color w:val="000000" w:themeColor="text1"/>
        </w:rPr>
        <w:lastRenderedPageBreak/>
        <w:t>Attachment 1</w:t>
      </w:r>
    </w:p>
    <w:p w:rsidR="001C568D" w:rsidRPr="002D2309" w:rsidRDefault="001C568D" w:rsidP="002D2309">
      <w:pPr>
        <w:spacing w:before="200" w:after="120"/>
        <w:jc w:val="center"/>
        <w:rPr>
          <w:rFonts w:ascii="Arial" w:hAnsi="Arial" w:cs="Arial"/>
          <w:b/>
          <w:color w:val="000000" w:themeColor="text1"/>
        </w:rPr>
      </w:pPr>
      <w:r w:rsidRPr="002D2309">
        <w:rPr>
          <w:rFonts w:ascii="Arial" w:hAnsi="Arial" w:cs="Arial"/>
          <w:b/>
          <w:color w:val="000000" w:themeColor="text1"/>
        </w:rPr>
        <w:t>Statement of Compatibility with Human Rights</w:t>
      </w:r>
    </w:p>
    <w:p w:rsidR="001C568D" w:rsidRPr="002D2309" w:rsidRDefault="001C568D" w:rsidP="00A57E6F">
      <w:pPr>
        <w:jc w:val="center"/>
        <w:rPr>
          <w:rFonts w:eastAsia="Calibri"/>
          <w:color w:val="000000" w:themeColor="text1"/>
          <w:lang w:eastAsia="en-US"/>
        </w:rPr>
      </w:pPr>
      <w:r w:rsidRPr="002D2309">
        <w:rPr>
          <w:rFonts w:eastAsia="Calibri"/>
          <w:i/>
          <w:color w:val="000000" w:themeColor="text1"/>
          <w:lang w:eastAsia="en-US"/>
        </w:rPr>
        <w:t xml:space="preserve">Prepared in accordance with Part 3 of the </w:t>
      </w:r>
      <w:r w:rsidRPr="002D2309">
        <w:rPr>
          <w:rFonts w:eastAsia="Calibri"/>
          <w:i/>
          <w:color w:val="000000" w:themeColor="text1"/>
          <w:lang w:eastAsia="en-US"/>
        </w:rPr>
        <w:br/>
        <w:t>Human Rights (Parliamentary Scrutiny) Act 2011</w:t>
      </w:r>
    </w:p>
    <w:p w:rsidR="005B1774" w:rsidRPr="005B1774" w:rsidRDefault="005B1774" w:rsidP="005B1774">
      <w:pPr>
        <w:keepNext/>
        <w:tabs>
          <w:tab w:val="left" w:pos="737"/>
        </w:tabs>
        <w:spacing w:before="600" w:after="600"/>
        <w:jc w:val="center"/>
        <w:rPr>
          <w:rFonts w:eastAsia="Calibri"/>
          <w:b/>
          <w:szCs w:val="22"/>
          <w:lang w:eastAsia="en-US"/>
        </w:rPr>
      </w:pPr>
      <w:r w:rsidRPr="005B1774">
        <w:rPr>
          <w:rFonts w:eastAsia="Calibri"/>
          <w:b/>
          <w:szCs w:val="22"/>
          <w:lang w:eastAsia="en-US"/>
        </w:rPr>
        <w:t>Exemption – Cessna 100 series aircraft operated in the private category – extension of Supplemental Inspection Document requirements</w:t>
      </w:r>
    </w:p>
    <w:p w:rsidR="001C568D" w:rsidRPr="002D2309" w:rsidRDefault="001C568D" w:rsidP="00D92840">
      <w:pPr>
        <w:spacing w:before="120" w:after="120" w:line="276" w:lineRule="auto"/>
        <w:jc w:val="center"/>
        <w:rPr>
          <w:rFonts w:eastAsia="Calibri"/>
          <w:color w:val="000000" w:themeColor="text1"/>
          <w:lang w:eastAsia="en-US"/>
        </w:rPr>
      </w:pPr>
      <w:r w:rsidRPr="002D2309">
        <w:rPr>
          <w:rFonts w:eastAsia="Calibri"/>
          <w:color w:val="000000" w:themeColor="text1"/>
          <w:lang w:eastAsia="en-US"/>
        </w:rPr>
        <w:t>This legislative instrument is compatible with the human rights and freedoms recognised or declared in the international instruments listed in section 3 of the</w:t>
      </w:r>
      <w:r w:rsidRPr="002D2309">
        <w:rPr>
          <w:rFonts w:eastAsia="Calibri"/>
          <w:color w:val="000000" w:themeColor="text1"/>
          <w:lang w:eastAsia="en-US"/>
        </w:rPr>
        <w:br/>
      </w:r>
      <w:r w:rsidRPr="002D2309">
        <w:rPr>
          <w:rFonts w:eastAsia="Calibri"/>
          <w:i/>
          <w:color w:val="000000" w:themeColor="text1"/>
          <w:lang w:eastAsia="en-US"/>
        </w:rPr>
        <w:t>Human Rights (Parliamentary Scrutiny) Act 2011</w:t>
      </w:r>
      <w:r w:rsidRPr="002D2309">
        <w:rPr>
          <w:rFonts w:eastAsia="Calibri"/>
          <w:color w:val="000000" w:themeColor="text1"/>
          <w:lang w:eastAsia="en-US"/>
        </w:rPr>
        <w:t>.</w:t>
      </w:r>
    </w:p>
    <w:p w:rsidR="001C568D" w:rsidRPr="002D2309" w:rsidRDefault="001C568D" w:rsidP="00160FE7">
      <w:pPr>
        <w:spacing w:before="120" w:after="60"/>
        <w:rPr>
          <w:rFonts w:eastAsia="Calibri"/>
          <w:color w:val="000000" w:themeColor="text1"/>
          <w:lang w:eastAsia="en-US"/>
        </w:rPr>
      </w:pPr>
    </w:p>
    <w:p w:rsidR="001C568D" w:rsidRPr="002D2309" w:rsidRDefault="001C568D" w:rsidP="00B5135D">
      <w:pPr>
        <w:spacing w:before="120"/>
        <w:jc w:val="both"/>
        <w:rPr>
          <w:rFonts w:eastAsia="Calibri"/>
          <w:b/>
          <w:color w:val="000000" w:themeColor="text1"/>
          <w:lang w:eastAsia="en-US"/>
        </w:rPr>
      </w:pPr>
      <w:r w:rsidRPr="002D2309">
        <w:rPr>
          <w:rFonts w:eastAsia="Calibri"/>
          <w:b/>
          <w:color w:val="000000" w:themeColor="text1"/>
          <w:lang w:eastAsia="en-US"/>
        </w:rPr>
        <w:t>Overview of the legislative instrument</w:t>
      </w:r>
    </w:p>
    <w:p w:rsidR="001C568D" w:rsidRPr="002D2309" w:rsidRDefault="001C568D" w:rsidP="001C568D">
      <w:pPr>
        <w:tabs>
          <w:tab w:val="left" w:pos="567"/>
        </w:tabs>
        <w:overflowPunct w:val="0"/>
        <w:autoSpaceDE w:val="0"/>
        <w:autoSpaceDN w:val="0"/>
        <w:adjustRightInd w:val="0"/>
        <w:textAlignment w:val="baseline"/>
        <w:rPr>
          <w:color w:val="000000" w:themeColor="text1"/>
        </w:rPr>
      </w:pPr>
      <w:r w:rsidRPr="002D2309">
        <w:rPr>
          <w:rFonts w:eastAsia="Calibri"/>
          <w:color w:val="000000" w:themeColor="text1"/>
          <w:lang w:eastAsia="en-US"/>
        </w:rPr>
        <w:t xml:space="preserve">The legislative instrument </w:t>
      </w:r>
      <w:r w:rsidRPr="002D2309">
        <w:rPr>
          <w:color w:val="000000" w:themeColor="text1"/>
        </w:rPr>
        <w:t xml:space="preserve">is </w:t>
      </w:r>
      <w:r w:rsidR="009B3234" w:rsidRPr="002D2309">
        <w:rPr>
          <w:color w:val="000000" w:themeColor="text1"/>
        </w:rPr>
        <w:t xml:space="preserve">intended to allow </w:t>
      </w:r>
      <w:r w:rsidR="00C62010" w:rsidRPr="002D2309">
        <w:rPr>
          <w:color w:val="000000" w:themeColor="text1"/>
        </w:rPr>
        <w:t xml:space="preserve">persons carrying out maintenance on </w:t>
      </w:r>
      <w:r w:rsidR="009B3234" w:rsidRPr="002D2309">
        <w:rPr>
          <w:color w:val="000000" w:themeColor="text1"/>
        </w:rPr>
        <w:t>Ce</w:t>
      </w:r>
      <w:r w:rsidR="00C62010" w:rsidRPr="002D2309">
        <w:rPr>
          <w:color w:val="000000" w:themeColor="text1"/>
        </w:rPr>
        <w:t>s</w:t>
      </w:r>
      <w:r w:rsidR="009B3234" w:rsidRPr="002D2309">
        <w:rPr>
          <w:color w:val="000000" w:themeColor="text1"/>
        </w:rPr>
        <w:t>sna aircraft</w:t>
      </w:r>
      <w:r w:rsidR="002973AE" w:rsidRPr="002D2309">
        <w:rPr>
          <w:color w:val="000000" w:themeColor="text1"/>
        </w:rPr>
        <w:t xml:space="preserve">, or persons with responsibility for </w:t>
      </w:r>
      <w:r w:rsidR="007A2650">
        <w:rPr>
          <w:color w:val="000000" w:themeColor="text1"/>
        </w:rPr>
        <w:t xml:space="preserve">certifying </w:t>
      </w:r>
      <w:r w:rsidR="002973AE" w:rsidRPr="002D2309">
        <w:rPr>
          <w:color w:val="000000" w:themeColor="text1"/>
        </w:rPr>
        <w:t xml:space="preserve">the </w:t>
      </w:r>
      <w:r w:rsidR="007A2650">
        <w:rPr>
          <w:color w:val="000000" w:themeColor="text1"/>
        </w:rPr>
        <w:t xml:space="preserve">completion of </w:t>
      </w:r>
      <w:r w:rsidR="002973AE" w:rsidRPr="002D2309">
        <w:rPr>
          <w:color w:val="000000" w:themeColor="text1"/>
        </w:rPr>
        <w:t>maintenance</w:t>
      </w:r>
      <w:r w:rsidR="007A2650">
        <w:rPr>
          <w:color w:val="000000" w:themeColor="text1"/>
        </w:rPr>
        <w:t xml:space="preserve"> to do </w:t>
      </w:r>
      <w:r w:rsidR="00C0700C">
        <w:rPr>
          <w:color w:val="000000" w:themeColor="text1"/>
        </w:rPr>
        <w:t xml:space="preserve">so </w:t>
      </w:r>
      <w:r w:rsidR="007A2650">
        <w:rPr>
          <w:color w:val="000000" w:themeColor="text1"/>
        </w:rPr>
        <w:t xml:space="preserve">without complying with </w:t>
      </w:r>
      <w:r w:rsidR="007A2650">
        <w:t>Cessna Single Engine Service Bulletin SEB03-1 Elevator Rivet Installation</w:t>
      </w:r>
      <w:r w:rsidRPr="002D2309">
        <w:rPr>
          <w:color w:val="000000" w:themeColor="text1"/>
        </w:rPr>
        <w:t>.</w:t>
      </w:r>
    </w:p>
    <w:p w:rsidR="00C96FCC" w:rsidRPr="002D2309" w:rsidRDefault="00C96FCC" w:rsidP="001C568D">
      <w:pPr>
        <w:tabs>
          <w:tab w:val="left" w:pos="567"/>
        </w:tabs>
        <w:overflowPunct w:val="0"/>
        <w:autoSpaceDE w:val="0"/>
        <w:autoSpaceDN w:val="0"/>
        <w:adjustRightInd w:val="0"/>
        <w:textAlignment w:val="baseline"/>
        <w:rPr>
          <w:color w:val="000000" w:themeColor="text1"/>
        </w:rPr>
      </w:pPr>
    </w:p>
    <w:p w:rsidR="00C96FCC" w:rsidRDefault="00C96FCC" w:rsidP="001C568D">
      <w:pPr>
        <w:tabs>
          <w:tab w:val="left" w:pos="567"/>
        </w:tabs>
        <w:overflowPunct w:val="0"/>
        <w:autoSpaceDE w:val="0"/>
        <w:autoSpaceDN w:val="0"/>
        <w:adjustRightInd w:val="0"/>
        <w:textAlignment w:val="baseline"/>
        <w:rPr>
          <w:color w:val="000000" w:themeColor="text1"/>
        </w:rPr>
      </w:pPr>
      <w:r w:rsidRPr="002D2309">
        <w:rPr>
          <w:color w:val="000000" w:themeColor="text1"/>
        </w:rPr>
        <w:t xml:space="preserve">The exemption does not create any new obligations or liabilities but clarifies an existing requirement to comply with </w:t>
      </w:r>
      <w:r w:rsidR="007A2650">
        <w:rPr>
          <w:color w:val="000000" w:themeColor="text1"/>
        </w:rPr>
        <w:t xml:space="preserve">a document treated as a </w:t>
      </w:r>
      <w:r w:rsidRPr="002D2309">
        <w:rPr>
          <w:color w:val="000000" w:themeColor="text1"/>
        </w:rPr>
        <w:t>S</w:t>
      </w:r>
      <w:r w:rsidR="007A2650">
        <w:rPr>
          <w:color w:val="000000" w:themeColor="text1"/>
        </w:rPr>
        <w:t>upplemental Inspection Document</w:t>
      </w:r>
      <w:r w:rsidRPr="002D2309">
        <w:rPr>
          <w:color w:val="000000" w:themeColor="text1"/>
        </w:rPr>
        <w:t>.</w:t>
      </w:r>
    </w:p>
    <w:p w:rsidR="00B5135D" w:rsidRPr="002D2309" w:rsidRDefault="00B5135D" w:rsidP="001C568D">
      <w:pPr>
        <w:tabs>
          <w:tab w:val="left" w:pos="567"/>
        </w:tabs>
        <w:overflowPunct w:val="0"/>
        <w:autoSpaceDE w:val="0"/>
        <w:autoSpaceDN w:val="0"/>
        <w:adjustRightInd w:val="0"/>
        <w:textAlignment w:val="baseline"/>
        <w:rPr>
          <w:color w:val="000000" w:themeColor="text1"/>
          <w:lang w:eastAsia="en-US"/>
        </w:rPr>
      </w:pPr>
    </w:p>
    <w:p w:rsidR="001C568D" w:rsidRPr="00B5135D" w:rsidRDefault="001C568D" w:rsidP="00B5135D">
      <w:pPr>
        <w:jc w:val="both"/>
        <w:rPr>
          <w:rFonts w:eastAsia="Calibri"/>
          <w:b/>
          <w:szCs w:val="22"/>
          <w:lang w:eastAsia="en-US"/>
        </w:rPr>
      </w:pPr>
      <w:r w:rsidRPr="00B5135D">
        <w:rPr>
          <w:rFonts w:eastAsia="Calibri"/>
          <w:b/>
          <w:szCs w:val="22"/>
          <w:lang w:eastAsia="en-US"/>
        </w:rPr>
        <w:t>Human rights implications</w:t>
      </w:r>
    </w:p>
    <w:p w:rsidR="001C568D" w:rsidRDefault="001C568D" w:rsidP="00B5135D">
      <w:pPr>
        <w:rPr>
          <w:rFonts w:eastAsia="Calibri"/>
          <w:szCs w:val="22"/>
          <w:lang w:eastAsia="en-US"/>
        </w:rPr>
      </w:pPr>
      <w:r w:rsidRPr="00B5135D">
        <w:rPr>
          <w:rFonts w:eastAsia="Calibri"/>
          <w:szCs w:val="22"/>
          <w:lang w:eastAsia="en-US"/>
        </w:rPr>
        <w:t>This legislative instrument does not engage any of the applicable rights or freedoms.</w:t>
      </w:r>
    </w:p>
    <w:p w:rsidR="00B5135D" w:rsidRPr="00B5135D" w:rsidRDefault="00B5135D" w:rsidP="00B5135D">
      <w:pPr>
        <w:rPr>
          <w:rFonts w:eastAsia="Calibri"/>
          <w:szCs w:val="22"/>
          <w:lang w:eastAsia="en-US"/>
        </w:rPr>
      </w:pPr>
    </w:p>
    <w:p w:rsidR="001C568D" w:rsidRPr="00B5135D" w:rsidRDefault="001C568D" w:rsidP="00B5135D">
      <w:pPr>
        <w:jc w:val="both"/>
        <w:rPr>
          <w:rFonts w:eastAsia="Calibri"/>
          <w:b/>
          <w:szCs w:val="22"/>
          <w:lang w:eastAsia="en-US"/>
        </w:rPr>
      </w:pPr>
      <w:r w:rsidRPr="00B5135D">
        <w:rPr>
          <w:rFonts w:eastAsia="Calibri"/>
          <w:b/>
          <w:szCs w:val="22"/>
          <w:lang w:eastAsia="en-US"/>
        </w:rPr>
        <w:t>Conclusion</w:t>
      </w:r>
    </w:p>
    <w:p w:rsidR="001C568D" w:rsidRPr="00B5135D" w:rsidRDefault="001C568D" w:rsidP="00B5135D">
      <w:pPr>
        <w:rPr>
          <w:rFonts w:eastAsia="Calibri"/>
          <w:szCs w:val="22"/>
          <w:lang w:eastAsia="en-US"/>
        </w:rPr>
      </w:pPr>
      <w:r w:rsidRPr="00B5135D">
        <w:rPr>
          <w:rFonts w:eastAsia="Calibri"/>
          <w:szCs w:val="22"/>
          <w:lang w:eastAsia="en-US"/>
        </w:rPr>
        <w:t>This legislative instrument is compatible with human rights as it does not raise any human rights issues.</w:t>
      </w:r>
    </w:p>
    <w:p w:rsidR="001C568D" w:rsidRPr="00B5135D" w:rsidRDefault="001C568D" w:rsidP="00B5135D">
      <w:pPr>
        <w:spacing w:before="360"/>
        <w:jc w:val="center"/>
        <w:rPr>
          <w:rFonts w:eastAsia="Calibri"/>
          <w:b/>
          <w:bCs/>
          <w:szCs w:val="22"/>
          <w:lang w:eastAsia="en-US"/>
        </w:rPr>
      </w:pPr>
      <w:r w:rsidRPr="00B5135D">
        <w:rPr>
          <w:rFonts w:eastAsia="Calibri"/>
          <w:b/>
          <w:bCs/>
          <w:szCs w:val="22"/>
          <w:lang w:eastAsia="en-US"/>
        </w:rPr>
        <w:t>Civil Aviation Safety Authority</w:t>
      </w:r>
    </w:p>
    <w:sectPr w:rsidR="001C568D" w:rsidRPr="00B5135D" w:rsidSect="005E0B4F">
      <w:headerReference w:type="default" r:id="rId8"/>
      <w:pgSz w:w="11907" w:h="16840" w:code="9"/>
      <w:pgMar w:top="1134" w:right="170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0C" w:rsidRDefault="007C200C">
      <w:r>
        <w:separator/>
      </w:r>
    </w:p>
  </w:endnote>
  <w:endnote w:type="continuationSeparator" w:id="0">
    <w:p w:rsidR="007C200C" w:rsidRDefault="007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0C" w:rsidRDefault="007C200C">
      <w:r>
        <w:separator/>
      </w:r>
    </w:p>
  </w:footnote>
  <w:footnote w:type="continuationSeparator" w:id="0">
    <w:p w:rsidR="007C200C" w:rsidRDefault="007C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0C" w:rsidRDefault="007C200C" w:rsidP="005E0B4F">
    <w:pPr>
      <w:pStyle w:val="Header"/>
      <w:jc w:val="center"/>
    </w:pPr>
    <w:r>
      <w:rPr>
        <w:rStyle w:val="PageNumber"/>
      </w:rPr>
      <w:fldChar w:fldCharType="begin"/>
    </w:r>
    <w:r>
      <w:rPr>
        <w:rStyle w:val="PageNumber"/>
      </w:rPr>
      <w:instrText xml:space="preserve"> PAGE </w:instrText>
    </w:r>
    <w:r>
      <w:rPr>
        <w:rStyle w:val="PageNumber"/>
      </w:rPr>
      <w:fldChar w:fldCharType="separate"/>
    </w:r>
    <w:r w:rsidR="002F40D4">
      <w:rPr>
        <w:rStyle w:val="PageNumber"/>
        <w:noProof/>
      </w:rPr>
      <w:t>2</w:t>
    </w:r>
    <w:r>
      <w:rPr>
        <w:rStyle w:val="PageNumber"/>
      </w:rPr>
      <w:fldChar w:fldCharType="end"/>
    </w:r>
  </w:p>
  <w:p w:rsidR="007C200C" w:rsidRDefault="007C2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F1F5E"/>
    <w:multiLevelType w:val="hybridMultilevel"/>
    <w:tmpl w:val="233899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F97D2A"/>
    <w:multiLevelType w:val="hybridMultilevel"/>
    <w:tmpl w:val="3534525A"/>
    <w:lvl w:ilvl="0" w:tplc="AFA040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A6"/>
    <w:rsid w:val="00001E6F"/>
    <w:rsid w:val="00012C56"/>
    <w:rsid w:val="00017158"/>
    <w:rsid w:val="00021585"/>
    <w:rsid w:val="00023885"/>
    <w:rsid w:val="00027468"/>
    <w:rsid w:val="0003572D"/>
    <w:rsid w:val="00035CC5"/>
    <w:rsid w:val="00037517"/>
    <w:rsid w:val="00037F3F"/>
    <w:rsid w:val="00041E3B"/>
    <w:rsid w:val="00052800"/>
    <w:rsid w:val="0005338C"/>
    <w:rsid w:val="00056AD9"/>
    <w:rsid w:val="0006128F"/>
    <w:rsid w:val="00073D09"/>
    <w:rsid w:val="00074F64"/>
    <w:rsid w:val="000754C6"/>
    <w:rsid w:val="00080DA3"/>
    <w:rsid w:val="000838F9"/>
    <w:rsid w:val="00097F3B"/>
    <w:rsid w:val="000A0A11"/>
    <w:rsid w:val="000A1533"/>
    <w:rsid w:val="000A231B"/>
    <w:rsid w:val="000A45F5"/>
    <w:rsid w:val="000A508A"/>
    <w:rsid w:val="000B0272"/>
    <w:rsid w:val="000B0B3A"/>
    <w:rsid w:val="000B11EE"/>
    <w:rsid w:val="000B3A81"/>
    <w:rsid w:val="000B702C"/>
    <w:rsid w:val="000C030B"/>
    <w:rsid w:val="000C390D"/>
    <w:rsid w:val="000C44A7"/>
    <w:rsid w:val="000D1C61"/>
    <w:rsid w:val="000D34A6"/>
    <w:rsid w:val="000E0AC3"/>
    <w:rsid w:val="000E17E4"/>
    <w:rsid w:val="000E518C"/>
    <w:rsid w:val="000F0E3E"/>
    <w:rsid w:val="000F36B1"/>
    <w:rsid w:val="000F67FB"/>
    <w:rsid w:val="000F6DB1"/>
    <w:rsid w:val="00100B70"/>
    <w:rsid w:val="001044E5"/>
    <w:rsid w:val="00105D95"/>
    <w:rsid w:val="0010652F"/>
    <w:rsid w:val="00107DEA"/>
    <w:rsid w:val="00116080"/>
    <w:rsid w:val="001208F1"/>
    <w:rsid w:val="00133ED3"/>
    <w:rsid w:val="001367CF"/>
    <w:rsid w:val="00150E36"/>
    <w:rsid w:val="0015200E"/>
    <w:rsid w:val="00152540"/>
    <w:rsid w:val="001540AF"/>
    <w:rsid w:val="00160FE7"/>
    <w:rsid w:val="00166530"/>
    <w:rsid w:val="001737E8"/>
    <w:rsid w:val="00180BAA"/>
    <w:rsid w:val="0018336F"/>
    <w:rsid w:val="00185893"/>
    <w:rsid w:val="0019198E"/>
    <w:rsid w:val="00194282"/>
    <w:rsid w:val="001A0A47"/>
    <w:rsid w:val="001A15C5"/>
    <w:rsid w:val="001A2260"/>
    <w:rsid w:val="001A391B"/>
    <w:rsid w:val="001A6B05"/>
    <w:rsid w:val="001A7E93"/>
    <w:rsid w:val="001B33CD"/>
    <w:rsid w:val="001B648E"/>
    <w:rsid w:val="001C3048"/>
    <w:rsid w:val="001C4DA9"/>
    <w:rsid w:val="001C568D"/>
    <w:rsid w:val="001C5E94"/>
    <w:rsid w:val="001D01A7"/>
    <w:rsid w:val="001D1878"/>
    <w:rsid w:val="001D3791"/>
    <w:rsid w:val="001D6037"/>
    <w:rsid w:val="001D72D6"/>
    <w:rsid w:val="001E4085"/>
    <w:rsid w:val="001E4666"/>
    <w:rsid w:val="001F084F"/>
    <w:rsid w:val="001F2F15"/>
    <w:rsid w:val="001F52C2"/>
    <w:rsid w:val="0020102D"/>
    <w:rsid w:val="00201FC8"/>
    <w:rsid w:val="0020217D"/>
    <w:rsid w:val="00202DAB"/>
    <w:rsid w:val="002070D7"/>
    <w:rsid w:val="0021027F"/>
    <w:rsid w:val="00210BA6"/>
    <w:rsid w:val="00212BE7"/>
    <w:rsid w:val="00213451"/>
    <w:rsid w:val="0022084E"/>
    <w:rsid w:val="0022528E"/>
    <w:rsid w:val="002263DF"/>
    <w:rsid w:val="00226441"/>
    <w:rsid w:val="00227DD6"/>
    <w:rsid w:val="002314A8"/>
    <w:rsid w:val="00231EC9"/>
    <w:rsid w:val="00234397"/>
    <w:rsid w:val="00243C93"/>
    <w:rsid w:val="0024528C"/>
    <w:rsid w:val="00245C45"/>
    <w:rsid w:val="002524B4"/>
    <w:rsid w:val="002527A8"/>
    <w:rsid w:val="00253475"/>
    <w:rsid w:val="002555EE"/>
    <w:rsid w:val="00256199"/>
    <w:rsid w:val="00256CF0"/>
    <w:rsid w:val="00257427"/>
    <w:rsid w:val="00263143"/>
    <w:rsid w:val="002663F4"/>
    <w:rsid w:val="00271916"/>
    <w:rsid w:val="00281894"/>
    <w:rsid w:val="002855AD"/>
    <w:rsid w:val="002857B0"/>
    <w:rsid w:val="00287546"/>
    <w:rsid w:val="00287AC6"/>
    <w:rsid w:val="0029131D"/>
    <w:rsid w:val="002917CD"/>
    <w:rsid w:val="00292C68"/>
    <w:rsid w:val="00295AB8"/>
    <w:rsid w:val="002973AE"/>
    <w:rsid w:val="002A3444"/>
    <w:rsid w:val="002A4E5D"/>
    <w:rsid w:val="002A706F"/>
    <w:rsid w:val="002B0E57"/>
    <w:rsid w:val="002C05D0"/>
    <w:rsid w:val="002C2DBF"/>
    <w:rsid w:val="002C60CB"/>
    <w:rsid w:val="002C6415"/>
    <w:rsid w:val="002C745C"/>
    <w:rsid w:val="002C759E"/>
    <w:rsid w:val="002D2309"/>
    <w:rsid w:val="002E1A0D"/>
    <w:rsid w:val="002E73B6"/>
    <w:rsid w:val="002E742C"/>
    <w:rsid w:val="002F053F"/>
    <w:rsid w:val="002F10C7"/>
    <w:rsid w:val="002F32F9"/>
    <w:rsid w:val="002F40D4"/>
    <w:rsid w:val="002F5102"/>
    <w:rsid w:val="002F6724"/>
    <w:rsid w:val="00307001"/>
    <w:rsid w:val="0031166F"/>
    <w:rsid w:val="00311D68"/>
    <w:rsid w:val="0031314F"/>
    <w:rsid w:val="0031415A"/>
    <w:rsid w:val="00314661"/>
    <w:rsid w:val="00316D77"/>
    <w:rsid w:val="003212A9"/>
    <w:rsid w:val="0032162F"/>
    <w:rsid w:val="003246BE"/>
    <w:rsid w:val="00335E96"/>
    <w:rsid w:val="00341B39"/>
    <w:rsid w:val="003435C2"/>
    <w:rsid w:val="00344242"/>
    <w:rsid w:val="003457A9"/>
    <w:rsid w:val="00346B1C"/>
    <w:rsid w:val="0035429F"/>
    <w:rsid w:val="00354BFA"/>
    <w:rsid w:val="003631B7"/>
    <w:rsid w:val="00363885"/>
    <w:rsid w:val="00366145"/>
    <w:rsid w:val="00385B9B"/>
    <w:rsid w:val="00385CBE"/>
    <w:rsid w:val="0039069C"/>
    <w:rsid w:val="003956CA"/>
    <w:rsid w:val="00396FD8"/>
    <w:rsid w:val="003A45AB"/>
    <w:rsid w:val="003A4D48"/>
    <w:rsid w:val="003B4E08"/>
    <w:rsid w:val="003C5E66"/>
    <w:rsid w:val="003D0DA6"/>
    <w:rsid w:val="003D1AAF"/>
    <w:rsid w:val="003D1ACC"/>
    <w:rsid w:val="003D1C54"/>
    <w:rsid w:val="003D33C2"/>
    <w:rsid w:val="003E0F19"/>
    <w:rsid w:val="003E1F77"/>
    <w:rsid w:val="003E4556"/>
    <w:rsid w:val="003F3793"/>
    <w:rsid w:val="003F3C95"/>
    <w:rsid w:val="003F56A3"/>
    <w:rsid w:val="0040083A"/>
    <w:rsid w:val="00402863"/>
    <w:rsid w:val="00404BD6"/>
    <w:rsid w:val="00405823"/>
    <w:rsid w:val="004124B3"/>
    <w:rsid w:val="00413D4A"/>
    <w:rsid w:val="00420CD6"/>
    <w:rsid w:val="0042226D"/>
    <w:rsid w:val="00422BEE"/>
    <w:rsid w:val="004261D1"/>
    <w:rsid w:val="00427D56"/>
    <w:rsid w:val="00427DFD"/>
    <w:rsid w:val="00434478"/>
    <w:rsid w:val="00440BF0"/>
    <w:rsid w:val="00443AB0"/>
    <w:rsid w:val="00447BBE"/>
    <w:rsid w:val="0045043E"/>
    <w:rsid w:val="004529F8"/>
    <w:rsid w:val="00452DBC"/>
    <w:rsid w:val="0045557B"/>
    <w:rsid w:val="00456630"/>
    <w:rsid w:val="00460D03"/>
    <w:rsid w:val="00462376"/>
    <w:rsid w:val="00462396"/>
    <w:rsid w:val="004634D0"/>
    <w:rsid w:val="00466B05"/>
    <w:rsid w:val="00466ED1"/>
    <w:rsid w:val="00467174"/>
    <w:rsid w:val="0048268F"/>
    <w:rsid w:val="00482CD3"/>
    <w:rsid w:val="00483361"/>
    <w:rsid w:val="00483AF3"/>
    <w:rsid w:val="004858A4"/>
    <w:rsid w:val="00486324"/>
    <w:rsid w:val="00491620"/>
    <w:rsid w:val="00491CE3"/>
    <w:rsid w:val="00493060"/>
    <w:rsid w:val="00495E61"/>
    <w:rsid w:val="004A1731"/>
    <w:rsid w:val="004A3F80"/>
    <w:rsid w:val="004A685E"/>
    <w:rsid w:val="004B38D3"/>
    <w:rsid w:val="004B431F"/>
    <w:rsid w:val="004B6E80"/>
    <w:rsid w:val="004C11F6"/>
    <w:rsid w:val="004C35A5"/>
    <w:rsid w:val="004C752D"/>
    <w:rsid w:val="004C7D2A"/>
    <w:rsid w:val="004E1F8C"/>
    <w:rsid w:val="004E24D2"/>
    <w:rsid w:val="004E3FFA"/>
    <w:rsid w:val="004E60A2"/>
    <w:rsid w:val="004F2C27"/>
    <w:rsid w:val="00500B3D"/>
    <w:rsid w:val="00504A70"/>
    <w:rsid w:val="00510009"/>
    <w:rsid w:val="00516B13"/>
    <w:rsid w:val="0052459C"/>
    <w:rsid w:val="00531A7C"/>
    <w:rsid w:val="00532DFD"/>
    <w:rsid w:val="00533F37"/>
    <w:rsid w:val="00542583"/>
    <w:rsid w:val="005432E6"/>
    <w:rsid w:val="00545287"/>
    <w:rsid w:val="0055200B"/>
    <w:rsid w:val="005530A0"/>
    <w:rsid w:val="00564ADF"/>
    <w:rsid w:val="00564BB6"/>
    <w:rsid w:val="00566335"/>
    <w:rsid w:val="00571DD1"/>
    <w:rsid w:val="0057698C"/>
    <w:rsid w:val="00577040"/>
    <w:rsid w:val="00581EE8"/>
    <w:rsid w:val="00582290"/>
    <w:rsid w:val="005837E8"/>
    <w:rsid w:val="00584BF8"/>
    <w:rsid w:val="00596FC5"/>
    <w:rsid w:val="005A0E95"/>
    <w:rsid w:val="005A1E97"/>
    <w:rsid w:val="005A2D37"/>
    <w:rsid w:val="005A5354"/>
    <w:rsid w:val="005A57F1"/>
    <w:rsid w:val="005B1774"/>
    <w:rsid w:val="005C0E33"/>
    <w:rsid w:val="005C152D"/>
    <w:rsid w:val="005D2C83"/>
    <w:rsid w:val="005E024D"/>
    <w:rsid w:val="005E037A"/>
    <w:rsid w:val="005E0B4F"/>
    <w:rsid w:val="005E4906"/>
    <w:rsid w:val="005E7074"/>
    <w:rsid w:val="005F0359"/>
    <w:rsid w:val="005F18D2"/>
    <w:rsid w:val="00600514"/>
    <w:rsid w:val="006011CD"/>
    <w:rsid w:val="00601F83"/>
    <w:rsid w:val="006032AE"/>
    <w:rsid w:val="00603B8A"/>
    <w:rsid w:val="00605B6F"/>
    <w:rsid w:val="00614BC1"/>
    <w:rsid w:val="00623CEB"/>
    <w:rsid w:val="006309E6"/>
    <w:rsid w:val="0063597C"/>
    <w:rsid w:val="00642DB5"/>
    <w:rsid w:val="0065642E"/>
    <w:rsid w:val="006577D7"/>
    <w:rsid w:val="00661EC2"/>
    <w:rsid w:val="0066628E"/>
    <w:rsid w:val="006714A3"/>
    <w:rsid w:val="00672696"/>
    <w:rsid w:val="00672A3A"/>
    <w:rsid w:val="006730B5"/>
    <w:rsid w:val="00673C5B"/>
    <w:rsid w:val="00680A4B"/>
    <w:rsid w:val="00680AB7"/>
    <w:rsid w:val="00681189"/>
    <w:rsid w:val="00683204"/>
    <w:rsid w:val="00685B10"/>
    <w:rsid w:val="00692177"/>
    <w:rsid w:val="0069248D"/>
    <w:rsid w:val="006956E6"/>
    <w:rsid w:val="00696CA9"/>
    <w:rsid w:val="006A17AD"/>
    <w:rsid w:val="006A520A"/>
    <w:rsid w:val="006A74B0"/>
    <w:rsid w:val="006E7AF2"/>
    <w:rsid w:val="006F2783"/>
    <w:rsid w:val="006F4FBC"/>
    <w:rsid w:val="0070166A"/>
    <w:rsid w:val="00705147"/>
    <w:rsid w:val="00707B50"/>
    <w:rsid w:val="00711F8A"/>
    <w:rsid w:val="00722B53"/>
    <w:rsid w:val="0072404B"/>
    <w:rsid w:val="007273B8"/>
    <w:rsid w:val="00733C93"/>
    <w:rsid w:val="00735B91"/>
    <w:rsid w:val="007411B2"/>
    <w:rsid w:val="00743BA1"/>
    <w:rsid w:val="00747582"/>
    <w:rsid w:val="00750BF2"/>
    <w:rsid w:val="00750EA9"/>
    <w:rsid w:val="00751CA4"/>
    <w:rsid w:val="00752C9F"/>
    <w:rsid w:val="00755423"/>
    <w:rsid w:val="0075668B"/>
    <w:rsid w:val="0076176D"/>
    <w:rsid w:val="007619EF"/>
    <w:rsid w:val="00762017"/>
    <w:rsid w:val="00766DE7"/>
    <w:rsid w:val="00767F75"/>
    <w:rsid w:val="00780994"/>
    <w:rsid w:val="00782BEA"/>
    <w:rsid w:val="00782C7C"/>
    <w:rsid w:val="00783860"/>
    <w:rsid w:val="007A2650"/>
    <w:rsid w:val="007A397D"/>
    <w:rsid w:val="007A686A"/>
    <w:rsid w:val="007A68FD"/>
    <w:rsid w:val="007B17DD"/>
    <w:rsid w:val="007B419C"/>
    <w:rsid w:val="007B54FA"/>
    <w:rsid w:val="007B7CFF"/>
    <w:rsid w:val="007C200C"/>
    <w:rsid w:val="007C3A42"/>
    <w:rsid w:val="007D4286"/>
    <w:rsid w:val="007D5D5C"/>
    <w:rsid w:val="007F0969"/>
    <w:rsid w:val="007F12DE"/>
    <w:rsid w:val="007F1C3C"/>
    <w:rsid w:val="007F23D8"/>
    <w:rsid w:val="007F2FE3"/>
    <w:rsid w:val="007F312D"/>
    <w:rsid w:val="007F5798"/>
    <w:rsid w:val="007F587A"/>
    <w:rsid w:val="007F68D6"/>
    <w:rsid w:val="007F7721"/>
    <w:rsid w:val="008024AA"/>
    <w:rsid w:val="00804F4D"/>
    <w:rsid w:val="00807B3C"/>
    <w:rsid w:val="00824AB0"/>
    <w:rsid w:val="00824F8E"/>
    <w:rsid w:val="00825FDE"/>
    <w:rsid w:val="00830A3F"/>
    <w:rsid w:val="00830D7B"/>
    <w:rsid w:val="00831FA0"/>
    <w:rsid w:val="00832347"/>
    <w:rsid w:val="00832361"/>
    <w:rsid w:val="008358D4"/>
    <w:rsid w:val="00837C6D"/>
    <w:rsid w:val="00847428"/>
    <w:rsid w:val="008517FB"/>
    <w:rsid w:val="00855ED6"/>
    <w:rsid w:val="0086555B"/>
    <w:rsid w:val="0087585F"/>
    <w:rsid w:val="00881E04"/>
    <w:rsid w:val="00882EB0"/>
    <w:rsid w:val="00887ED6"/>
    <w:rsid w:val="00891438"/>
    <w:rsid w:val="00892600"/>
    <w:rsid w:val="00895354"/>
    <w:rsid w:val="008A01C0"/>
    <w:rsid w:val="008A4039"/>
    <w:rsid w:val="008B00BC"/>
    <w:rsid w:val="008B5026"/>
    <w:rsid w:val="008B6D9D"/>
    <w:rsid w:val="008C0A9D"/>
    <w:rsid w:val="008C2ED6"/>
    <w:rsid w:val="008D4796"/>
    <w:rsid w:val="008D4EB3"/>
    <w:rsid w:val="008D6A20"/>
    <w:rsid w:val="008D6C84"/>
    <w:rsid w:val="008E474A"/>
    <w:rsid w:val="008E5178"/>
    <w:rsid w:val="008F638C"/>
    <w:rsid w:val="008F7842"/>
    <w:rsid w:val="00910C8D"/>
    <w:rsid w:val="00912F08"/>
    <w:rsid w:val="00914865"/>
    <w:rsid w:val="00921607"/>
    <w:rsid w:val="00922ECC"/>
    <w:rsid w:val="00923ED0"/>
    <w:rsid w:val="009256CB"/>
    <w:rsid w:val="0093005F"/>
    <w:rsid w:val="00933149"/>
    <w:rsid w:val="00934094"/>
    <w:rsid w:val="00940773"/>
    <w:rsid w:val="0095250E"/>
    <w:rsid w:val="009534EE"/>
    <w:rsid w:val="00955877"/>
    <w:rsid w:val="009600F6"/>
    <w:rsid w:val="00960C6A"/>
    <w:rsid w:val="009636C2"/>
    <w:rsid w:val="00967213"/>
    <w:rsid w:val="0097144B"/>
    <w:rsid w:val="00973BFE"/>
    <w:rsid w:val="00973C92"/>
    <w:rsid w:val="00981D60"/>
    <w:rsid w:val="00982999"/>
    <w:rsid w:val="00987890"/>
    <w:rsid w:val="009878D8"/>
    <w:rsid w:val="0099298E"/>
    <w:rsid w:val="00993C7C"/>
    <w:rsid w:val="009A04A0"/>
    <w:rsid w:val="009A1297"/>
    <w:rsid w:val="009A650A"/>
    <w:rsid w:val="009B1486"/>
    <w:rsid w:val="009B2D0B"/>
    <w:rsid w:val="009B3234"/>
    <w:rsid w:val="009B6FF4"/>
    <w:rsid w:val="009C1585"/>
    <w:rsid w:val="009C2683"/>
    <w:rsid w:val="009C3859"/>
    <w:rsid w:val="009C390B"/>
    <w:rsid w:val="009D1DBE"/>
    <w:rsid w:val="009D2A13"/>
    <w:rsid w:val="009D43C2"/>
    <w:rsid w:val="009D5408"/>
    <w:rsid w:val="009D55D2"/>
    <w:rsid w:val="009D73C4"/>
    <w:rsid w:val="009E2C4B"/>
    <w:rsid w:val="009E5B21"/>
    <w:rsid w:val="009E6FA2"/>
    <w:rsid w:val="009F4CC2"/>
    <w:rsid w:val="009F4DB4"/>
    <w:rsid w:val="00A10187"/>
    <w:rsid w:val="00A11E54"/>
    <w:rsid w:val="00A1421D"/>
    <w:rsid w:val="00A16397"/>
    <w:rsid w:val="00A25C43"/>
    <w:rsid w:val="00A27138"/>
    <w:rsid w:val="00A27FB1"/>
    <w:rsid w:val="00A3103C"/>
    <w:rsid w:val="00A312D3"/>
    <w:rsid w:val="00A34268"/>
    <w:rsid w:val="00A3461B"/>
    <w:rsid w:val="00A40155"/>
    <w:rsid w:val="00A403D2"/>
    <w:rsid w:val="00A44DB9"/>
    <w:rsid w:val="00A46B93"/>
    <w:rsid w:val="00A5495D"/>
    <w:rsid w:val="00A57178"/>
    <w:rsid w:val="00A57E6F"/>
    <w:rsid w:val="00A61546"/>
    <w:rsid w:val="00A704AE"/>
    <w:rsid w:val="00A71B3F"/>
    <w:rsid w:val="00A7214E"/>
    <w:rsid w:val="00A728DC"/>
    <w:rsid w:val="00A77E2E"/>
    <w:rsid w:val="00A77EE8"/>
    <w:rsid w:val="00A80B97"/>
    <w:rsid w:val="00A94212"/>
    <w:rsid w:val="00A96646"/>
    <w:rsid w:val="00A974EA"/>
    <w:rsid w:val="00AA2380"/>
    <w:rsid w:val="00AB5483"/>
    <w:rsid w:val="00AB5CB8"/>
    <w:rsid w:val="00AC2826"/>
    <w:rsid w:val="00AC4285"/>
    <w:rsid w:val="00AC429C"/>
    <w:rsid w:val="00AC475F"/>
    <w:rsid w:val="00AD1CEE"/>
    <w:rsid w:val="00AD33A5"/>
    <w:rsid w:val="00AD590F"/>
    <w:rsid w:val="00AD6961"/>
    <w:rsid w:val="00AE314B"/>
    <w:rsid w:val="00AE7590"/>
    <w:rsid w:val="00AF0DCC"/>
    <w:rsid w:val="00AF400F"/>
    <w:rsid w:val="00AF4DC1"/>
    <w:rsid w:val="00B057C3"/>
    <w:rsid w:val="00B0624B"/>
    <w:rsid w:val="00B1220E"/>
    <w:rsid w:val="00B12836"/>
    <w:rsid w:val="00B16CD0"/>
    <w:rsid w:val="00B21CEC"/>
    <w:rsid w:val="00B304C1"/>
    <w:rsid w:val="00B314F0"/>
    <w:rsid w:val="00B31E75"/>
    <w:rsid w:val="00B3538C"/>
    <w:rsid w:val="00B378BB"/>
    <w:rsid w:val="00B40E9E"/>
    <w:rsid w:val="00B47CAE"/>
    <w:rsid w:val="00B5135D"/>
    <w:rsid w:val="00B5215A"/>
    <w:rsid w:val="00B56AAE"/>
    <w:rsid w:val="00B60815"/>
    <w:rsid w:val="00B728D9"/>
    <w:rsid w:val="00B74C66"/>
    <w:rsid w:val="00B76A84"/>
    <w:rsid w:val="00B80F0E"/>
    <w:rsid w:val="00B90D0C"/>
    <w:rsid w:val="00BA347C"/>
    <w:rsid w:val="00BA4054"/>
    <w:rsid w:val="00BA63E1"/>
    <w:rsid w:val="00BA695C"/>
    <w:rsid w:val="00BA724F"/>
    <w:rsid w:val="00BB2510"/>
    <w:rsid w:val="00BB3DAF"/>
    <w:rsid w:val="00BB4144"/>
    <w:rsid w:val="00BB6376"/>
    <w:rsid w:val="00BC0A71"/>
    <w:rsid w:val="00BC0B7D"/>
    <w:rsid w:val="00BC4FD5"/>
    <w:rsid w:val="00BC65BB"/>
    <w:rsid w:val="00BD0533"/>
    <w:rsid w:val="00BD4CC2"/>
    <w:rsid w:val="00BD5874"/>
    <w:rsid w:val="00BD65AA"/>
    <w:rsid w:val="00BD79E3"/>
    <w:rsid w:val="00BE5594"/>
    <w:rsid w:val="00BF1DD6"/>
    <w:rsid w:val="00BF50A6"/>
    <w:rsid w:val="00BF6DD9"/>
    <w:rsid w:val="00BF6FFB"/>
    <w:rsid w:val="00C03F16"/>
    <w:rsid w:val="00C05E7D"/>
    <w:rsid w:val="00C0700C"/>
    <w:rsid w:val="00C076B2"/>
    <w:rsid w:val="00C108A4"/>
    <w:rsid w:val="00C10A4A"/>
    <w:rsid w:val="00C147A0"/>
    <w:rsid w:val="00C15661"/>
    <w:rsid w:val="00C2229F"/>
    <w:rsid w:val="00C22D32"/>
    <w:rsid w:val="00C25C0F"/>
    <w:rsid w:val="00C33F6C"/>
    <w:rsid w:val="00C411BB"/>
    <w:rsid w:val="00C42B96"/>
    <w:rsid w:val="00C462C5"/>
    <w:rsid w:val="00C47295"/>
    <w:rsid w:val="00C50CF4"/>
    <w:rsid w:val="00C51028"/>
    <w:rsid w:val="00C6001A"/>
    <w:rsid w:val="00C62010"/>
    <w:rsid w:val="00C717CA"/>
    <w:rsid w:val="00C7528D"/>
    <w:rsid w:val="00C77CC9"/>
    <w:rsid w:val="00C77D1D"/>
    <w:rsid w:val="00C81576"/>
    <w:rsid w:val="00C82F71"/>
    <w:rsid w:val="00C86CE9"/>
    <w:rsid w:val="00C93D9F"/>
    <w:rsid w:val="00C96FCC"/>
    <w:rsid w:val="00CA5608"/>
    <w:rsid w:val="00CB08EB"/>
    <w:rsid w:val="00CB11FC"/>
    <w:rsid w:val="00CB5F0B"/>
    <w:rsid w:val="00CB66B6"/>
    <w:rsid w:val="00CD2577"/>
    <w:rsid w:val="00CD6744"/>
    <w:rsid w:val="00CD7C58"/>
    <w:rsid w:val="00CE10FF"/>
    <w:rsid w:val="00CF0F46"/>
    <w:rsid w:val="00CF251F"/>
    <w:rsid w:val="00D016F3"/>
    <w:rsid w:val="00D025AC"/>
    <w:rsid w:val="00D070BA"/>
    <w:rsid w:val="00D114D3"/>
    <w:rsid w:val="00D125CE"/>
    <w:rsid w:val="00D13891"/>
    <w:rsid w:val="00D14015"/>
    <w:rsid w:val="00D15183"/>
    <w:rsid w:val="00D21422"/>
    <w:rsid w:val="00D228FC"/>
    <w:rsid w:val="00D23FE2"/>
    <w:rsid w:val="00D246FC"/>
    <w:rsid w:val="00D269B7"/>
    <w:rsid w:val="00D27474"/>
    <w:rsid w:val="00D321FC"/>
    <w:rsid w:val="00D53B58"/>
    <w:rsid w:val="00D64F73"/>
    <w:rsid w:val="00D650AC"/>
    <w:rsid w:val="00D675A9"/>
    <w:rsid w:val="00D7494A"/>
    <w:rsid w:val="00D74DE4"/>
    <w:rsid w:val="00D82DAA"/>
    <w:rsid w:val="00D85C21"/>
    <w:rsid w:val="00D87154"/>
    <w:rsid w:val="00D87B01"/>
    <w:rsid w:val="00D91621"/>
    <w:rsid w:val="00D92840"/>
    <w:rsid w:val="00D93654"/>
    <w:rsid w:val="00D94475"/>
    <w:rsid w:val="00D948C2"/>
    <w:rsid w:val="00D9588D"/>
    <w:rsid w:val="00DA1C10"/>
    <w:rsid w:val="00DA3EBE"/>
    <w:rsid w:val="00DB11E0"/>
    <w:rsid w:val="00DB5308"/>
    <w:rsid w:val="00DC29BA"/>
    <w:rsid w:val="00DC6704"/>
    <w:rsid w:val="00DD16DA"/>
    <w:rsid w:val="00DD2331"/>
    <w:rsid w:val="00DE6ADA"/>
    <w:rsid w:val="00DF0285"/>
    <w:rsid w:val="00DF2A12"/>
    <w:rsid w:val="00DF3897"/>
    <w:rsid w:val="00DF589B"/>
    <w:rsid w:val="00DF69EB"/>
    <w:rsid w:val="00DF6CFC"/>
    <w:rsid w:val="00E06355"/>
    <w:rsid w:val="00E067CB"/>
    <w:rsid w:val="00E06C6C"/>
    <w:rsid w:val="00E106ED"/>
    <w:rsid w:val="00E12505"/>
    <w:rsid w:val="00E12BCF"/>
    <w:rsid w:val="00E14BF0"/>
    <w:rsid w:val="00E236C9"/>
    <w:rsid w:val="00E24352"/>
    <w:rsid w:val="00E25A27"/>
    <w:rsid w:val="00E30091"/>
    <w:rsid w:val="00E337B2"/>
    <w:rsid w:val="00E337ED"/>
    <w:rsid w:val="00E33808"/>
    <w:rsid w:val="00E3744F"/>
    <w:rsid w:val="00E40EE6"/>
    <w:rsid w:val="00E528E6"/>
    <w:rsid w:val="00E54527"/>
    <w:rsid w:val="00E56FEE"/>
    <w:rsid w:val="00E57B2A"/>
    <w:rsid w:val="00E57B94"/>
    <w:rsid w:val="00E62E50"/>
    <w:rsid w:val="00E825AE"/>
    <w:rsid w:val="00E82AC3"/>
    <w:rsid w:val="00E83D1F"/>
    <w:rsid w:val="00E842FD"/>
    <w:rsid w:val="00E86CFE"/>
    <w:rsid w:val="00E87D26"/>
    <w:rsid w:val="00E93D6E"/>
    <w:rsid w:val="00E941D0"/>
    <w:rsid w:val="00EA3DFC"/>
    <w:rsid w:val="00EA5ED4"/>
    <w:rsid w:val="00EA63F1"/>
    <w:rsid w:val="00EA7FC2"/>
    <w:rsid w:val="00EB1FE1"/>
    <w:rsid w:val="00EB5DDC"/>
    <w:rsid w:val="00ED1FE1"/>
    <w:rsid w:val="00ED3973"/>
    <w:rsid w:val="00ED6FC5"/>
    <w:rsid w:val="00EE081F"/>
    <w:rsid w:val="00EE0F50"/>
    <w:rsid w:val="00EE2436"/>
    <w:rsid w:val="00EE4693"/>
    <w:rsid w:val="00EF0785"/>
    <w:rsid w:val="00EF1D2F"/>
    <w:rsid w:val="00EF6142"/>
    <w:rsid w:val="00EF69E9"/>
    <w:rsid w:val="00F0016D"/>
    <w:rsid w:val="00F014A1"/>
    <w:rsid w:val="00F053BD"/>
    <w:rsid w:val="00F066C5"/>
    <w:rsid w:val="00F11CEB"/>
    <w:rsid w:val="00F11D75"/>
    <w:rsid w:val="00F16A55"/>
    <w:rsid w:val="00F23215"/>
    <w:rsid w:val="00F261CB"/>
    <w:rsid w:val="00F2726F"/>
    <w:rsid w:val="00F305E8"/>
    <w:rsid w:val="00F3196C"/>
    <w:rsid w:val="00F34058"/>
    <w:rsid w:val="00F34388"/>
    <w:rsid w:val="00F36C28"/>
    <w:rsid w:val="00F43463"/>
    <w:rsid w:val="00F448E4"/>
    <w:rsid w:val="00F4592B"/>
    <w:rsid w:val="00F45DF6"/>
    <w:rsid w:val="00F46E9F"/>
    <w:rsid w:val="00F513B1"/>
    <w:rsid w:val="00F51965"/>
    <w:rsid w:val="00F5396E"/>
    <w:rsid w:val="00F543E6"/>
    <w:rsid w:val="00F62B7F"/>
    <w:rsid w:val="00F64949"/>
    <w:rsid w:val="00F70AC8"/>
    <w:rsid w:val="00F746A8"/>
    <w:rsid w:val="00F85993"/>
    <w:rsid w:val="00F929E6"/>
    <w:rsid w:val="00FA280E"/>
    <w:rsid w:val="00FA467B"/>
    <w:rsid w:val="00FA5DED"/>
    <w:rsid w:val="00FA7193"/>
    <w:rsid w:val="00FA7682"/>
    <w:rsid w:val="00FB03CF"/>
    <w:rsid w:val="00FB1656"/>
    <w:rsid w:val="00FC497F"/>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next w:val="Normal"/>
    <w:rsid w:val="00BF50A6"/>
    <w:pPr>
      <w:keepNext/>
      <w:tabs>
        <w:tab w:val="left" w:pos="737"/>
      </w:tabs>
      <w:spacing w:before="180" w:after="60"/>
      <w:ind w:left="737" w:hanging="737"/>
    </w:pPr>
    <w:rPr>
      <w:rFonts w:ascii="Arial" w:hAnsi="Arial"/>
      <w:b/>
      <w:lang w:eastAsia="en-US"/>
    </w:rPr>
  </w:style>
  <w:style w:type="paragraph" w:customStyle="1" w:styleId="NFCbodyText">
    <w:name w:val="NFCbodyText"/>
    <w:basedOn w:val="Normal"/>
    <w:rsid w:val="00BF50A6"/>
    <w:pPr>
      <w:widowControl w:val="0"/>
      <w:overflowPunct w:val="0"/>
      <w:autoSpaceDE w:val="0"/>
      <w:autoSpaceDN w:val="0"/>
      <w:adjustRightInd w:val="0"/>
      <w:jc w:val="both"/>
      <w:textAlignment w:val="baseline"/>
    </w:pPr>
    <w:rPr>
      <w:szCs w:val="20"/>
      <w:lang w:eastAsia="en-US"/>
    </w:rPr>
  </w:style>
  <w:style w:type="paragraph" w:customStyle="1" w:styleId="LDBodytext">
    <w:name w:val="LDBody text"/>
    <w:link w:val="LDBodytextChar"/>
    <w:rsid w:val="008F638C"/>
    <w:rPr>
      <w:sz w:val="24"/>
      <w:szCs w:val="24"/>
      <w:lang w:eastAsia="en-US"/>
    </w:rPr>
  </w:style>
  <w:style w:type="character" w:customStyle="1" w:styleId="LDBodytextChar">
    <w:name w:val="LDBody text Char"/>
    <w:link w:val="LDBodytext"/>
    <w:rsid w:val="008F638C"/>
    <w:rPr>
      <w:sz w:val="24"/>
      <w:szCs w:val="24"/>
      <w:lang w:val="en-AU" w:eastAsia="en-US" w:bidi="ar-SA"/>
    </w:rPr>
  </w:style>
  <w:style w:type="paragraph" w:customStyle="1" w:styleId="ldclause">
    <w:name w:val="ldclause"/>
    <w:basedOn w:val="Normal"/>
    <w:rsid w:val="00116080"/>
    <w:pPr>
      <w:spacing w:before="100" w:beforeAutospacing="1" w:after="100" w:afterAutospacing="1"/>
    </w:pPr>
  </w:style>
  <w:style w:type="character" w:customStyle="1" w:styleId="bodytextchar">
    <w:name w:val="bodytextchar"/>
    <w:basedOn w:val="DefaultParagraphFont"/>
    <w:rsid w:val="00116080"/>
  </w:style>
  <w:style w:type="paragraph" w:styleId="Header">
    <w:name w:val="header"/>
    <w:basedOn w:val="Normal"/>
    <w:rsid w:val="005E0B4F"/>
    <w:pPr>
      <w:tabs>
        <w:tab w:val="center" w:pos="4153"/>
        <w:tab w:val="right" w:pos="8306"/>
      </w:tabs>
    </w:pPr>
  </w:style>
  <w:style w:type="paragraph" w:styleId="Footer">
    <w:name w:val="footer"/>
    <w:basedOn w:val="Normal"/>
    <w:rsid w:val="005E0B4F"/>
    <w:pPr>
      <w:tabs>
        <w:tab w:val="center" w:pos="4153"/>
        <w:tab w:val="right" w:pos="8306"/>
      </w:tabs>
    </w:pPr>
  </w:style>
  <w:style w:type="character" w:styleId="PageNumber">
    <w:name w:val="page number"/>
    <w:basedOn w:val="DefaultParagraphFont"/>
    <w:rsid w:val="005E0B4F"/>
  </w:style>
  <w:style w:type="paragraph" w:styleId="NormalWeb">
    <w:name w:val="Normal (Web)"/>
    <w:basedOn w:val="Normal"/>
    <w:rsid w:val="007F5798"/>
    <w:pPr>
      <w:spacing w:before="100" w:beforeAutospacing="1" w:after="100" w:afterAutospacing="1"/>
    </w:pPr>
  </w:style>
  <w:style w:type="character" w:styleId="CommentReference">
    <w:name w:val="annotation reference"/>
    <w:rsid w:val="001C568D"/>
    <w:rPr>
      <w:sz w:val="16"/>
      <w:szCs w:val="16"/>
    </w:rPr>
  </w:style>
  <w:style w:type="paragraph" w:styleId="CommentText">
    <w:name w:val="annotation text"/>
    <w:basedOn w:val="Normal"/>
    <w:link w:val="CommentTextChar"/>
    <w:rsid w:val="001C568D"/>
    <w:rPr>
      <w:sz w:val="20"/>
      <w:szCs w:val="20"/>
    </w:rPr>
  </w:style>
  <w:style w:type="character" w:customStyle="1" w:styleId="CommentTextChar">
    <w:name w:val="Comment Text Char"/>
    <w:basedOn w:val="DefaultParagraphFont"/>
    <w:link w:val="CommentText"/>
    <w:rsid w:val="001C568D"/>
  </w:style>
  <w:style w:type="paragraph" w:styleId="CommentSubject">
    <w:name w:val="annotation subject"/>
    <w:basedOn w:val="CommentText"/>
    <w:next w:val="CommentText"/>
    <w:link w:val="CommentSubjectChar"/>
    <w:rsid w:val="001C568D"/>
    <w:rPr>
      <w:b/>
      <w:bCs/>
    </w:rPr>
  </w:style>
  <w:style w:type="character" w:customStyle="1" w:styleId="CommentSubjectChar">
    <w:name w:val="Comment Subject Char"/>
    <w:link w:val="CommentSubject"/>
    <w:rsid w:val="001C568D"/>
    <w:rPr>
      <w:b/>
      <w:bCs/>
    </w:rPr>
  </w:style>
  <w:style w:type="paragraph" w:styleId="BalloonText">
    <w:name w:val="Balloon Text"/>
    <w:basedOn w:val="Normal"/>
    <w:link w:val="BalloonTextChar"/>
    <w:rsid w:val="001C568D"/>
    <w:rPr>
      <w:rFonts w:ascii="Tahoma" w:hAnsi="Tahoma" w:cs="Tahoma"/>
      <w:sz w:val="16"/>
      <w:szCs w:val="16"/>
    </w:rPr>
  </w:style>
  <w:style w:type="character" w:customStyle="1" w:styleId="BalloonTextChar">
    <w:name w:val="Balloon Text Char"/>
    <w:link w:val="BalloonText"/>
    <w:rsid w:val="001C568D"/>
    <w:rPr>
      <w:rFonts w:ascii="Tahoma" w:hAnsi="Tahoma" w:cs="Tahoma"/>
      <w:sz w:val="16"/>
      <w:szCs w:val="16"/>
    </w:rPr>
  </w:style>
  <w:style w:type="paragraph" w:customStyle="1" w:styleId="LDScheduleClause">
    <w:name w:val="LDScheduleClause"/>
    <w:basedOn w:val="ldclause"/>
    <w:rsid w:val="000E0AC3"/>
    <w:pPr>
      <w:tabs>
        <w:tab w:val="right" w:pos="454"/>
        <w:tab w:val="left" w:pos="737"/>
      </w:tabs>
      <w:spacing w:before="60" w:beforeAutospacing="0" w:after="60" w:afterAutospacing="0"/>
      <w:ind w:left="738" w:hanging="851"/>
    </w:pPr>
    <w:rPr>
      <w:lang w:eastAsia="en-US"/>
    </w:rPr>
  </w:style>
  <w:style w:type="paragraph" w:styleId="ListParagraph">
    <w:name w:val="List Paragraph"/>
    <w:basedOn w:val="Normal"/>
    <w:uiPriority w:val="34"/>
    <w:qFormat/>
    <w:rsid w:val="00EE2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next w:val="Normal"/>
    <w:rsid w:val="00BF50A6"/>
    <w:pPr>
      <w:keepNext/>
      <w:tabs>
        <w:tab w:val="left" w:pos="737"/>
      </w:tabs>
      <w:spacing w:before="180" w:after="60"/>
      <w:ind w:left="737" w:hanging="737"/>
    </w:pPr>
    <w:rPr>
      <w:rFonts w:ascii="Arial" w:hAnsi="Arial"/>
      <w:b/>
      <w:lang w:eastAsia="en-US"/>
    </w:rPr>
  </w:style>
  <w:style w:type="paragraph" w:customStyle="1" w:styleId="NFCbodyText">
    <w:name w:val="NFCbodyText"/>
    <w:basedOn w:val="Normal"/>
    <w:rsid w:val="00BF50A6"/>
    <w:pPr>
      <w:widowControl w:val="0"/>
      <w:overflowPunct w:val="0"/>
      <w:autoSpaceDE w:val="0"/>
      <w:autoSpaceDN w:val="0"/>
      <w:adjustRightInd w:val="0"/>
      <w:jc w:val="both"/>
      <w:textAlignment w:val="baseline"/>
    </w:pPr>
    <w:rPr>
      <w:szCs w:val="20"/>
      <w:lang w:eastAsia="en-US"/>
    </w:rPr>
  </w:style>
  <w:style w:type="paragraph" w:customStyle="1" w:styleId="LDBodytext">
    <w:name w:val="LDBody text"/>
    <w:link w:val="LDBodytextChar"/>
    <w:rsid w:val="008F638C"/>
    <w:rPr>
      <w:sz w:val="24"/>
      <w:szCs w:val="24"/>
      <w:lang w:eastAsia="en-US"/>
    </w:rPr>
  </w:style>
  <w:style w:type="character" w:customStyle="1" w:styleId="LDBodytextChar">
    <w:name w:val="LDBody text Char"/>
    <w:link w:val="LDBodytext"/>
    <w:rsid w:val="008F638C"/>
    <w:rPr>
      <w:sz w:val="24"/>
      <w:szCs w:val="24"/>
      <w:lang w:val="en-AU" w:eastAsia="en-US" w:bidi="ar-SA"/>
    </w:rPr>
  </w:style>
  <w:style w:type="paragraph" w:customStyle="1" w:styleId="ldclause">
    <w:name w:val="ldclause"/>
    <w:basedOn w:val="Normal"/>
    <w:rsid w:val="00116080"/>
    <w:pPr>
      <w:spacing w:before="100" w:beforeAutospacing="1" w:after="100" w:afterAutospacing="1"/>
    </w:pPr>
  </w:style>
  <w:style w:type="character" w:customStyle="1" w:styleId="bodytextchar">
    <w:name w:val="bodytextchar"/>
    <w:basedOn w:val="DefaultParagraphFont"/>
    <w:rsid w:val="00116080"/>
  </w:style>
  <w:style w:type="paragraph" w:styleId="Header">
    <w:name w:val="header"/>
    <w:basedOn w:val="Normal"/>
    <w:rsid w:val="005E0B4F"/>
    <w:pPr>
      <w:tabs>
        <w:tab w:val="center" w:pos="4153"/>
        <w:tab w:val="right" w:pos="8306"/>
      </w:tabs>
    </w:pPr>
  </w:style>
  <w:style w:type="paragraph" w:styleId="Footer">
    <w:name w:val="footer"/>
    <w:basedOn w:val="Normal"/>
    <w:rsid w:val="005E0B4F"/>
    <w:pPr>
      <w:tabs>
        <w:tab w:val="center" w:pos="4153"/>
        <w:tab w:val="right" w:pos="8306"/>
      </w:tabs>
    </w:pPr>
  </w:style>
  <w:style w:type="character" w:styleId="PageNumber">
    <w:name w:val="page number"/>
    <w:basedOn w:val="DefaultParagraphFont"/>
    <w:rsid w:val="005E0B4F"/>
  </w:style>
  <w:style w:type="paragraph" w:styleId="NormalWeb">
    <w:name w:val="Normal (Web)"/>
    <w:basedOn w:val="Normal"/>
    <w:rsid w:val="007F5798"/>
    <w:pPr>
      <w:spacing w:before="100" w:beforeAutospacing="1" w:after="100" w:afterAutospacing="1"/>
    </w:pPr>
  </w:style>
  <w:style w:type="character" w:styleId="CommentReference">
    <w:name w:val="annotation reference"/>
    <w:rsid w:val="001C568D"/>
    <w:rPr>
      <w:sz w:val="16"/>
      <w:szCs w:val="16"/>
    </w:rPr>
  </w:style>
  <w:style w:type="paragraph" w:styleId="CommentText">
    <w:name w:val="annotation text"/>
    <w:basedOn w:val="Normal"/>
    <w:link w:val="CommentTextChar"/>
    <w:rsid w:val="001C568D"/>
    <w:rPr>
      <w:sz w:val="20"/>
      <w:szCs w:val="20"/>
    </w:rPr>
  </w:style>
  <w:style w:type="character" w:customStyle="1" w:styleId="CommentTextChar">
    <w:name w:val="Comment Text Char"/>
    <w:basedOn w:val="DefaultParagraphFont"/>
    <w:link w:val="CommentText"/>
    <w:rsid w:val="001C568D"/>
  </w:style>
  <w:style w:type="paragraph" w:styleId="CommentSubject">
    <w:name w:val="annotation subject"/>
    <w:basedOn w:val="CommentText"/>
    <w:next w:val="CommentText"/>
    <w:link w:val="CommentSubjectChar"/>
    <w:rsid w:val="001C568D"/>
    <w:rPr>
      <w:b/>
      <w:bCs/>
    </w:rPr>
  </w:style>
  <w:style w:type="character" w:customStyle="1" w:styleId="CommentSubjectChar">
    <w:name w:val="Comment Subject Char"/>
    <w:link w:val="CommentSubject"/>
    <w:rsid w:val="001C568D"/>
    <w:rPr>
      <w:b/>
      <w:bCs/>
    </w:rPr>
  </w:style>
  <w:style w:type="paragraph" w:styleId="BalloonText">
    <w:name w:val="Balloon Text"/>
    <w:basedOn w:val="Normal"/>
    <w:link w:val="BalloonTextChar"/>
    <w:rsid w:val="001C568D"/>
    <w:rPr>
      <w:rFonts w:ascii="Tahoma" w:hAnsi="Tahoma" w:cs="Tahoma"/>
      <w:sz w:val="16"/>
      <w:szCs w:val="16"/>
    </w:rPr>
  </w:style>
  <w:style w:type="character" w:customStyle="1" w:styleId="BalloonTextChar">
    <w:name w:val="Balloon Text Char"/>
    <w:link w:val="BalloonText"/>
    <w:rsid w:val="001C568D"/>
    <w:rPr>
      <w:rFonts w:ascii="Tahoma" w:hAnsi="Tahoma" w:cs="Tahoma"/>
      <w:sz w:val="16"/>
      <w:szCs w:val="16"/>
    </w:rPr>
  </w:style>
  <w:style w:type="paragraph" w:customStyle="1" w:styleId="LDScheduleClause">
    <w:name w:val="LDScheduleClause"/>
    <w:basedOn w:val="ldclause"/>
    <w:rsid w:val="000E0AC3"/>
    <w:pPr>
      <w:tabs>
        <w:tab w:val="right" w:pos="454"/>
        <w:tab w:val="left" w:pos="737"/>
      </w:tabs>
      <w:spacing w:before="60" w:beforeAutospacing="0" w:after="60" w:afterAutospacing="0"/>
      <w:ind w:left="738" w:hanging="851"/>
    </w:pPr>
    <w:rPr>
      <w:lang w:eastAsia="en-US"/>
    </w:rPr>
  </w:style>
  <w:style w:type="paragraph" w:styleId="ListParagraph">
    <w:name w:val="List Paragraph"/>
    <w:basedOn w:val="Normal"/>
    <w:uiPriority w:val="34"/>
    <w:qFormat/>
    <w:rsid w:val="00EE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3938">
      <w:bodyDiv w:val="1"/>
      <w:marLeft w:val="0"/>
      <w:marRight w:val="0"/>
      <w:marTop w:val="0"/>
      <w:marBottom w:val="0"/>
      <w:divBdr>
        <w:top w:val="none" w:sz="0" w:space="0" w:color="auto"/>
        <w:left w:val="none" w:sz="0" w:space="0" w:color="auto"/>
        <w:bottom w:val="none" w:sz="0" w:space="0" w:color="auto"/>
        <w:right w:val="none" w:sz="0" w:space="0" w:color="auto"/>
      </w:divBdr>
    </w:div>
    <w:div w:id="18556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892</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CASA EX110/15 — Explanatory Statement</vt:lpstr>
    </vt:vector>
  </TitlesOfParts>
  <Company>Civil Aviation Safety Authority</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EX96/16 — Explanatory Statement</dc:title>
  <dc:subject>Exemption – Cessna 100 series aircraft operated in the private category – extension of Supplemental Inspection Document requirements</dc:subject>
  <dc:creator>Civil Aviation Safety Authority</dc:creator>
  <cp:lastModifiedBy>Nadia Spesyvy</cp:lastModifiedBy>
  <cp:revision>5</cp:revision>
  <cp:lastPrinted>2016-06-20T01:56:00Z</cp:lastPrinted>
  <dcterms:created xsi:type="dcterms:W3CDTF">2016-06-20T01:38:00Z</dcterms:created>
  <dcterms:modified xsi:type="dcterms:W3CDTF">2016-06-20T02:04:00Z</dcterms:modified>
  <cp:category>Exemptions</cp:category>
</cp:coreProperties>
</file>