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D3B6E" w14:textId="77777777" w:rsidR="003B2EEF" w:rsidRDefault="00F1462B" w:rsidP="00FD5DBE">
      <w:pPr>
        <w:pStyle w:val="LDAmendHeading"/>
        <w:ind w:left="0" w:firstLine="0"/>
      </w:pPr>
      <w:r>
        <w:t>E</w:t>
      </w:r>
      <w:r w:rsidR="00FD5DBE">
        <w:t>xplanatory Statement</w:t>
      </w:r>
    </w:p>
    <w:p w14:paraId="5ABDE3E5" w14:textId="7F7A9D23" w:rsidR="00FD5DBE" w:rsidRDefault="000F0CF4" w:rsidP="00FD5DBE">
      <w:pPr>
        <w:pStyle w:val="LDAmendHeading"/>
        <w:ind w:left="0" w:firstLine="0"/>
      </w:pPr>
      <w:r w:rsidRPr="001915EE">
        <w:t>Marine Order</w:t>
      </w:r>
      <w:r>
        <w:t xml:space="preserve"> 12 (Construction — subdivision and stability, machinery and electrical installations) 2016 </w:t>
      </w:r>
      <w:r w:rsidR="00506142" w:rsidRPr="00B2495A">
        <w:t xml:space="preserve">(Order </w:t>
      </w:r>
      <w:r w:rsidR="006E2A8C" w:rsidRPr="00B2495A">
        <w:t>201</w:t>
      </w:r>
      <w:r w:rsidR="00E335D4" w:rsidRPr="00B2495A">
        <w:t>6</w:t>
      </w:r>
      <w:r w:rsidR="00BA6239" w:rsidRPr="0092368B">
        <w:t>/</w:t>
      </w:r>
      <w:bookmarkStart w:id="0" w:name="_GoBack"/>
      <w:bookmarkEnd w:id="0"/>
      <w:r w:rsidR="00947456" w:rsidRPr="00947456">
        <w:t>10</w:t>
      </w:r>
      <w:r w:rsidR="00BA6239" w:rsidRPr="00B2495A">
        <w:t>)</w:t>
      </w:r>
    </w:p>
    <w:p w14:paraId="493DD332" w14:textId="77777777" w:rsidR="009B015D" w:rsidRDefault="009B015D" w:rsidP="009B015D">
      <w:pPr>
        <w:pStyle w:val="LDAmendHeading"/>
        <w:ind w:left="0" w:firstLine="0"/>
      </w:pPr>
      <w:r>
        <w:t>Authority</w:t>
      </w:r>
    </w:p>
    <w:p w14:paraId="02A8DF17" w14:textId="3D49B400" w:rsidR="007B232D" w:rsidRDefault="00BF193B" w:rsidP="00E576E4">
      <w:pPr>
        <w:pStyle w:val="LDMinuteParagraph"/>
      </w:pPr>
      <w:r>
        <w:t xml:space="preserve">Subsection 309(2) </w:t>
      </w:r>
      <w:r w:rsidR="002B7DA1">
        <w:t xml:space="preserve">of the </w:t>
      </w:r>
      <w:r w:rsidR="002B7DA1" w:rsidRPr="002B7DA1">
        <w:rPr>
          <w:i/>
        </w:rPr>
        <w:t xml:space="preserve">Navigation Act 2012 </w:t>
      </w:r>
      <w:r w:rsidR="002B7DA1">
        <w:t xml:space="preserve">(the Navigation Act) </w:t>
      </w:r>
      <w:r>
        <w:t>provides that the regulations may provide for the keeping of an official logbook including prescribing the entries to be made and the time of making the entries</w:t>
      </w:r>
      <w:r w:rsidR="008A6677">
        <w:t>.</w:t>
      </w:r>
    </w:p>
    <w:p w14:paraId="63F0F484" w14:textId="77777777" w:rsidR="00156054" w:rsidRDefault="00156054" w:rsidP="00156054">
      <w:pPr>
        <w:pStyle w:val="LDMinuteParagraph"/>
      </w:pPr>
      <w:r w:rsidRPr="00C722FE">
        <w:t xml:space="preserve">Subsection </w:t>
      </w:r>
      <w:r>
        <w:t>339</w:t>
      </w:r>
      <w:r w:rsidRPr="00C722FE">
        <w:t xml:space="preserve">(1) </w:t>
      </w:r>
      <w:r>
        <w:t xml:space="preserve">of the Navigation Act </w:t>
      </w:r>
      <w:r w:rsidRPr="00C722FE">
        <w:t>authorises the Governor-General to make regulations necessary or convenient for carrying out or giving effect to the Navigation Act.</w:t>
      </w:r>
    </w:p>
    <w:p w14:paraId="2F5CD91A" w14:textId="2E8C8E0B" w:rsidR="008522B5" w:rsidRDefault="008522B5" w:rsidP="008522B5">
      <w:pPr>
        <w:pStyle w:val="LDMinuteParagraph"/>
      </w:pPr>
      <w:r>
        <w:t>P</w:t>
      </w:r>
      <w:r w:rsidRPr="00276232">
        <w:t>aragraphs 339(2</w:t>
      </w:r>
      <w:proofErr w:type="gramStart"/>
      <w:r w:rsidRPr="00276232">
        <w:t>)(</w:t>
      </w:r>
      <w:proofErr w:type="gramEnd"/>
      <w:r w:rsidRPr="00276232">
        <w:t>a) and (b)</w:t>
      </w:r>
      <w:r w:rsidR="007B232D">
        <w:t xml:space="preserve"> of the Navigation Act provides that</w:t>
      </w:r>
      <w:r w:rsidR="007B232D" w:rsidRPr="0045079A">
        <w:t xml:space="preserve"> the regulations may </w:t>
      </w:r>
      <w:r w:rsidRPr="00276232">
        <w:t xml:space="preserve">provide for </w:t>
      </w:r>
      <w:r>
        <w:t xml:space="preserve">the </w:t>
      </w:r>
      <w:r w:rsidRPr="00276232">
        <w:t>des</w:t>
      </w:r>
      <w:r>
        <w:t>ign and construction of vessels and for the</w:t>
      </w:r>
      <w:r w:rsidRPr="00276232">
        <w:t xml:space="preserve"> machinery and equipment</w:t>
      </w:r>
      <w:r>
        <w:t xml:space="preserve"> to be carried on board vessels. </w:t>
      </w:r>
    </w:p>
    <w:p w14:paraId="2C5AB2DD" w14:textId="334D976E" w:rsidR="008522B5" w:rsidRDefault="008522B5" w:rsidP="008522B5">
      <w:pPr>
        <w:pStyle w:val="LDMinuteParagraph"/>
      </w:pPr>
      <w:r>
        <w:t>P</w:t>
      </w:r>
      <w:r w:rsidRPr="00276232">
        <w:t>aragraph 339(2</w:t>
      </w:r>
      <w:proofErr w:type="gramStart"/>
      <w:r w:rsidRPr="00276232">
        <w:t>)(</w:t>
      </w:r>
      <w:proofErr w:type="gramEnd"/>
      <w:r w:rsidRPr="00276232">
        <w:t xml:space="preserve">e) </w:t>
      </w:r>
      <w:r>
        <w:t xml:space="preserve">of the Navigation Act </w:t>
      </w:r>
      <w:r w:rsidRPr="00276232">
        <w:t xml:space="preserve">provides that </w:t>
      </w:r>
      <w:r>
        <w:t xml:space="preserve">the </w:t>
      </w:r>
      <w:r w:rsidRPr="00276232">
        <w:t>regulations may provide for the stability of vessels, including information about, and testi</w:t>
      </w:r>
      <w:r>
        <w:t>ng of, the stability of vessels.</w:t>
      </w:r>
    </w:p>
    <w:p w14:paraId="5C2FB3FA" w14:textId="02130F04" w:rsidR="008522B5" w:rsidRDefault="008522B5" w:rsidP="008522B5">
      <w:pPr>
        <w:pStyle w:val="LDMinuteParagraph"/>
      </w:pPr>
      <w:r>
        <w:t>P</w:t>
      </w:r>
      <w:r w:rsidRPr="00276232">
        <w:t xml:space="preserve">aragraph 340(1)(a) </w:t>
      </w:r>
      <w:r>
        <w:t xml:space="preserve">of the Navigation Act </w:t>
      </w:r>
      <w:r w:rsidRPr="00276232">
        <w:t xml:space="preserve">provides that </w:t>
      </w:r>
      <w:r>
        <w:t xml:space="preserve">the </w:t>
      </w:r>
      <w:r w:rsidRPr="00276232">
        <w:t xml:space="preserve">regulations may provide for giving effect to </w:t>
      </w:r>
      <w:r w:rsidR="00156054">
        <w:t>the International Convention for the Safety of Life at Sea (</w:t>
      </w:r>
      <w:r w:rsidRPr="00276232">
        <w:t>SOLA</w:t>
      </w:r>
      <w:r>
        <w:t>S</w:t>
      </w:r>
      <w:r w:rsidR="00156054">
        <w:t>)</w:t>
      </w:r>
      <w:r>
        <w:t>.</w:t>
      </w:r>
    </w:p>
    <w:p w14:paraId="0B74FC52" w14:textId="332E9C52" w:rsidR="008522B5" w:rsidRDefault="008522B5" w:rsidP="008522B5">
      <w:pPr>
        <w:pStyle w:val="LDMinuteParagraph"/>
      </w:pPr>
      <w:r>
        <w:t>S</w:t>
      </w:r>
      <w:r w:rsidRPr="001B7652">
        <w:t xml:space="preserve">ubsection 341(1) </w:t>
      </w:r>
      <w:r>
        <w:t xml:space="preserve">of the Navigation Act </w:t>
      </w:r>
      <w:r w:rsidRPr="001B7652">
        <w:t xml:space="preserve">provides </w:t>
      </w:r>
      <w:r>
        <w:t xml:space="preserve">that the regulations may provide </w:t>
      </w:r>
      <w:r w:rsidRPr="001B7652">
        <w:t>for the imposition of penalties for a contravention of</w:t>
      </w:r>
      <w:r>
        <w:t xml:space="preserve"> a provision of the regulations.</w:t>
      </w:r>
    </w:p>
    <w:p w14:paraId="5F113A21" w14:textId="77777777" w:rsidR="009B015D" w:rsidRDefault="009B015D" w:rsidP="00E576E4">
      <w:pPr>
        <w:pStyle w:val="LDMinuteParagraph"/>
      </w:pPr>
      <w:r w:rsidRPr="00C722FE">
        <w:t xml:space="preserve">Subsection </w:t>
      </w:r>
      <w:r w:rsidR="009A3D84">
        <w:t>342</w:t>
      </w:r>
      <w:r w:rsidRPr="00C722FE">
        <w:t xml:space="preserve">(1) </w:t>
      </w:r>
      <w:r w:rsidR="00816F6E">
        <w:t xml:space="preserve">of the Navigation Act </w:t>
      </w:r>
      <w:r w:rsidRPr="00C722FE">
        <w:t xml:space="preserve">allows the Australian Maritime Safety Authority (AMSA) to make orders </w:t>
      </w:r>
      <w:r>
        <w:t>for</w:t>
      </w:r>
      <w:r w:rsidRPr="00C722FE">
        <w:t xml:space="preserve"> any matter in the Act for or in relation to which provision may be made by regulations.</w:t>
      </w:r>
    </w:p>
    <w:p w14:paraId="32EFE971" w14:textId="77777777" w:rsidR="00697B63" w:rsidRPr="00C722FE" w:rsidRDefault="00697B63" w:rsidP="00E576E4">
      <w:pPr>
        <w:pStyle w:val="LDMinuteParagraph"/>
      </w:pPr>
      <w:r>
        <w:rPr>
          <w:shd w:val="clear" w:color="auto" w:fill="FFFFFF"/>
        </w:rPr>
        <w:t>Subsection 33</w:t>
      </w:r>
      <w:r w:rsidRPr="001F4E38">
        <w:rPr>
          <w:shd w:val="clear" w:color="auto" w:fill="FFFFFF"/>
        </w:rPr>
        <w:t>(3) of the</w:t>
      </w:r>
      <w:r w:rsidRPr="001F4E38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>
        <w:rPr>
          <w:i/>
          <w:iCs/>
          <w:shd w:val="clear" w:color="auto" w:fill="FFFFFF"/>
        </w:rPr>
        <w:t>Acts Interpretation Act </w:t>
      </w:r>
      <w:r w:rsidRPr="001F4E38">
        <w:rPr>
          <w:i/>
          <w:iCs/>
          <w:shd w:val="clear" w:color="auto" w:fill="FFFFFF"/>
        </w:rPr>
        <w:t>1901</w:t>
      </w:r>
      <w:r>
        <w:rPr>
          <w:iCs/>
          <w:shd w:val="clear" w:color="auto" w:fill="FFFFFF"/>
        </w:rPr>
        <w:t xml:space="preserve"> </w:t>
      </w:r>
      <w:r>
        <w:rPr>
          <w:shd w:val="clear" w:color="auto" w:fill="FFFFFF"/>
        </w:rPr>
        <w:t>provides that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power in </w:t>
      </w:r>
      <w:r w:rsidRPr="001F4E38">
        <w:rPr>
          <w:shd w:val="clear" w:color="auto" w:fill="FFFFFF"/>
        </w:rPr>
        <w:t>an Act</w:t>
      </w:r>
      <w:r>
        <w:rPr>
          <w:shd w:val="clear" w:color="auto" w:fill="FFFFFF"/>
        </w:rPr>
        <w:t xml:space="preserve"> </w:t>
      </w:r>
      <w:r w:rsidRPr="001F4E38">
        <w:rPr>
          <w:shd w:val="clear" w:color="auto" w:fill="FFFFFF"/>
        </w:rPr>
        <w:t>to make</w:t>
      </w:r>
      <w:r>
        <w:rPr>
          <w:shd w:val="clear" w:color="auto" w:fill="FFFFFF"/>
        </w:rPr>
        <w:t xml:space="preserve"> a legislative</w:t>
      </w:r>
      <w:r w:rsidRPr="001F4E38">
        <w:rPr>
          <w:shd w:val="clear" w:color="auto" w:fill="FFFFFF"/>
        </w:rPr>
        <w:t xml:space="preserve"> instrument </w:t>
      </w:r>
      <w:r>
        <w:rPr>
          <w:shd w:val="clear" w:color="auto" w:fill="FFFFFF"/>
        </w:rPr>
        <w:t>includes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Pr="001F4E38">
        <w:rPr>
          <w:shd w:val="clear" w:color="auto" w:fill="FFFFFF"/>
        </w:rPr>
        <w:t>power to repe</w:t>
      </w:r>
      <w:r>
        <w:rPr>
          <w:shd w:val="clear" w:color="auto" w:fill="FFFFFF"/>
        </w:rPr>
        <w:t>al or</w:t>
      </w:r>
      <w:r w:rsidRPr="001F4E38">
        <w:rPr>
          <w:shd w:val="clear" w:color="auto" w:fill="FFFFFF"/>
        </w:rPr>
        <w:t xml:space="preserve"> amend</w:t>
      </w:r>
      <w:r>
        <w:rPr>
          <w:shd w:val="clear" w:color="auto" w:fill="FFFFFF"/>
        </w:rPr>
        <w:t xml:space="preserve"> the</w:t>
      </w:r>
      <w:r w:rsidRPr="001F4E38">
        <w:rPr>
          <w:shd w:val="clear" w:color="auto" w:fill="FFFFFF"/>
        </w:rPr>
        <w:t xml:space="preserve"> instrument</w:t>
      </w:r>
      <w:r>
        <w:rPr>
          <w:shd w:val="clear" w:color="auto" w:fill="FFFFFF"/>
        </w:rPr>
        <w:t>, subject to any conditions that apply to the initial power</w:t>
      </w:r>
      <w:r w:rsidRPr="001F4E38">
        <w:rPr>
          <w:shd w:val="clear" w:color="auto" w:fill="FFFFFF"/>
        </w:rPr>
        <w:t>.</w:t>
      </w:r>
    </w:p>
    <w:p w14:paraId="38DB6BA5" w14:textId="5E7740DC" w:rsidR="009B015D" w:rsidRPr="00C722FE" w:rsidRDefault="009B015D" w:rsidP="00E576E4">
      <w:pPr>
        <w:pStyle w:val="LDMinuteParagraph"/>
      </w:pPr>
      <w:r>
        <w:t xml:space="preserve">This Order </w:t>
      </w:r>
      <w:r w:rsidRPr="00C722FE">
        <w:t xml:space="preserve">is a legislative instrument for the </w:t>
      </w:r>
      <w:r w:rsidRPr="009B015D">
        <w:rPr>
          <w:i/>
        </w:rPr>
        <w:t>Legislati</w:t>
      </w:r>
      <w:r w:rsidR="00816F6E">
        <w:rPr>
          <w:i/>
        </w:rPr>
        <w:t xml:space="preserve">on </w:t>
      </w:r>
      <w:r w:rsidRPr="009B015D">
        <w:rPr>
          <w:i/>
        </w:rPr>
        <w:t>Act 2003</w:t>
      </w:r>
      <w:r w:rsidRPr="00C722FE">
        <w:t>.</w:t>
      </w:r>
    </w:p>
    <w:p w14:paraId="54BD5961" w14:textId="77777777" w:rsidR="00FB71D1" w:rsidRPr="00B4479A" w:rsidRDefault="009B015D" w:rsidP="009B015D">
      <w:pPr>
        <w:pStyle w:val="LDAmendHeading"/>
        <w:ind w:left="0" w:firstLine="0"/>
      </w:pPr>
      <w:r>
        <w:t>Purpose</w:t>
      </w:r>
    </w:p>
    <w:p w14:paraId="084A740F" w14:textId="64F83E7D" w:rsidR="002B28C1" w:rsidRPr="006E6007" w:rsidRDefault="009B015D" w:rsidP="00276EF9">
      <w:pPr>
        <w:pStyle w:val="LDMinuteParagraph"/>
        <w:numPr>
          <w:ilvl w:val="0"/>
          <w:numId w:val="0"/>
        </w:numPr>
        <w:tabs>
          <w:tab w:val="num" w:pos="0"/>
        </w:tabs>
      </w:pPr>
      <w:r>
        <w:t>This Order</w:t>
      </w:r>
      <w:r w:rsidR="00780D29">
        <w:t xml:space="preserve"> </w:t>
      </w:r>
      <w:r w:rsidR="00A215E3">
        <w:t xml:space="preserve">gives effect to </w:t>
      </w:r>
      <w:r w:rsidR="00A215E3" w:rsidRPr="000452B0">
        <w:t>Chapter II-1 of SOLAS</w:t>
      </w:r>
      <w:r w:rsidR="00A215E3">
        <w:t xml:space="preserve"> other than Regulation 21 and prescribes </w:t>
      </w:r>
      <w:r w:rsidR="00A215E3" w:rsidRPr="000452B0">
        <w:t xml:space="preserve">standards </w:t>
      </w:r>
      <w:r w:rsidR="00A215E3">
        <w:t>for the</w:t>
      </w:r>
      <w:r w:rsidR="00A215E3" w:rsidRPr="000452B0">
        <w:t xml:space="preserve"> structure, subdivision, stability, machinery and electrical installations for</w:t>
      </w:r>
      <w:r w:rsidR="00A215E3">
        <w:t xml:space="preserve"> </w:t>
      </w:r>
      <w:r w:rsidR="00A215E3" w:rsidRPr="00276232">
        <w:t xml:space="preserve">vessels to which Chapter II-1 of SOLAS </w:t>
      </w:r>
      <w:r w:rsidR="00A215E3">
        <w:t xml:space="preserve">applies and </w:t>
      </w:r>
      <w:r w:rsidR="00A215E3" w:rsidRPr="00276232">
        <w:t>vessels to which Chapter II-1 of SOLAS does not apply</w:t>
      </w:r>
      <w:r w:rsidR="00A215E3">
        <w:t xml:space="preserve">.  It also </w:t>
      </w:r>
      <w:r w:rsidR="00A215E3" w:rsidRPr="000452B0">
        <w:t xml:space="preserve">gives effect to the </w:t>
      </w:r>
      <w:r w:rsidR="00A215E3" w:rsidRPr="00A215E3">
        <w:rPr>
          <w:i/>
        </w:rPr>
        <w:t>Guidelines for the Design and Construction of Offshore Supply Vessels</w:t>
      </w:r>
      <w:r w:rsidR="00156054">
        <w:rPr>
          <w:i/>
        </w:rPr>
        <w:t>,</w:t>
      </w:r>
      <w:r w:rsidR="00A215E3" w:rsidRPr="00A215E3">
        <w:rPr>
          <w:i/>
        </w:rPr>
        <w:t xml:space="preserve"> 2006</w:t>
      </w:r>
      <w:r w:rsidR="00A215E3" w:rsidRPr="008522B5">
        <w:t xml:space="preserve"> </w:t>
      </w:r>
      <w:r w:rsidR="00C41006">
        <w:t xml:space="preserve">of the International Maritime Organization (IMO) that were </w:t>
      </w:r>
      <w:r w:rsidR="00A215E3" w:rsidRPr="008522B5">
        <w:t>adopted by IMO Resolution MSC.235 (82)</w:t>
      </w:r>
      <w:r w:rsidR="00C41006">
        <w:t xml:space="preserve"> </w:t>
      </w:r>
      <w:r w:rsidR="00156054">
        <w:t xml:space="preserve">and </w:t>
      </w:r>
      <w:r w:rsidR="00C41006">
        <w:t xml:space="preserve">to </w:t>
      </w:r>
      <w:r w:rsidR="00156054">
        <w:t xml:space="preserve">an earlier version of these guidelines adopted by IMO </w:t>
      </w:r>
      <w:r w:rsidR="00156054" w:rsidRPr="001B526F">
        <w:t xml:space="preserve">Resolution </w:t>
      </w:r>
      <w:proofErr w:type="gramStart"/>
      <w:r w:rsidR="00156054" w:rsidRPr="001B526F">
        <w:t>A.469(</w:t>
      </w:r>
      <w:proofErr w:type="gramEnd"/>
      <w:r w:rsidR="00156054" w:rsidRPr="001B526F">
        <w:t>XII)</w:t>
      </w:r>
      <w:r w:rsidR="00156054">
        <w:t xml:space="preserve"> </w:t>
      </w:r>
      <w:r w:rsidR="00A215E3">
        <w:t>(the OSV</w:t>
      </w:r>
      <w:r w:rsidR="00A215E3" w:rsidRPr="00A215E3">
        <w:rPr>
          <w:i/>
        </w:rPr>
        <w:t xml:space="preserve"> </w:t>
      </w:r>
      <w:r w:rsidR="00E81F79">
        <w:t>G</w:t>
      </w:r>
      <w:r w:rsidR="00A215E3" w:rsidRPr="000452B0">
        <w:t>uidelines</w:t>
      </w:r>
      <w:r w:rsidR="00A215E3">
        <w:t xml:space="preserve">). </w:t>
      </w:r>
    </w:p>
    <w:p w14:paraId="404B1AF8" w14:textId="77777777" w:rsidR="009B015D" w:rsidRPr="006E6007" w:rsidRDefault="009B015D" w:rsidP="00BB6EA6">
      <w:pPr>
        <w:pStyle w:val="LDAmendHeading"/>
      </w:pPr>
      <w:r w:rsidRPr="006E6007">
        <w:t>Overview</w:t>
      </w:r>
    </w:p>
    <w:p w14:paraId="1C5684EC" w14:textId="22823D58" w:rsidR="00F80A73" w:rsidRDefault="00B43FBF" w:rsidP="00E576E4">
      <w:pPr>
        <w:pStyle w:val="LDMinuteParagraph"/>
      </w:pPr>
      <w:r w:rsidRPr="006E6007">
        <w:t>This Order</w:t>
      </w:r>
      <w:r w:rsidR="00592D8C">
        <w:t xml:space="preserve"> </w:t>
      </w:r>
      <w:r w:rsidR="009E63E3">
        <w:t>prescribes standards</w:t>
      </w:r>
      <w:r w:rsidR="00592D8C">
        <w:t xml:space="preserve"> </w:t>
      </w:r>
      <w:r w:rsidR="00B70162">
        <w:t>for vessel</w:t>
      </w:r>
      <w:r w:rsidR="00592D8C">
        <w:t xml:space="preserve"> construction</w:t>
      </w:r>
      <w:r w:rsidR="00B70162">
        <w:t>, subdivision,</w:t>
      </w:r>
      <w:r w:rsidR="00592D8C">
        <w:t xml:space="preserve"> stability</w:t>
      </w:r>
      <w:r w:rsidR="00B70162">
        <w:t xml:space="preserve">, watertight and </w:t>
      </w:r>
      <w:proofErr w:type="spellStart"/>
      <w:r w:rsidR="00B70162">
        <w:t>weathertight</w:t>
      </w:r>
      <w:proofErr w:type="spellEnd"/>
      <w:r w:rsidR="00B70162">
        <w:t xml:space="preserve"> integrity and</w:t>
      </w:r>
      <w:r w:rsidR="00592D8C">
        <w:t xml:space="preserve"> </w:t>
      </w:r>
      <w:r w:rsidR="00B70162">
        <w:t>electrical installations</w:t>
      </w:r>
      <w:r w:rsidR="00AE2773">
        <w:t xml:space="preserve">. </w:t>
      </w:r>
      <w:r w:rsidR="00B70162">
        <w:t>It also sets out duties for master</w:t>
      </w:r>
      <w:r w:rsidR="00E66A84">
        <w:t>s</w:t>
      </w:r>
      <w:r w:rsidR="00B70162">
        <w:t xml:space="preserve"> </w:t>
      </w:r>
      <w:r w:rsidR="00E66A84">
        <w:t xml:space="preserve">of vessels </w:t>
      </w:r>
      <w:r w:rsidR="00B70162">
        <w:t>about when doors and other openings should be closed and requires testing and inspection of watertight openings in vessels.</w:t>
      </w:r>
      <w:r w:rsidR="009E63E3">
        <w:t xml:space="preserve"> Safety measures for means of access to vessels in port are also included in the Order.</w:t>
      </w:r>
      <w:r w:rsidR="00C033C9">
        <w:t xml:space="preserve"> Provisions about watertight openings and means of access to vessels in port have been moved to this Order from </w:t>
      </w:r>
      <w:r w:rsidR="00C033C9" w:rsidRPr="00C033C9">
        <w:rPr>
          <w:i/>
        </w:rPr>
        <w:t>M</w:t>
      </w:r>
      <w:r w:rsidR="00C033C9">
        <w:rPr>
          <w:i/>
        </w:rPr>
        <w:t xml:space="preserve">arine Order 21 (Safety of navigation and emergency procedures) 2012 </w:t>
      </w:r>
      <w:r w:rsidR="00C033C9">
        <w:t>so that all the requirements implementing Chapter II-1 of SOLAS are in the same Marine Order.</w:t>
      </w:r>
    </w:p>
    <w:p w14:paraId="6B9BE9D2" w14:textId="77777777" w:rsidR="009B015D" w:rsidRPr="009D015A" w:rsidRDefault="009B015D" w:rsidP="00BB6EA6">
      <w:pPr>
        <w:pStyle w:val="LDAmendHeading"/>
      </w:pPr>
      <w:r w:rsidRPr="009D015A">
        <w:lastRenderedPageBreak/>
        <w:t>Consultation</w:t>
      </w:r>
    </w:p>
    <w:p w14:paraId="2381C850" w14:textId="6D29D4D2" w:rsidR="00251768" w:rsidRPr="003A1C31" w:rsidRDefault="00251768" w:rsidP="00251768">
      <w:pPr>
        <w:pStyle w:val="LDMinuteParagraph"/>
      </w:pPr>
      <w:r w:rsidRPr="002C7513">
        <w:t xml:space="preserve">A draft of this Order was placed on AMSA’s website </w:t>
      </w:r>
      <w:r w:rsidRPr="00D9256C">
        <w:t xml:space="preserve">on </w:t>
      </w:r>
      <w:r>
        <w:t>7</w:t>
      </w:r>
      <w:r w:rsidRPr="00D9256C">
        <w:t xml:space="preserve"> </w:t>
      </w:r>
      <w:r w:rsidR="00504C64">
        <w:t>April</w:t>
      </w:r>
      <w:r w:rsidRPr="00D9256C">
        <w:t xml:space="preserve"> 2016 for public consultation with comments to be provided by </w:t>
      </w:r>
      <w:r w:rsidR="00504C64">
        <w:t>7</w:t>
      </w:r>
      <w:r w:rsidRPr="00D9256C">
        <w:t xml:space="preserve"> </w:t>
      </w:r>
      <w:r w:rsidR="00504C64">
        <w:t>May</w:t>
      </w:r>
      <w:r w:rsidRPr="00D9256C">
        <w:t xml:space="preserve"> 2016</w:t>
      </w:r>
      <w:r>
        <w:t>.</w:t>
      </w:r>
      <w:r w:rsidRPr="00D9256C">
        <w:t xml:space="preserve"> </w:t>
      </w:r>
      <w:r>
        <w:t>Around 150</w:t>
      </w:r>
      <w:r w:rsidRPr="002C7513">
        <w:t xml:space="preserve"> stakeholders </w:t>
      </w:r>
      <w:r>
        <w:t>i</w:t>
      </w:r>
      <w:r w:rsidRPr="002C7513">
        <w:t xml:space="preserve">ncluding shipping and cargo industry bodies, maritime unions and relevant government agencies were contacted by email and invited to comment. </w:t>
      </w:r>
      <w:r w:rsidRPr="003A1C31">
        <w:t>No responses were received.</w:t>
      </w:r>
    </w:p>
    <w:p w14:paraId="36E6C1B5" w14:textId="3C4BB5EF" w:rsidR="00251768" w:rsidRDefault="00251768" w:rsidP="00251768">
      <w:pPr>
        <w:pStyle w:val="LDMinuteParagraph"/>
      </w:pPr>
      <w:r w:rsidRPr="00251768">
        <w:t>The Office of Best Practice Regulation (OBPR) was also consulted and considered that changes made by the Order have regulatory impacts of a minor or machinery nature and no regulation impact statement was required.  The OBPR reference number is 20369.</w:t>
      </w:r>
    </w:p>
    <w:p w14:paraId="160D52E1" w14:textId="4B101130" w:rsidR="00251768" w:rsidRDefault="00251768" w:rsidP="00251768">
      <w:pPr>
        <w:pStyle w:val="LDAmendHeading"/>
      </w:pPr>
      <w:r w:rsidRPr="009D015A">
        <w:t>Documents</w:t>
      </w:r>
      <w:r>
        <w:t xml:space="preserve"> incorporated by reference</w:t>
      </w:r>
    </w:p>
    <w:p w14:paraId="2C721DAD" w14:textId="77777777" w:rsidR="007D5172" w:rsidRDefault="007D5172" w:rsidP="00B2495A">
      <w:pPr>
        <w:pStyle w:val="LDMinuteParagraph"/>
        <w:keepNext/>
      </w:pPr>
      <w:r>
        <w:t>This Order incorporates the following documents by reference:</w:t>
      </w:r>
    </w:p>
    <w:p w14:paraId="67AB350A" w14:textId="56254E85" w:rsidR="008522B5" w:rsidRDefault="008522B5" w:rsidP="008522B5">
      <w:pPr>
        <w:pStyle w:val="LDMinuteParagraph"/>
        <w:numPr>
          <w:ilvl w:val="0"/>
          <w:numId w:val="3"/>
        </w:numPr>
      </w:pPr>
      <w:r>
        <w:t>Chapter II-1</w:t>
      </w:r>
      <w:r w:rsidR="007379DA">
        <w:t xml:space="preserve"> of SOLAS</w:t>
      </w:r>
    </w:p>
    <w:p w14:paraId="3F9B0135" w14:textId="04220B59" w:rsidR="008522B5" w:rsidRDefault="008522B5" w:rsidP="007D5172">
      <w:pPr>
        <w:pStyle w:val="LDMinuteParagraph"/>
        <w:numPr>
          <w:ilvl w:val="0"/>
          <w:numId w:val="3"/>
        </w:numPr>
      </w:pPr>
      <w:r w:rsidRPr="008522B5">
        <w:t xml:space="preserve">the Annex to resolution 14 of the </w:t>
      </w:r>
      <w:r>
        <w:t xml:space="preserve">Conference of </w:t>
      </w:r>
      <w:r w:rsidRPr="00854EC2">
        <w:t>Contracting Governments to the International Convention for the Safety of Life at Sea, 1974 as adopted on 29 November 1995</w:t>
      </w:r>
      <w:r>
        <w:t xml:space="preserve"> </w:t>
      </w:r>
    </w:p>
    <w:p w14:paraId="4670631E" w14:textId="7A64501B" w:rsidR="008522B5" w:rsidRDefault="008522B5" w:rsidP="006128A5">
      <w:pPr>
        <w:pStyle w:val="LDMinuteParagraph"/>
        <w:numPr>
          <w:ilvl w:val="0"/>
          <w:numId w:val="3"/>
        </w:numPr>
      </w:pPr>
      <w:r w:rsidRPr="008522B5">
        <w:t>IMO Resolution MSC.141 (76), as amended from time to time</w:t>
      </w:r>
    </w:p>
    <w:p w14:paraId="2B74692B" w14:textId="79781D13" w:rsidR="008522B5" w:rsidRPr="008522B5" w:rsidRDefault="008522B5" w:rsidP="006128A5">
      <w:pPr>
        <w:pStyle w:val="LDMinuteParagraph"/>
        <w:numPr>
          <w:ilvl w:val="0"/>
          <w:numId w:val="3"/>
        </w:numPr>
      </w:pPr>
      <w:r w:rsidRPr="008522B5">
        <w:rPr>
          <w:i/>
        </w:rPr>
        <w:t>Marine Order 47 (Mobile offshore drilling units) 2012</w:t>
      </w:r>
      <w:r w:rsidR="00473832">
        <w:t xml:space="preserve"> </w:t>
      </w:r>
    </w:p>
    <w:p w14:paraId="5C0FF367" w14:textId="10006661" w:rsidR="006128A5" w:rsidRDefault="008522B5" w:rsidP="006128A5">
      <w:pPr>
        <w:pStyle w:val="LDMinuteParagraph"/>
        <w:numPr>
          <w:ilvl w:val="0"/>
          <w:numId w:val="3"/>
        </w:numPr>
      </w:pPr>
      <w:r w:rsidRPr="008522B5">
        <w:rPr>
          <w:i/>
        </w:rPr>
        <w:t>Marine Order 49 (High-speed craft) 2015</w:t>
      </w:r>
      <w:r w:rsidR="00473832">
        <w:t xml:space="preserve"> </w:t>
      </w:r>
    </w:p>
    <w:p w14:paraId="37FA7A8B" w14:textId="756216D7" w:rsidR="008522B5" w:rsidRDefault="00380985" w:rsidP="006128A5">
      <w:pPr>
        <w:pStyle w:val="LDMinuteParagraph"/>
        <w:numPr>
          <w:ilvl w:val="0"/>
          <w:numId w:val="3"/>
        </w:numPr>
      </w:pPr>
      <w:r>
        <w:t>S</w:t>
      </w:r>
      <w:r w:rsidR="00A63AED">
        <w:t>ections 3</w:t>
      </w:r>
      <w:r>
        <w:t xml:space="preserve"> and</w:t>
      </w:r>
      <w:r w:rsidR="00A63AED">
        <w:t xml:space="preserve"> </w:t>
      </w:r>
      <w:r w:rsidR="008522B5" w:rsidRPr="008522B5">
        <w:t xml:space="preserve">6 </w:t>
      </w:r>
      <w:r>
        <w:t>and S</w:t>
      </w:r>
      <w:r w:rsidR="00A63AED" w:rsidRPr="00474188">
        <w:t xml:space="preserve">ubsection </w:t>
      </w:r>
      <w:r>
        <w:t>7D</w:t>
      </w:r>
      <w:r w:rsidR="00A63AED" w:rsidRPr="00474188">
        <w:t xml:space="preserve"> </w:t>
      </w:r>
      <w:r w:rsidR="008522B5" w:rsidRPr="008522B5">
        <w:t xml:space="preserve">of Part C of the </w:t>
      </w:r>
      <w:r w:rsidRPr="00380985">
        <w:rPr>
          <w:i/>
        </w:rPr>
        <w:t>National Standard for Commercial Vessels</w:t>
      </w:r>
      <w:r>
        <w:t xml:space="preserve"> (</w:t>
      </w:r>
      <w:r w:rsidR="008522B5" w:rsidRPr="00380985">
        <w:t>NSCV</w:t>
      </w:r>
      <w:r>
        <w:t>),</w:t>
      </w:r>
      <w:r w:rsidR="00A63AED">
        <w:t xml:space="preserve"> </w:t>
      </w:r>
      <w:r w:rsidR="008522B5">
        <w:t>as in force from time to time</w:t>
      </w:r>
    </w:p>
    <w:p w14:paraId="68C63900" w14:textId="0029B9C7" w:rsidR="00A63AED" w:rsidRDefault="008522B5" w:rsidP="00481584">
      <w:pPr>
        <w:pStyle w:val="LDMinuteParagraph"/>
        <w:numPr>
          <w:ilvl w:val="0"/>
          <w:numId w:val="3"/>
        </w:numPr>
      </w:pPr>
      <w:r w:rsidRPr="00854EC2">
        <w:t xml:space="preserve">sections 5 and 8 </w:t>
      </w:r>
      <w:r w:rsidR="00A63AED">
        <w:t xml:space="preserve">and </w:t>
      </w:r>
      <w:r w:rsidR="00A63AED" w:rsidRPr="00474188">
        <w:t>Appendices H and I of section 13</w:t>
      </w:r>
      <w:r w:rsidR="00A63AED">
        <w:t xml:space="preserve"> </w:t>
      </w:r>
      <w:r w:rsidRPr="00854EC2">
        <w:t xml:space="preserve">of the </w:t>
      </w:r>
      <w:r w:rsidR="00F66BC7">
        <w:t xml:space="preserve">Uniform Shipping Laws </w:t>
      </w:r>
      <w:r w:rsidR="00A63AED">
        <w:t xml:space="preserve">(USL) </w:t>
      </w:r>
      <w:r w:rsidR="00F66BC7">
        <w:t>Code adopted by the Australian Transport Council established by the Council of Australian Governments</w:t>
      </w:r>
      <w:r w:rsidRPr="008522B5">
        <w:t>, as in force on 30</w:t>
      </w:r>
      <w:r w:rsidR="00395B1F">
        <w:t> </w:t>
      </w:r>
      <w:r w:rsidRPr="008522B5">
        <w:t xml:space="preserve"> September 2008</w:t>
      </w:r>
    </w:p>
    <w:p w14:paraId="5EF4DD4B" w14:textId="3D39EBC0" w:rsidR="008522B5" w:rsidRDefault="008522B5" w:rsidP="006128A5">
      <w:pPr>
        <w:pStyle w:val="LDMinuteParagraph"/>
        <w:numPr>
          <w:ilvl w:val="0"/>
          <w:numId w:val="3"/>
        </w:numPr>
      </w:pPr>
      <w:r w:rsidRPr="008522B5">
        <w:t>Parts 2</w:t>
      </w:r>
      <w:r w:rsidR="0006368D">
        <w:t>,</w:t>
      </w:r>
      <w:r w:rsidRPr="008522B5">
        <w:t xml:space="preserve"> 3</w:t>
      </w:r>
      <w:r w:rsidR="0006368D">
        <w:t xml:space="preserve"> and 8</w:t>
      </w:r>
      <w:r w:rsidRPr="008522B5">
        <w:t xml:space="preserve"> of the </w:t>
      </w:r>
      <w:r w:rsidRPr="008522B5">
        <w:rPr>
          <w:i/>
        </w:rPr>
        <w:t>Guidelines for the Design and Construction of Offshore Supply Vessels</w:t>
      </w:r>
      <w:r w:rsidR="0006368D">
        <w:t>,</w:t>
      </w:r>
      <w:r w:rsidRPr="008522B5">
        <w:rPr>
          <w:i/>
        </w:rPr>
        <w:t xml:space="preserve"> 2006</w:t>
      </w:r>
      <w:r w:rsidRPr="008522B5">
        <w:t xml:space="preserve"> adopted by IMO Resolution MSC.235 (82)</w:t>
      </w:r>
      <w:r w:rsidR="00A63AED">
        <w:t xml:space="preserve"> (the OSV Guidelines)</w:t>
      </w:r>
      <w:r w:rsidR="00F66BC7">
        <w:t>, as in force from</w:t>
      </w:r>
      <w:r w:rsidR="0006368D">
        <w:t xml:space="preserve"> time to time</w:t>
      </w:r>
    </w:p>
    <w:p w14:paraId="495172B2" w14:textId="0A2E1964" w:rsidR="0006368D" w:rsidRDefault="0006368D" w:rsidP="006128A5">
      <w:pPr>
        <w:pStyle w:val="LDMinuteParagraph"/>
        <w:numPr>
          <w:ilvl w:val="0"/>
          <w:numId w:val="3"/>
        </w:numPr>
      </w:pPr>
      <w:r w:rsidRPr="001B526F">
        <w:t xml:space="preserve">the </w:t>
      </w:r>
      <w:r w:rsidRPr="001B526F">
        <w:rPr>
          <w:i/>
        </w:rPr>
        <w:t>Guidelines for the Design and Construc</w:t>
      </w:r>
      <w:r>
        <w:rPr>
          <w:i/>
        </w:rPr>
        <w:t>tion of Offshore Supply Vessels</w:t>
      </w:r>
      <w:r w:rsidRPr="001B526F">
        <w:t xml:space="preserve"> adopted by IMO Resolution A.469(XII)</w:t>
      </w:r>
    </w:p>
    <w:p w14:paraId="755C1B43" w14:textId="22142557" w:rsidR="00234CF0" w:rsidRDefault="00234CF0" w:rsidP="006128A5">
      <w:pPr>
        <w:pStyle w:val="LDMinuteParagraph"/>
        <w:numPr>
          <w:ilvl w:val="0"/>
          <w:numId w:val="3"/>
        </w:numPr>
      </w:pPr>
      <w:r>
        <w:t xml:space="preserve">Appendix 2 of </w:t>
      </w:r>
      <w:r>
        <w:rPr>
          <w:i/>
        </w:rPr>
        <w:t>Marine Orders Part 12: Construction —</w:t>
      </w:r>
      <w:r>
        <w:t xml:space="preserve"> </w:t>
      </w:r>
      <w:r w:rsidRPr="00234CF0">
        <w:rPr>
          <w:i/>
        </w:rPr>
        <w:t>Subdivision and stability, machinery and electrical installations</w:t>
      </w:r>
      <w:r>
        <w:t>, Issue 2 (Order No 16 of 1998)</w:t>
      </w:r>
    </w:p>
    <w:p w14:paraId="37DFB4A8" w14:textId="439EE973" w:rsidR="00481584" w:rsidRDefault="00BB077A" w:rsidP="006128A5">
      <w:pPr>
        <w:pStyle w:val="LDMinuteParagraph"/>
        <w:numPr>
          <w:ilvl w:val="0"/>
          <w:numId w:val="3"/>
        </w:numPr>
      </w:pPr>
      <w:r>
        <w:t>Chapter 4, p</w:t>
      </w:r>
      <w:r w:rsidR="00481584" w:rsidRPr="00023E4D">
        <w:t xml:space="preserve">aragraph 3.6.4 of Part B </w:t>
      </w:r>
      <w:r w:rsidR="00481584">
        <w:t xml:space="preserve">and </w:t>
      </w:r>
      <w:r w:rsidR="00481584" w:rsidRPr="00023E4D">
        <w:t xml:space="preserve">Annex 1 of the </w:t>
      </w:r>
      <w:r w:rsidR="00481584" w:rsidRPr="00F342F7">
        <w:rPr>
          <w:i/>
        </w:rPr>
        <w:t>Code on Intact Stability, 2008</w:t>
      </w:r>
      <w:r w:rsidR="00481584" w:rsidRPr="00F342F7">
        <w:t xml:space="preserve"> </w:t>
      </w:r>
      <w:r>
        <w:t>adopted by</w:t>
      </w:r>
      <w:r w:rsidR="00481584" w:rsidRPr="00F342F7">
        <w:t xml:space="preserve"> IMO Resolution MSC.267 (85)</w:t>
      </w:r>
      <w:r w:rsidR="00481584">
        <w:t xml:space="preserve"> (the IS Code), as in force from time to time</w:t>
      </w:r>
    </w:p>
    <w:p w14:paraId="61DE90F5" w14:textId="77777777" w:rsidR="00887F0D" w:rsidRDefault="001C78B1" w:rsidP="006128A5">
      <w:pPr>
        <w:pStyle w:val="LDMinuteParagraph"/>
        <w:numPr>
          <w:ilvl w:val="0"/>
          <w:numId w:val="3"/>
        </w:numPr>
      </w:pPr>
      <w:r w:rsidRPr="007F4CBE">
        <w:t xml:space="preserve">IMO Circular </w:t>
      </w:r>
      <w:r w:rsidRPr="007F4CBE">
        <w:rPr>
          <w:i/>
        </w:rPr>
        <w:t>Guidelines for construction, installation maintenance and inspection/survey of means of embarkation and disembarkation</w:t>
      </w:r>
      <w:r w:rsidR="002836EB">
        <w:rPr>
          <w:i/>
        </w:rPr>
        <w:t xml:space="preserve"> </w:t>
      </w:r>
      <w:r w:rsidR="002836EB">
        <w:t xml:space="preserve">set out in </w:t>
      </w:r>
      <w:r w:rsidR="00BD28FA">
        <w:t xml:space="preserve">the Annex to </w:t>
      </w:r>
      <w:r w:rsidR="002836EB" w:rsidRPr="007F4CBE">
        <w:t>MSC.1/Circ.1331</w:t>
      </w:r>
      <w:r w:rsidR="00887F0D">
        <w:t>, as amended from time to time</w:t>
      </w:r>
    </w:p>
    <w:p w14:paraId="7D21C409" w14:textId="77777777" w:rsidR="00887F0D" w:rsidRPr="00887F0D" w:rsidRDefault="00887F0D" w:rsidP="006128A5">
      <w:pPr>
        <w:pStyle w:val="LDMinuteParagraph"/>
        <w:numPr>
          <w:ilvl w:val="0"/>
          <w:numId w:val="3"/>
        </w:numPr>
      </w:pPr>
      <w:r w:rsidRPr="00B50433">
        <w:rPr>
          <w:rFonts w:ascii="TimesNewRoman" w:hAnsi="TimesNewRoman" w:cs="TimesNewRoman"/>
          <w:lang w:eastAsia="en-AU"/>
        </w:rPr>
        <w:t>ISO 5488:</w:t>
      </w:r>
      <w:r w:rsidRPr="00887F0D">
        <w:rPr>
          <w:rFonts w:ascii="TimesNewRoman" w:hAnsi="TimesNewRoman" w:cs="TimesNewRoman"/>
          <w:lang w:eastAsia="en-AU"/>
        </w:rPr>
        <w:t xml:space="preserve">2015 </w:t>
      </w:r>
      <w:r w:rsidRPr="00887F0D">
        <w:rPr>
          <w:i/>
          <w:lang w:eastAsia="en-AU"/>
        </w:rPr>
        <w:t>Ships and marine technology – Accommodation ladders</w:t>
      </w:r>
    </w:p>
    <w:p w14:paraId="368D232F" w14:textId="77777777" w:rsidR="00887F0D" w:rsidRPr="00887F0D" w:rsidRDefault="00887F0D" w:rsidP="006128A5">
      <w:pPr>
        <w:pStyle w:val="LDMinuteParagraph"/>
        <w:numPr>
          <w:ilvl w:val="0"/>
          <w:numId w:val="3"/>
        </w:numPr>
      </w:pPr>
      <w:r w:rsidRPr="00887F0D">
        <w:rPr>
          <w:rFonts w:ascii="TimesNewRoman" w:hAnsi="TimesNewRoman" w:cs="TimesNewRoman"/>
          <w:lang w:eastAsia="en-AU"/>
        </w:rPr>
        <w:t xml:space="preserve">ISO 7061:2015 </w:t>
      </w:r>
      <w:r w:rsidRPr="00887F0D">
        <w:rPr>
          <w:i/>
          <w:lang w:eastAsia="en-AU"/>
        </w:rPr>
        <w:t>Ships and marine technology  – Aluminium shore gangways for seagoing vessels</w:t>
      </w:r>
    </w:p>
    <w:p w14:paraId="3C3A7FA4" w14:textId="448D6B92" w:rsidR="00395B1F" w:rsidRDefault="00887F0D" w:rsidP="00395B1F">
      <w:pPr>
        <w:pStyle w:val="LDMinuteParagraph"/>
        <w:numPr>
          <w:ilvl w:val="0"/>
          <w:numId w:val="3"/>
        </w:numPr>
      </w:pPr>
      <w:r w:rsidRPr="00887F0D">
        <w:rPr>
          <w:lang w:eastAsia="en-AU"/>
        </w:rPr>
        <w:t xml:space="preserve">ISO 7364:2016: </w:t>
      </w:r>
      <w:r w:rsidRPr="00887F0D">
        <w:rPr>
          <w:i/>
          <w:lang w:eastAsia="en-AU"/>
        </w:rPr>
        <w:t>Ships and marine technology – Deck machinery – Accommodation ladder winches</w:t>
      </w:r>
    </w:p>
    <w:p w14:paraId="4A6BD296" w14:textId="5E8049E3" w:rsidR="00481584" w:rsidRDefault="00481584" w:rsidP="006128A5">
      <w:pPr>
        <w:pStyle w:val="LDMinuteParagraph"/>
        <w:numPr>
          <w:ilvl w:val="0"/>
          <w:numId w:val="3"/>
        </w:numPr>
      </w:pPr>
      <w:r w:rsidRPr="00B82D75">
        <w:lastRenderedPageBreak/>
        <w:t>I</w:t>
      </w:r>
      <w:r>
        <w:t>nternational Association of Classification Societies (I</w:t>
      </w:r>
      <w:r w:rsidRPr="00B82D75">
        <w:t>ACS</w:t>
      </w:r>
      <w:r>
        <w:t>)</w:t>
      </w:r>
      <w:r w:rsidRPr="00B82D75">
        <w:t xml:space="preserve"> Unified Interpretation </w:t>
      </w:r>
      <w:r w:rsidRPr="00B82D75">
        <w:rPr>
          <w:i/>
        </w:rPr>
        <w:t xml:space="preserve">Doors in Watertight bulkheads of </w:t>
      </w:r>
      <w:r w:rsidR="002836EB">
        <w:rPr>
          <w:i/>
        </w:rPr>
        <w:t xml:space="preserve">cargo ships and Passenger Ships </w:t>
      </w:r>
      <w:r w:rsidR="002836EB">
        <w:t>set out in</w:t>
      </w:r>
      <w:r w:rsidRPr="00B82D75">
        <w:rPr>
          <w:i/>
        </w:rPr>
        <w:t xml:space="preserve"> </w:t>
      </w:r>
      <w:r w:rsidRPr="00B82D75">
        <w:t>IACS UI SC 156 (June 2002), as amended from time to time.</w:t>
      </w:r>
    </w:p>
    <w:p w14:paraId="5EC4E0B7" w14:textId="5887C1A1" w:rsidR="003D52C3" w:rsidRPr="003D52C3" w:rsidRDefault="003D52C3" w:rsidP="006128A5">
      <w:pPr>
        <w:pStyle w:val="LDMinuteParagraph"/>
        <w:numPr>
          <w:ilvl w:val="0"/>
          <w:numId w:val="3"/>
        </w:numPr>
      </w:pPr>
      <w:r w:rsidRPr="001B526F">
        <w:t xml:space="preserve">AS 1735.1:2003 </w:t>
      </w:r>
      <w:r w:rsidRPr="001B526F">
        <w:rPr>
          <w:i/>
        </w:rPr>
        <w:t>Lifts, escalators and moving walks – General requirements</w:t>
      </w:r>
    </w:p>
    <w:p w14:paraId="6B1C1394" w14:textId="6547A61A" w:rsidR="003D52C3" w:rsidRPr="008522B5" w:rsidRDefault="003D52C3" w:rsidP="006128A5">
      <w:pPr>
        <w:pStyle w:val="LDMinuteParagraph"/>
        <w:numPr>
          <w:ilvl w:val="0"/>
          <w:numId w:val="3"/>
        </w:numPr>
      </w:pPr>
      <w:r w:rsidRPr="001B526F">
        <w:t xml:space="preserve">ISO 8383:1985 </w:t>
      </w:r>
      <w:r w:rsidRPr="001B526F">
        <w:rPr>
          <w:i/>
        </w:rPr>
        <w:t>Lifts on ships – Specific requirements</w:t>
      </w:r>
    </w:p>
    <w:p w14:paraId="7042366E" w14:textId="25E9EB32" w:rsidR="00504C64" w:rsidRDefault="00504C64" w:rsidP="009B5349">
      <w:pPr>
        <w:pStyle w:val="LDMinuteParagraph"/>
        <w:rPr>
          <w:lang w:eastAsia="en-AU"/>
        </w:rPr>
      </w:pPr>
      <w:r>
        <w:t xml:space="preserve">SOLAS is of treaty status </w:t>
      </w:r>
      <w:r>
        <w:rPr>
          <w:szCs w:val="24"/>
        </w:rPr>
        <w:t xml:space="preserve">and is incorporated “as amended and in force from time to time for Australia” (see definition of SOLAS in </w:t>
      </w:r>
      <w:r>
        <w:rPr>
          <w:i/>
          <w:szCs w:val="24"/>
        </w:rPr>
        <w:t xml:space="preserve">Marine Order 1 (Administration) </w:t>
      </w:r>
      <w:r>
        <w:rPr>
          <w:i/>
        </w:rPr>
        <w:t>2013</w:t>
      </w:r>
      <w:r>
        <w:t>,</w:t>
      </w:r>
      <w:r>
        <w:rPr>
          <w:i/>
        </w:rPr>
        <w:t xml:space="preserve"> </w:t>
      </w:r>
      <w:r>
        <w:t xml:space="preserve">and </w:t>
      </w:r>
      <w:r w:rsidR="000A1CB4">
        <w:t xml:space="preserve">definition of Safety Convention in </w:t>
      </w:r>
      <w:r>
        <w:t>section 14 of the Navigation Act.). T</w:t>
      </w:r>
      <w:r w:rsidRPr="00552167">
        <w:t>he</w:t>
      </w:r>
      <w:r>
        <w:rPr>
          <w:szCs w:val="24"/>
        </w:rPr>
        <w:t xml:space="preserve"> </w:t>
      </w:r>
      <w:r w:rsidRPr="004E4BF8">
        <w:rPr>
          <w:szCs w:val="24"/>
        </w:rPr>
        <w:t xml:space="preserve">original convention and any amendments in force </w:t>
      </w:r>
      <w:r>
        <w:rPr>
          <w:szCs w:val="24"/>
        </w:rPr>
        <w:t>can</w:t>
      </w:r>
      <w:r w:rsidRPr="004E4BF8">
        <w:rPr>
          <w:szCs w:val="24"/>
        </w:rPr>
        <w:t xml:space="preserve"> </w:t>
      </w:r>
      <w:r>
        <w:rPr>
          <w:szCs w:val="24"/>
        </w:rPr>
        <w:t xml:space="preserve">be found </w:t>
      </w:r>
      <w:r w:rsidRPr="004E4BF8">
        <w:rPr>
          <w:szCs w:val="24"/>
        </w:rPr>
        <w:t xml:space="preserve">in the Australian Treaties Series </w:t>
      </w:r>
      <w:r>
        <w:rPr>
          <w:szCs w:val="24"/>
        </w:rPr>
        <w:t xml:space="preserve">accessible </w:t>
      </w:r>
      <w:r w:rsidRPr="004E4BF8">
        <w:rPr>
          <w:szCs w:val="24"/>
        </w:rPr>
        <w:t xml:space="preserve">from the Australian Treaties Library on the </w:t>
      </w:r>
      <w:proofErr w:type="spellStart"/>
      <w:r w:rsidRPr="004E4BF8">
        <w:rPr>
          <w:szCs w:val="24"/>
        </w:rPr>
        <w:t>AustLII</w:t>
      </w:r>
      <w:proofErr w:type="spellEnd"/>
      <w:r w:rsidRPr="004E4BF8">
        <w:rPr>
          <w:szCs w:val="24"/>
        </w:rPr>
        <w:t xml:space="preserve"> website at </w:t>
      </w:r>
      <w:r w:rsidRPr="004E4BF8">
        <w:rPr>
          <w:szCs w:val="24"/>
          <w:u w:val="single"/>
        </w:rPr>
        <w:t>http://www.austlii.edu.au</w:t>
      </w:r>
      <w:r w:rsidRPr="004E4BF8">
        <w:rPr>
          <w:szCs w:val="24"/>
        </w:rPr>
        <w:t>.</w:t>
      </w:r>
    </w:p>
    <w:p w14:paraId="2CC9D2A4" w14:textId="3591A6EF" w:rsidR="001B39A6" w:rsidRDefault="001B39A6" w:rsidP="001B39A6">
      <w:pPr>
        <w:pStyle w:val="LDMinuteParagraph"/>
      </w:pPr>
      <w:r>
        <w:t>T</w:t>
      </w:r>
      <w:r w:rsidRPr="008522B5">
        <w:t xml:space="preserve">he Annex to resolution 14 of the </w:t>
      </w:r>
      <w:r>
        <w:t xml:space="preserve">Conference of </w:t>
      </w:r>
      <w:r w:rsidRPr="00854EC2">
        <w:t>Contracting Governments to the International Convention for the Safety of Life at Sea, 1974 as adopted on 29</w:t>
      </w:r>
      <w:r w:rsidR="00F40F17">
        <w:t> </w:t>
      </w:r>
      <w:r w:rsidRPr="00854EC2">
        <w:t>November 1995</w:t>
      </w:r>
      <w:r>
        <w:t xml:space="preserve"> is available through </w:t>
      </w:r>
      <w:r>
        <w:rPr>
          <w:lang w:eastAsia="en-AU"/>
        </w:rPr>
        <w:t xml:space="preserve">the Marine Orders link on the AMSA website at </w:t>
      </w:r>
      <w:r w:rsidRPr="006B2FC3">
        <w:rPr>
          <w:u w:val="single"/>
          <w:lang w:eastAsia="en-AU"/>
        </w:rPr>
        <w:t>http://www.amsa.gov.au</w:t>
      </w:r>
      <w:r>
        <w:rPr>
          <w:lang w:eastAsia="en-AU"/>
        </w:rPr>
        <w:t>.</w:t>
      </w:r>
    </w:p>
    <w:p w14:paraId="3404C122" w14:textId="23643763" w:rsidR="00473832" w:rsidRPr="00614C8A" w:rsidRDefault="00473832" w:rsidP="00473832">
      <w:pPr>
        <w:pStyle w:val="LDMinuteParagraph"/>
        <w:tabs>
          <w:tab w:val="num" w:pos="4677"/>
        </w:tabs>
      </w:pPr>
      <w:r w:rsidRPr="00614C8A">
        <w:t>Information on obtaining access to IMO Resolution A.1</w:t>
      </w:r>
      <w:r>
        <w:t>41 (</w:t>
      </w:r>
      <w:r w:rsidRPr="00614C8A">
        <w:t>7</w:t>
      </w:r>
      <w:r>
        <w:t>6</w:t>
      </w:r>
      <w:r w:rsidRPr="00614C8A">
        <w:t>)</w:t>
      </w:r>
      <w:r w:rsidR="00C44B31">
        <w:t xml:space="preserve">, </w:t>
      </w:r>
      <w:r w:rsidR="00C44B31" w:rsidRPr="00F342F7">
        <w:t>IMO Resolution MSC.267 (85)</w:t>
      </w:r>
      <w:r w:rsidR="00C44B31">
        <w:t xml:space="preserve"> and</w:t>
      </w:r>
      <w:r>
        <w:t xml:space="preserve"> IMO Circular MSC.1/Circ.1331</w:t>
      </w:r>
      <w:r w:rsidRPr="00614C8A">
        <w:t xml:space="preserve"> is available on the Marine Orders link on the AMSA website at </w:t>
      </w:r>
      <w:r w:rsidRPr="00C44B31">
        <w:rPr>
          <w:u w:val="single"/>
        </w:rPr>
        <w:t>http://www.amsa.gov.au</w:t>
      </w:r>
      <w:r w:rsidRPr="00614C8A">
        <w:t xml:space="preserve">, where AMSA provides information on how to navigate the IMO website to download documents. IMO documents may also be purchased from the IMO — see the IMO website at </w:t>
      </w:r>
      <w:r w:rsidRPr="0062234A">
        <w:rPr>
          <w:u w:val="single"/>
        </w:rPr>
        <w:t>http://www.imo.org/publications</w:t>
      </w:r>
      <w:r w:rsidRPr="00614C8A">
        <w:t>.</w:t>
      </w:r>
    </w:p>
    <w:p w14:paraId="413B49AF" w14:textId="6FCA0E40" w:rsidR="00473832" w:rsidRDefault="00473832" w:rsidP="00473832">
      <w:pPr>
        <w:pStyle w:val="LDMinuteParagraph"/>
        <w:rPr>
          <w:lang w:eastAsia="en-AU"/>
        </w:rPr>
      </w:pPr>
      <w:r>
        <w:rPr>
          <w:lang w:eastAsia="en-AU"/>
        </w:rPr>
        <w:t xml:space="preserve">Marine Orders mentioned in this Order are </w:t>
      </w:r>
      <w:r w:rsidRPr="004B36ED">
        <w:rPr>
          <w:lang w:eastAsia="en-AU"/>
        </w:rPr>
        <w:t xml:space="preserve">available </w:t>
      </w:r>
      <w:r>
        <w:rPr>
          <w:lang w:eastAsia="en-AU"/>
        </w:rPr>
        <w:t xml:space="preserve">on </w:t>
      </w:r>
      <w:r w:rsidR="00530B98">
        <w:rPr>
          <w:lang w:eastAsia="en-AU"/>
        </w:rPr>
        <w:t xml:space="preserve">the Federal Register of Legislation at </w:t>
      </w:r>
      <w:r w:rsidR="00530B98" w:rsidRPr="00F651A6">
        <w:rPr>
          <w:u w:val="single"/>
          <w:lang w:eastAsia="en-AU"/>
        </w:rPr>
        <w:t>https://www.legislation.gov.au</w:t>
      </w:r>
      <w:r w:rsidR="00530B98">
        <w:rPr>
          <w:lang w:eastAsia="en-AU"/>
        </w:rPr>
        <w:t xml:space="preserve">. They are also available from </w:t>
      </w:r>
      <w:r>
        <w:rPr>
          <w:lang w:eastAsia="en-AU"/>
        </w:rPr>
        <w:t xml:space="preserve">the Marine Orders link on the AMSA website at </w:t>
      </w:r>
      <w:r w:rsidRPr="00D51259">
        <w:rPr>
          <w:u w:val="single"/>
          <w:lang w:eastAsia="en-AU"/>
        </w:rPr>
        <w:t>http://www.amsa.gov.au</w:t>
      </w:r>
      <w:r>
        <w:rPr>
          <w:lang w:eastAsia="en-AU"/>
        </w:rPr>
        <w:t xml:space="preserve">. </w:t>
      </w:r>
      <w:r w:rsidR="000934B8">
        <w:rPr>
          <w:lang w:eastAsia="en-AU"/>
        </w:rPr>
        <w:t xml:space="preserve">Paragraph </w:t>
      </w:r>
      <w:r w:rsidR="006D4E3C">
        <w:rPr>
          <w:lang w:eastAsia="en-AU"/>
        </w:rPr>
        <w:t>10</w:t>
      </w:r>
      <w:r w:rsidR="000934B8">
        <w:rPr>
          <w:lang w:eastAsia="en-AU"/>
        </w:rPr>
        <w:t>(a)</w:t>
      </w:r>
      <w:r w:rsidR="006D4E3C">
        <w:rPr>
          <w:lang w:eastAsia="en-AU"/>
        </w:rPr>
        <w:t xml:space="preserve"> of the </w:t>
      </w:r>
      <w:r w:rsidR="006D4E3C">
        <w:rPr>
          <w:i/>
          <w:lang w:eastAsia="en-AU"/>
        </w:rPr>
        <w:t>Acts Interpretation Act 1901</w:t>
      </w:r>
      <w:r w:rsidR="006D4E3C">
        <w:rPr>
          <w:lang w:eastAsia="en-AU"/>
        </w:rPr>
        <w:t xml:space="preserve"> (as applied by </w:t>
      </w:r>
      <w:r w:rsidR="00B722DF">
        <w:rPr>
          <w:lang w:eastAsia="en-AU"/>
        </w:rPr>
        <w:t xml:space="preserve">paragraph </w:t>
      </w:r>
      <w:r w:rsidR="006D4E3C">
        <w:rPr>
          <w:lang w:eastAsia="en-AU"/>
        </w:rPr>
        <w:t xml:space="preserve">13(1)(a) of the </w:t>
      </w:r>
      <w:r w:rsidR="006D4E3C">
        <w:rPr>
          <w:i/>
          <w:lang w:eastAsia="en-AU"/>
        </w:rPr>
        <w:t>Legislation Act 2003</w:t>
      </w:r>
      <w:r w:rsidR="006D4E3C">
        <w:rPr>
          <w:lang w:eastAsia="en-AU"/>
        </w:rPr>
        <w:t xml:space="preserve">) has the effect that </w:t>
      </w:r>
      <w:r w:rsidR="007911AE">
        <w:rPr>
          <w:lang w:eastAsia="en-AU"/>
        </w:rPr>
        <w:t>the references in the Order to</w:t>
      </w:r>
      <w:r w:rsidR="00FC4CE5">
        <w:rPr>
          <w:lang w:eastAsia="en-AU"/>
        </w:rPr>
        <w:t xml:space="preserve"> </w:t>
      </w:r>
      <w:r w:rsidR="006D4E3C">
        <w:rPr>
          <w:lang w:eastAsia="en-AU"/>
        </w:rPr>
        <w:t xml:space="preserve">Marine Orders </w:t>
      </w:r>
      <w:r w:rsidR="00B722DF">
        <w:rPr>
          <w:lang w:eastAsia="en-AU"/>
        </w:rPr>
        <w:t>a</w:t>
      </w:r>
      <w:r w:rsidR="007911AE">
        <w:rPr>
          <w:lang w:eastAsia="en-AU"/>
        </w:rPr>
        <w:t xml:space="preserve">re references to those Orders </w:t>
      </w:r>
      <w:r w:rsidR="006D4E3C">
        <w:rPr>
          <w:lang w:eastAsia="en-AU"/>
        </w:rPr>
        <w:t>as amended from time to time.</w:t>
      </w:r>
    </w:p>
    <w:p w14:paraId="6A4454D4" w14:textId="5D4F5E94" w:rsidR="00FC4CE5" w:rsidRDefault="0044746E" w:rsidP="00194352">
      <w:pPr>
        <w:pStyle w:val="LDMinuteParagraph"/>
        <w:rPr>
          <w:lang w:eastAsia="en-AU"/>
        </w:rPr>
      </w:pPr>
      <w:r>
        <w:rPr>
          <w:i/>
        </w:rPr>
        <w:t>Marine Orders Part 12: Construction —</w:t>
      </w:r>
      <w:r>
        <w:t xml:space="preserve"> </w:t>
      </w:r>
      <w:r w:rsidRPr="00234CF0">
        <w:rPr>
          <w:i/>
        </w:rPr>
        <w:t>Subdivision and stability, machinery and electrical installations</w:t>
      </w:r>
      <w:r w:rsidR="00194352">
        <w:t xml:space="preserve">, Issue 2 </w:t>
      </w:r>
      <w:r>
        <w:t xml:space="preserve">is available </w:t>
      </w:r>
      <w:r>
        <w:rPr>
          <w:lang w:eastAsia="en-AU"/>
        </w:rPr>
        <w:t xml:space="preserve">on the Federal Register of Legislation at </w:t>
      </w:r>
      <w:r w:rsidRPr="00F651A6">
        <w:rPr>
          <w:u w:val="single"/>
          <w:lang w:eastAsia="en-AU"/>
        </w:rPr>
        <w:t>https://www.legislation.gov.au</w:t>
      </w:r>
      <w:r>
        <w:rPr>
          <w:lang w:eastAsia="en-AU"/>
        </w:rPr>
        <w:t xml:space="preserve"> as a legislative instrument no longer in force.</w:t>
      </w:r>
    </w:p>
    <w:p w14:paraId="665EF399" w14:textId="3AB63B26" w:rsidR="00AF600F" w:rsidRPr="0006368D" w:rsidRDefault="0006368D" w:rsidP="00473832">
      <w:pPr>
        <w:pStyle w:val="LDMinuteParagraph"/>
        <w:rPr>
          <w:lang w:eastAsia="en-AU"/>
        </w:rPr>
      </w:pPr>
      <w:r w:rsidRPr="001B526F">
        <w:t xml:space="preserve">The NSCV and the USL Code are available </w:t>
      </w:r>
      <w:r w:rsidR="00BB077A">
        <w:t xml:space="preserve">through </w:t>
      </w:r>
      <w:r w:rsidR="00BB077A">
        <w:rPr>
          <w:lang w:eastAsia="en-AU"/>
        </w:rPr>
        <w:t xml:space="preserve">the Marine Orders link on the AMSA website at </w:t>
      </w:r>
      <w:r w:rsidR="00BB077A" w:rsidRPr="00D51259">
        <w:rPr>
          <w:u w:val="single"/>
          <w:lang w:eastAsia="en-AU"/>
        </w:rPr>
        <w:t>http://www.amsa.gov.au</w:t>
      </w:r>
      <w:r w:rsidR="00BB077A">
        <w:rPr>
          <w:lang w:eastAsia="en-AU"/>
        </w:rPr>
        <w:t>.</w:t>
      </w:r>
    </w:p>
    <w:p w14:paraId="2404040D" w14:textId="4637DE79" w:rsidR="00887F0D" w:rsidRPr="00887F0D" w:rsidRDefault="00BB077A" w:rsidP="002A16E8">
      <w:pPr>
        <w:pStyle w:val="LDMinuteParagraph"/>
        <w:rPr>
          <w:szCs w:val="24"/>
        </w:rPr>
      </w:pPr>
      <w:r>
        <w:t>T</w:t>
      </w:r>
      <w:r w:rsidRPr="008522B5">
        <w:t xml:space="preserve">he </w:t>
      </w:r>
      <w:r w:rsidRPr="00887F0D">
        <w:rPr>
          <w:i/>
        </w:rPr>
        <w:t>Guidelines for the Design and Construction of Offshore Supply Vessels</w:t>
      </w:r>
      <w:r>
        <w:t>,</w:t>
      </w:r>
      <w:r w:rsidRPr="00887F0D">
        <w:rPr>
          <w:i/>
        </w:rPr>
        <w:t xml:space="preserve"> 2006</w:t>
      </w:r>
      <w:r w:rsidRPr="008522B5">
        <w:t xml:space="preserve"> adopted by IMO Resolution MSC.235 (82)</w:t>
      </w:r>
      <w:r>
        <w:t xml:space="preserve"> and t</w:t>
      </w:r>
      <w:r w:rsidR="0006368D" w:rsidRPr="001B526F">
        <w:t xml:space="preserve">he </w:t>
      </w:r>
      <w:r w:rsidR="0006368D" w:rsidRPr="00887F0D">
        <w:rPr>
          <w:i/>
        </w:rPr>
        <w:t>Guidelines for the Design and Construction of Offshore Supply Vessels</w:t>
      </w:r>
      <w:r w:rsidR="0006368D" w:rsidRPr="001B526F">
        <w:t xml:space="preserve"> adopted by IMO Resolution </w:t>
      </w:r>
      <w:proofErr w:type="gramStart"/>
      <w:r w:rsidR="0006368D" w:rsidRPr="001B526F">
        <w:t>A.469(</w:t>
      </w:r>
      <w:proofErr w:type="gramEnd"/>
      <w:r w:rsidR="0006368D" w:rsidRPr="001B526F">
        <w:t>XII)</w:t>
      </w:r>
      <w:r>
        <w:t xml:space="preserve"> are available through </w:t>
      </w:r>
      <w:r>
        <w:rPr>
          <w:lang w:eastAsia="en-AU"/>
        </w:rPr>
        <w:t xml:space="preserve">the Marine Orders link on the AMSA website at </w:t>
      </w:r>
      <w:r w:rsidRPr="00887F0D">
        <w:rPr>
          <w:u w:val="single"/>
          <w:lang w:eastAsia="en-AU"/>
        </w:rPr>
        <w:t>http://www.amsa.gov.au</w:t>
      </w:r>
      <w:r>
        <w:rPr>
          <w:lang w:eastAsia="en-AU"/>
        </w:rPr>
        <w:t>.</w:t>
      </w:r>
    </w:p>
    <w:p w14:paraId="7FA425A5" w14:textId="7300EE51" w:rsidR="00887F0D" w:rsidRPr="00887F0D" w:rsidRDefault="00887F0D" w:rsidP="00887F0D">
      <w:pPr>
        <w:pStyle w:val="LDMinuteParagraph"/>
        <w:rPr>
          <w:szCs w:val="24"/>
        </w:rPr>
      </w:pPr>
      <w:r>
        <w:rPr>
          <w:lang w:eastAsia="en-AU"/>
        </w:rPr>
        <w:t xml:space="preserve">ISO standards </w:t>
      </w:r>
      <w:r w:rsidR="00620FB2">
        <w:rPr>
          <w:lang w:eastAsia="en-AU"/>
        </w:rPr>
        <w:t>and Australian s</w:t>
      </w:r>
      <w:r w:rsidR="003D52C3">
        <w:rPr>
          <w:lang w:eastAsia="en-AU"/>
        </w:rPr>
        <w:t xml:space="preserve">tandards </w:t>
      </w:r>
      <w:r>
        <w:t xml:space="preserve">are available for purchase from the SAI Global website at </w:t>
      </w:r>
      <w:r w:rsidRPr="00887F0D">
        <w:rPr>
          <w:u w:val="single"/>
        </w:rPr>
        <w:t>https://www.saiglobal.com</w:t>
      </w:r>
      <w:r w:rsidR="008F575D">
        <w:t>.</w:t>
      </w:r>
      <w:r w:rsidR="003A1C31">
        <w:t xml:space="preserve"> </w:t>
      </w:r>
      <w:r>
        <w:t xml:space="preserve">Persons having difficulty obtaining a copy of an ISO </w:t>
      </w:r>
      <w:r w:rsidR="00620FB2">
        <w:t xml:space="preserve">or Australian </w:t>
      </w:r>
      <w:r>
        <w:t xml:space="preserve">standard mentioned in this Order can contact AMSA. Contact details for AMSA are on the AMSA website at </w:t>
      </w:r>
      <w:r w:rsidRPr="00887F0D">
        <w:rPr>
          <w:u w:val="single"/>
        </w:rPr>
        <w:t>http://www.amsa.gov.au</w:t>
      </w:r>
      <w:r>
        <w:t xml:space="preserve">. </w:t>
      </w:r>
    </w:p>
    <w:p w14:paraId="520F6DDE" w14:textId="7C1578B6" w:rsidR="002836EB" w:rsidRDefault="00C44B31" w:rsidP="00C44B31">
      <w:pPr>
        <w:pStyle w:val="LDMinuteParagraph"/>
        <w:rPr>
          <w:lang w:eastAsia="en-AU"/>
        </w:rPr>
      </w:pPr>
      <w:r>
        <w:t>Information on obtaining copies</w:t>
      </w:r>
      <w:r w:rsidR="002836EB">
        <w:t xml:space="preserve"> of the I</w:t>
      </w:r>
      <w:r w:rsidR="002836EB" w:rsidRPr="00B82D75">
        <w:t xml:space="preserve">ACS Unified Interpretation </w:t>
      </w:r>
      <w:r w:rsidR="002836EB" w:rsidRPr="00B82D75">
        <w:rPr>
          <w:i/>
        </w:rPr>
        <w:t xml:space="preserve">Doors in Watertight bulkheads of </w:t>
      </w:r>
      <w:r w:rsidR="002836EB">
        <w:rPr>
          <w:i/>
        </w:rPr>
        <w:t xml:space="preserve">cargo ships and Passenger Ships </w:t>
      </w:r>
      <w:r w:rsidR="002836EB">
        <w:t>set out in</w:t>
      </w:r>
      <w:r w:rsidR="002836EB" w:rsidRPr="00B82D75">
        <w:rPr>
          <w:i/>
        </w:rPr>
        <w:t xml:space="preserve"> </w:t>
      </w:r>
      <w:r w:rsidR="002836EB" w:rsidRPr="00B82D75">
        <w:t>IACS UI SC 156 (June 2002)</w:t>
      </w:r>
      <w:r w:rsidR="002836EB">
        <w:t xml:space="preserve"> is available</w:t>
      </w:r>
      <w:r>
        <w:t xml:space="preserve"> on </w:t>
      </w:r>
      <w:r>
        <w:rPr>
          <w:lang w:eastAsia="en-AU"/>
        </w:rPr>
        <w:t xml:space="preserve">the Marine Orders link on the AMSA website at </w:t>
      </w:r>
      <w:r w:rsidRPr="00D51259">
        <w:rPr>
          <w:u w:val="single"/>
          <w:lang w:eastAsia="en-AU"/>
        </w:rPr>
        <w:t>http://www.amsa.gov.au</w:t>
      </w:r>
      <w:r>
        <w:rPr>
          <w:lang w:eastAsia="en-AU"/>
        </w:rPr>
        <w:t>. The website gives information on how to navigate the IACS website to download the document</w:t>
      </w:r>
      <w:r w:rsidR="003D52C3">
        <w:rPr>
          <w:lang w:eastAsia="en-AU"/>
        </w:rPr>
        <w:t xml:space="preserve"> for free</w:t>
      </w:r>
      <w:r>
        <w:rPr>
          <w:lang w:eastAsia="en-AU"/>
        </w:rPr>
        <w:t xml:space="preserve">. This document is </w:t>
      </w:r>
      <w:r w:rsidR="003D52C3">
        <w:rPr>
          <w:lang w:eastAsia="en-AU"/>
        </w:rPr>
        <w:t xml:space="preserve">also </w:t>
      </w:r>
      <w:r>
        <w:rPr>
          <w:lang w:eastAsia="en-AU"/>
        </w:rPr>
        <w:t xml:space="preserve">available </w:t>
      </w:r>
      <w:r w:rsidR="003D52C3">
        <w:rPr>
          <w:lang w:eastAsia="en-AU"/>
        </w:rPr>
        <w:t xml:space="preserve">direct </w:t>
      </w:r>
      <w:r>
        <w:rPr>
          <w:lang w:eastAsia="en-AU"/>
        </w:rPr>
        <w:t xml:space="preserve">from </w:t>
      </w:r>
      <w:r w:rsidR="008D213C" w:rsidRPr="001B526F">
        <w:t xml:space="preserve">the International Association of Classification Societies Ltd website at </w:t>
      </w:r>
      <w:r w:rsidR="008D213C" w:rsidRPr="001B526F">
        <w:rPr>
          <w:u w:val="single"/>
        </w:rPr>
        <w:t>http://www.iacs.org.uk</w:t>
      </w:r>
      <w:r w:rsidR="008D213C" w:rsidRPr="001B526F">
        <w:t>.</w:t>
      </w:r>
    </w:p>
    <w:p w14:paraId="61AA5421" w14:textId="77777777" w:rsidR="00007792" w:rsidRDefault="00007792" w:rsidP="00007792">
      <w:pPr>
        <w:pStyle w:val="LDAmendHeading"/>
      </w:pPr>
      <w:r>
        <w:lastRenderedPageBreak/>
        <w:t>Commencement</w:t>
      </w:r>
    </w:p>
    <w:p w14:paraId="5E6A725E" w14:textId="163A5D0E" w:rsidR="00007792" w:rsidRDefault="00007792" w:rsidP="00007792">
      <w:pPr>
        <w:pStyle w:val="LDMinuteParagraph"/>
      </w:pPr>
      <w:r>
        <w:t xml:space="preserve">This Order commenced on </w:t>
      </w:r>
      <w:r w:rsidR="006128A5">
        <w:t xml:space="preserve">1 </w:t>
      </w:r>
      <w:r w:rsidR="009B5349">
        <w:t>July</w:t>
      </w:r>
      <w:r w:rsidR="006128A5">
        <w:t xml:space="preserve"> 2016. </w:t>
      </w:r>
    </w:p>
    <w:p w14:paraId="34B26E12" w14:textId="77777777" w:rsidR="00007792" w:rsidRDefault="00007792" w:rsidP="00007792">
      <w:pPr>
        <w:pStyle w:val="LDAmendHeading"/>
      </w:pPr>
      <w:r>
        <w:t xml:space="preserve">Contents of this </w:t>
      </w:r>
      <w:r w:rsidR="007005C4">
        <w:t>instrument</w:t>
      </w:r>
    </w:p>
    <w:p w14:paraId="3C356DEC" w14:textId="77777777" w:rsidR="00007792" w:rsidRDefault="004E3842" w:rsidP="00007792">
      <w:pPr>
        <w:pStyle w:val="LDMinuteParagraph"/>
      </w:pPr>
      <w:r>
        <w:t xml:space="preserve">Section </w:t>
      </w:r>
      <w:r w:rsidR="00BA6239">
        <w:t xml:space="preserve">1 </w:t>
      </w:r>
      <w:r>
        <w:t>sets out the name of the Order.</w:t>
      </w:r>
    </w:p>
    <w:p w14:paraId="68C6D837" w14:textId="77777777" w:rsidR="00007792" w:rsidRDefault="00430134" w:rsidP="00007792">
      <w:pPr>
        <w:pStyle w:val="LDMinuteParagraph"/>
      </w:pPr>
      <w:r>
        <w:t xml:space="preserve">Section </w:t>
      </w:r>
      <w:r w:rsidR="0088337D">
        <w:t>1A</w:t>
      </w:r>
      <w:r w:rsidR="00007792">
        <w:t xml:space="preserve"> </w:t>
      </w:r>
      <w:r>
        <w:t>provides for the commencement of the Order.</w:t>
      </w:r>
    </w:p>
    <w:p w14:paraId="2F619BE2" w14:textId="77777777" w:rsidR="0088337D" w:rsidRDefault="0088337D" w:rsidP="00007792">
      <w:pPr>
        <w:pStyle w:val="LDMinuteParagraph"/>
      </w:pPr>
      <w:r>
        <w:t>Section 1B repeals the previous issue of the Order.</w:t>
      </w:r>
    </w:p>
    <w:p w14:paraId="7B58665A" w14:textId="3C0FC093" w:rsidR="00501AAC" w:rsidRDefault="0088337D" w:rsidP="00BF193B">
      <w:pPr>
        <w:pStyle w:val="LDMinuteParagraph"/>
      </w:pPr>
      <w:r>
        <w:t xml:space="preserve">Section 2 </w:t>
      </w:r>
      <w:r w:rsidR="00430134">
        <w:t xml:space="preserve">states the purpose of the Order, which is </w:t>
      </w:r>
      <w:r w:rsidR="009E2865">
        <w:t xml:space="preserve">to </w:t>
      </w:r>
      <w:r w:rsidR="00090DF4">
        <w:t>give</w:t>
      </w:r>
      <w:r w:rsidR="00090DF4" w:rsidRPr="000452B0">
        <w:t xml:space="preserve"> effect to Chapter II-1 of SOLAS</w:t>
      </w:r>
      <w:r w:rsidR="00090DF4">
        <w:t xml:space="preserve"> other than Regulation 21, prescribe</w:t>
      </w:r>
      <w:r w:rsidR="00090DF4" w:rsidRPr="000452B0">
        <w:t xml:space="preserve"> standards </w:t>
      </w:r>
      <w:r w:rsidR="00090DF4">
        <w:t>for the</w:t>
      </w:r>
      <w:r w:rsidR="00090DF4" w:rsidRPr="000452B0">
        <w:t xml:space="preserve"> structure, subdivision, stability, machinery and electrical installations for</w:t>
      </w:r>
      <w:r w:rsidR="00090DF4">
        <w:t xml:space="preserve"> </w:t>
      </w:r>
      <w:r w:rsidR="00090DF4" w:rsidRPr="00276232">
        <w:t>vessels to which Chapter II-1 of SOLAS applies</w:t>
      </w:r>
      <w:r w:rsidR="00090DF4">
        <w:t xml:space="preserve"> and </w:t>
      </w:r>
      <w:r w:rsidR="00FC4CE5">
        <w:t xml:space="preserve">for </w:t>
      </w:r>
      <w:r w:rsidR="00090DF4">
        <w:t xml:space="preserve">vessels to </w:t>
      </w:r>
      <w:r w:rsidR="00090DF4" w:rsidRPr="00276232">
        <w:t xml:space="preserve">which Chapter II-1 of SOLAS </w:t>
      </w:r>
      <w:r w:rsidR="00090DF4">
        <w:t xml:space="preserve">does not apply, and to </w:t>
      </w:r>
      <w:r w:rsidR="00934395">
        <w:t>give</w:t>
      </w:r>
      <w:r w:rsidR="00090DF4" w:rsidRPr="000452B0">
        <w:t xml:space="preserve"> effect to the </w:t>
      </w:r>
      <w:r w:rsidR="00090DF4">
        <w:t>OSV</w:t>
      </w:r>
      <w:r w:rsidR="00090DF4" w:rsidRPr="000452B0">
        <w:rPr>
          <w:i/>
        </w:rPr>
        <w:t xml:space="preserve"> </w:t>
      </w:r>
      <w:r w:rsidR="00090DF4" w:rsidRPr="000452B0">
        <w:t>guidelines</w:t>
      </w:r>
      <w:r w:rsidR="00090DF4">
        <w:t xml:space="preserve">. </w:t>
      </w:r>
    </w:p>
    <w:p w14:paraId="095B8CA0" w14:textId="13B33721" w:rsidR="00F77DAA" w:rsidRDefault="00090DF4" w:rsidP="00F77DAA">
      <w:pPr>
        <w:pStyle w:val="LDMinuteParagraph"/>
      </w:pPr>
      <w:r>
        <w:t xml:space="preserve">Section 3 sets out the powers in the Navigation Act that enable the Order to be made. </w:t>
      </w:r>
    </w:p>
    <w:p w14:paraId="4D1758B7" w14:textId="3A556FBD" w:rsidR="00090DF4" w:rsidRDefault="00090DF4" w:rsidP="00F77DAA">
      <w:pPr>
        <w:pStyle w:val="LDMinuteParagraph"/>
      </w:pPr>
      <w:r>
        <w:t>Section 4 sets out definitions of terms used in the Order.</w:t>
      </w:r>
    </w:p>
    <w:p w14:paraId="101EFC07" w14:textId="1F1E3C73" w:rsidR="00D67210" w:rsidRDefault="00090DF4" w:rsidP="00990056">
      <w:pPr>
        <w:pStyle w:val="LDMinuteParagraph"/>
      </w:pPr>
      <w:r>
        <w:t>Section 5 sets out some rules of interpretation for the Order.</w:t>
      </w:r>
    </w:p>
    <w:p w14:paraId="6D047F41" w14:textId="323B8675" w:rsidR="00090DF4" w:rsidRDefault="00090DF4" w:rsidP="00990056">
      <w:pPr>
        <w:pStyle w:val="LDMinuteParagraph"/>
      </w:pPr>
      <w:r>
        <w:t xml:space="preserve">Section 6 </w:t>
      </w:r>
      <w:r w:rsidR="00934395">
        <w:t>provides that</w:t>
      </w:r>
      <w:r>
        <w:t xml:space="preserve"> the Order </w:t>
      </w:r>
      <w:r w:rsidR="00934395">
        <w:t xml:space="preserve">applies </w:t>
      </w:r>
      <w:r>
        <w:t>to regulated Australian vessels and foreign vessels</w:t>
      </w:r>
      <w:r w:rsidRPr="00E1119D">
        <w:t>.</w:t>
      </w:r>
    </w:p>
    <w:p w14:paraId="6601D5DA" w14:textId="5C1BD1CC" w:rsidR="00090DF4" w:rsidRDefault="00AD611C" w:rsidP="00990056">
      <w:pPr>
        <w:pStyle w:val="LDMinuteParagraph"/>
      </w:pPr>
      <w:r>
        <w:t xml:space="preserve">Section 7 provides a process for applications for an exemption of a vessel from a requirement of the Order.  An exemption may only be given if AMSA is satisfied that </w:t>
      </w:r>
      <w:r w:rsidRPr="00E1119D">
        <w:t>compliance with the requirement would be unnecessary or unreasonable</w:t>
      </w:r>
      <w:r>
        <w:t xml:space="preserve">, having regard to the vessel, its equipment and its intended voyage, and </w:t>
      </w:r>
      <w:r w:rsidRPr="00E1119D">
        <w:t>giving the exemption would not contravene SOLAS</w:t>
      </w:r>
      <w:r>
        <w:t>.</w:t>
      </w:r>
    </w:p>
    <w:p w14:paraId="43436D7E" w14:textId="4F579E29" w:rsidR="00AD611C" w:rsidRDefault="00AD611C" w:rsidP="00990056">
      <w:pPr>
        <w:pStyle w:val="LDMinuteParagraph"/>
      </w:pPr>
      <w:r>
        <w:t xml:space="preserve">Section 8 provides for applications for approval to use an equivalent to a requirement of the Order.  Approval may only be given if AMSA is satisfied that </w:t>
      </w:r>
      <w:r w:rsidRPr="00E1119D">
        <w:t>use of the equivalent would be at least as effective as compliance with the requirement to which the equivalent is an alternative</w:t>
      </w:r>
      <w:r>
        <w:t xml:space="preserve"> and </w:t>
      </w:r>
      <w:r w:rsidRPr="00E1119D">
        <w:t>approving use of the equivalent would not contravene SOLAS</w:t>
      </w:r>
      <w:r>
        <w:t>.</w:t>
      </w:r>
    </w:p>
    <w:p w14:paraId="6F5B5C7D" w14:textId="2630482E" w:rsidR="00AD611C" w:rsidRDefault="00AD611C" w:rsidP="00990056">
      <w:pPr>
        <w:pStyle w:val="LDMinuteParagraph"/>
      </w:pPr>
      <w:r>
        <w:t>Division 2 is about c</w:t>
      </w:r>
      <w:r w:rsidRPr="00FE1552">
        <w:rPr>
          <w:rStyle w:val="CharPartText"/>
        </w:rPr>
        <w:t>onstruction and stability requirements</w:t>
      </w:r>
      <w:r>
        <w:rPr>
          <w:rStyle w:val="CharPartText"/>
        </w:rPr>
        <w:t xml:space="preserve">. </w:t>
      </w:r>
    </w:p>
    <w:p w14:paraId="1EF82032" w14:textId="22B0E961" w:rsidR="00AD611C" w:rsidRDefault="00AD611C" w:rsidP="00990056">
      <w:pPr>
        <w:pStyle w:val="LDMinuteParagraph"/>
      </w:pPr>
      <w:r>
        <w:t xml:space="preserve">Section 9 provides that a vessel to which Chapter II-1 </w:t>
      </w:r>
      <w:r w:rsidR="00674581">
        <w:t>of SOLAS applies</w:t>
      </w:r>
      <w:r>
        <w:t xml:space="preserve"> must</w:t>
      </w:r>
      <w:r w:rsidR="00755D27">
        <w:t xml:space="preserve"> meet the standards for </w:t>
      </w:r>
      <w:r w:rsidR="00755D27">
        <w:rPr>
          <w:sz w:val="23"/>
          <w:szCs w:val="23"/>
        </w:rPr>
        <w:t>structure, subdivision, stability, machinery and electrical installations that apply to it under Chapter II-1</w:t>
      </w:r>
      <w:r w:rsidR="00731EB1">
        <w:rPr>
          <w:sz w:val="23"/>
          <w:szCs w:val="23"/>
        </w:rPr>
        <w:t xml:space="preserve">. </w:t>
      </w:r>
      <w:r w:rsidR="00755D27">
        <w:rPr>
          <w:sz w:val="23"/>
          <w:szCs w:val="23"/>
        </w:rPr>
        <w:t xml:space="preserve"> </w:t>
      </w:r>
      <w:r w:rsidR="00731EB1">
        <w:t>Regulated Australian vessels must</w:t>
      </w:r>
      <w:r w:rsidR="00755D27">
        <w:rPr>
          <w:sz w:val="23"/>
          <w:szCs w:val="23"/>
        </w:rPr>
        <w:t xml:space="preserve"> </w:t>
      </w:r>
      <w:r w:rsidR="00731EB1">
        <w:rPr>
          <w:sz w:val="23"/>
          <w:szCs w:val="23"/>
        </w:rPr>
        <w:t xml:space="preserve">additionally </w:t>
      </w:r>
      <w:r w:rsidR="00755D27">
        <w:rPr>
          <w:sz w:val="23"/>
          <w:szCs w:val="23"/>
        </w:rPr>
        <w:t xml:space="preserve">comply with </w:t>
      </w:r>
      <w:r w:rsidR="00755D27" w:rsidRPr="005E44B5">
        <w:t>Schedule</w:t>
      </w:r>
      <w:r w:rsidR="00755D27">
        <w:t xml:space="preserve"> 1</w:t>
      </w:r>
      <w:r w:rsidR="00731EB1">
        <w:t>.</w:t>
      </w:r>
      <w:r w:rsidR="00755D27">
        <w:t xml:space="preserve"> </w:t>
      </w:r>
      <w:r w:rsidR="00731EB1">
        <w:t>R</w:t>
      </w:r>
      <w:r w:rsidR="00731EB1" w:rsidRPr="005E44B5">
        <w:t>egulated Australian vessel</w:t>
      </w:r>
      <w:r w:rsidR="00731EB1">
        <w:t>s</w:t>
      </w:r>
      <w:r w:rsidR="00731EB1" w:rsidRPr="005E44B5">
        <w:t xml:space="preserve"> t</w:t>
      </w:r>
      <w:r w:rsidR="00731EB1">
        <w:t xml:space="preserve">hat are </w:t>
      </w:r>
      <w:proofErr w:type="spellStart"/>
      <w:r w:rsidR="00731EB1">
        <w:t>ro-ro</w:t>
      </w:r>
      <w:proofErr w:type="spellEnd"/>
      <w:r w:rsidR="00731EB1">
        <w:t xml:space="preserve"> passenger vessels must also comply with</w:t>
      </w:r>
      <w:r w:rsidR="00755D27">
        <w:t xml:space="preserve"> </w:t>
      </w:r>
      <w:r w:rsidR="00755D27" w:rsidRPr="00854EC2">
        <w:t>the Annex to resolution 14 of the 1995</w:t>
      </w:r>
      <w:r w:rsidR="00FC4CE5">
        <w:t> </w:t>
      </w:r>
      <w:r w:rsidR="00755D27" w:rsidRPr="00854EC2">
        <w:t>SOLAS Conference</w:t>
      </w:r>
      <w:r w:rsidR="00755D27">
        <w:t xml:space="preserve"> and </w:t>
      </w:r>
      <w:r w:rsidR="00755D27" w:rsidRPr="00854EC2">
        <w:t>IMO Resolution MSC.141 (76), as amended from time to time</w:t>
      </w:r>
      <w:r w:rsidR="00731EB1">
        <w:t>.</w:t>
      </w:r>
      <w:r w:rsidR="00755D27">
        <w:t xml:space="preserve">  However, a vessel that is surveyed and certified under a code mentioned in </w:t>
      </w:r>
      <w:r w:rsidR="00755D27">
        <w:rPr>
          <w:i/>
        </w:rPr>
        <w:t xml:space="preserve">Marine Order 47 (Mobile offshore drilling units) 2012 </w:t>
      </w:r>
      <w:r w:rsidR="00755D27">
        <w:t xml:space="preserve">or </w:t>
      </w:r>
      <w:r w:rsidR="00755D27">
        <w:rPr>
          <w:i/>
        </w:rPr>
        <w:t xml:space="preserve">Marine Order 49 (High-speed craft) 2015 </w:t>
      </w:r>
      <w:r w:rsidR="00755D27">
        <w:t>must instead meet the standards mentioned in the code under which it is certified.</w:t>
      </w:r>
      <w:r w:rsidR="00ED7C25">
        <w:t xml:space="preserve"> An offshore supply vessel must, in addition to complying with Chapter</w:t>
      </w:r>
      <w:r w:rsidR="00FC4CE5">
        <w:t> </w:t>
      </w:r>
      <w:r w:rsidR="00ED7C25">
        <w:t>II-1 of SOLAS,</w:t>
      </w:r>
      <w:r w:rsidR="004024B8">
        <w:t xml:space="preserve"> comply with the OSV Guidelines.</w:t>
      </w:r>
    </w:p>
    <w:p w14:paraId="0BC0DBD3" w14:textId="2B9AD712" w:rsidR="00755D27" w:rsidRDefault="00755D27" w:rsidP="00990056">
      <w:pPr>
        <w:pStyle w:val="LDMinuteParagraph"/>
      </w:pPr>
      <w:r>
        <w:t xml:space="preserve">Section 10 provides that </w:t>
      </w:r>
      <w:r w:rsidR="00E61E93">
        <w:t xml:space="preserve">a regulated Australian vessel to which Chapter II-1 </w:t>
      </w:r>
      <w:r w:rsidR="00FC4CE5">
        <w:t xml:space="preserve">of SOLAS </w:t>
      </w:r>
      <w:r w:rsidR="00E61E93">
        <w:t xml:space="preserve">does not apply must meet the standards for </w:t>
      </w:r>
      <w:r w:rsidR="00E61E93">
        <w:rPr>
          <w:sz w:val="23"/>
          <w:szCs w:val="23"/>
        </w:rPr>
        <w:t xml:space="preserve">structure, subdivision, </w:t>
      </w:r>
      <w:r w:rsidR="00E61E93" w:rsidRPr="005E44B5">
        <w:rPr>
          <w:sz w:val="23"/>
          <w:szCs w:val="23"/>
        </w:rPr>
        <w:t>stability, machinery and electrical installations</w:t>
      </w:r>
      <w:r w:rsidR="00E61E93" w:rsidRPr="005E44B5">
        <w:t xml:space="preserve"> that</w:t>
      </w:r>
      <w:r w:rsidR="00E61E93">
        <w:t xml:space="preserve"> </w:t>
      </w:r>
      <w:r w:rsidR="00E61E93" w:rsidRPr="00854EC2">
        <w:t>apply to the vessel’s area of operation under</w:t>
      </w:r>
      <w:r w:rsidR="00E61E93">
        <w:t xml:space="preserve"> the NSCV or USL Code, or </w:t>
      </w:r>
      <w:r w:rsidR="00B426F6">
        <w:t xml:space="preserve">that </w:t>
      </w:r>
      <w:r w:rsidR="00E61E93">
        <w:t>are applied by the vessel’s classification society.  The section also provides that t</w:t>
      </w:r>
      <w:r w:rsidR="00E61E93" w:rsidRPr="00474188">
        <w:t xml:space="preserve">he indicator system of watertight doors </w:t>
      </w:r>
      <w:r w:rsidR="004E04DC">
        <w:t xml:space="preserve">must comply with </w:t>
      </w:r>
      <w:r w:rsidR="004E04DC" w:rsidRPr="00474188">
        <w:t xml:space="preserve">Subsection 6B of Part C of the NSCV </w:t>
      </w:r>
      <w:r w:rsidR="004E04DC">
        <w:t xml:space="preserve">for </w:t>
      </w:r>
      <w:r w:rsidR="00E61E93" w:rsidRPr="00474188">
        <w:t xml:space="preserve">a </w:t>
      </w:r>
      <w:r w:rsidR="00E61E93" w:rsidRPr="00077E5F">
        <w:t>regulated Australian vessel</w:t>
      </w:r>
      <w:r w:rsidR="004D4A99">
        <w:t xml:space="preserve"> </w:t>
      </w:r>
      <w:r w:rsidR="00E61E93" w:rsidRPr="00077E5F">
        <w:t>to which Chapter II-1 does not apply</w:t>
      </w:r>
      <w:r w:rsidR="00E61E93">
        <w:t xml:space="preserve"> </w:t>
      </w:r>
      <w:r w:rsidR="00ED7C25">
        <w:t>if the vessel</w:t>
      </w:r>
      <w:r w:rsidR="00E61E93" w:rsidRPr="00854EC2">
        <w:t xml:space="preserve"> is not classified by a recognised organisation</w:t>
      </w:r>
      <w:r w:rsidR="004E04DC">
        <w:t xml:space="preserve">.  For such a vessel, the </w:t>
      </w:r>
      <w:r w:rsidR="004E04DC" w:rsidRPr="00474188">
        <w:t xml:space="preserve">vessel’s anchors, chain cables, hawsers and warps must </w:t>
      </w:r>
      <w:r w:rsidR="004E04DC">
        <w:t xml:space="preserve">also </w:t>
      </w:r>
      <w:r w:rsidR="004E04DC" w:rsidRPr="00474188">
        <w:t>comply with</w:t>
      </w:r>
      <w:r w:rsidR="004E04DC">
        <w:t xml:space="preserve"> </w:t>
      </w:r>
      <w:r w:rsidR="004E04DC" w:rsidRPr="00474188">
        <w:t>S</w:t>
      </w:r>
      <w:r w:rsidR="00B426F6">
        <w:t>ubs</w:t>
      </w:r>
      <w:r w:rsidR="004E04DC" w:rsidRPr="00474188">
        <w:t xml:space="preserve">ection </w:t>
      </w:r>
      <w:r w:rsidR="00B426F6">
        <w:t>7</w:t>
      </w:r>
      <w:r w:rsidR="004E04DC" w:rsidRPr="00474188">
        <w:t>D of Part C of the NSCV</w:t>
      </w:r>
      <w:r w:rsidR="004E04DC">
        <w:t xml:space="preserve"> </w:t>
      </w:r>
      <w:r w:rsidR="00B426F6">
        <w:t xml:space="preserve">for vessels built or upgraded after </w:t>
      </w:r>
      <w:r w:rsidR="00B426F6">
        <w:lastRenderedPageBreak/>
        <w:t xml:space="preserve">30 September 2008, </w:t>
      </w:r>
      <w:r w:rsidR="004E04DC">
        <w:t xml:space="preserve">or </w:t>
      </w:r>
      <w:r w:rsidR="00B426F6">
        <w:t xml:space="preserve">with </w:t>
      </w:r>
      <w:r w:rsidR="004E04DC" w:rsidRPr="00474188">
        <w:t>Appendices H and I of section 13 of the USL Code</w:t>
      </w:r>
      <w:r w:rsidR="00B426F6">
        <w:t xml:space="preserve"> for older vessels</w:t>
      </w:r>
      <w:r w:rsidR="004E04DC">
        <w:t xml:space="preserve">.  </w:t>
      </w:r>
      <w:r w:rsidR="004E04DC" w:rsidRPr="005E44B5">
        <w:t>A foreign vessel to whi</w:t>
      </w:r>
      <w:r w:rsidR="00ED7C25">
        <w:t>ch Chapter II-1 does not apply,</w:t>
      </w:r>
      <w:r w:rsidR="004E04DC" w:rsidRPr="005E44B5">
        <w:t xml:space="preserve"> must carry and comply with any certificate or other document issued by or on behalf of the Administration</w:t>
      </w:r>
      <w:r w:rsidR="004E04DC">
        <w:t>.</w:t>
      </w:r>
    </w:p>
    <w:p w14:paraId="7F10EF61" w14:textId="36A70E21" w:rsidR="00E61E93" w:rsidRDefault="004E04DC" w:rsidP="00990056">
      <w:pPr>
        <w:pStyle w:val="LDMinuteParagraph"/>
      </w:pPr>
      <w:r>
        <w:t xml:space="preserve">Section 11 provides that a regulated Australian vessel that is an offshore supply vessel </w:t>
      </w:r>
      <w:r w:rsidR="001C1C45">
        <w:t xml:space="preserve">built after 30 May 2007 </w:t>
      </w:r>
      <w:r>
        <w:t>must meet the documentation standards mentioned in Part 8 of the OSV </w:t>
      </w:r>
      <w:r w:rsidRPr="000452B0">
        <w:t>Guidelines</w:t>
      </w:r>
      <w:r>
        <w:t xml:space="preserve">. </w:t>
      </w:r>
      <w:r w:rsidR="001C1C45">
        <w:t xml:space="preserve">An offshore supply vessel built before </w:t>
      </w:r>
      <w:r w:rsidR="004E1F3F">
        <w:t>31 May 2007</w:t>
      </w:r>
      <w:r w:rsidR="001C1C45">
        <w:t xml:space="preserve"> must have a document confirming compliance with the OSV Guidelines.</w:t>
      </w:r>
    </w:p>
    <w:p w14:paraId="6BD39F32" w14:textId="44483F4B" w:rsidR="004E04DC" w:rsidRDefault="004E04DC" w:rsidP="00990056">
      <w:pPr>
        <w:pStyle w:val="LDMinuteParagraph"/>
      </w:pPr>
      <w:r>
        <w:t xml:space="preserve">Section 12 provides that the </w:t>
      </w:r>
      <w:r w:rsidRPr="00290866">
        <w:t xml:space="preserve">owner of a </w:t>
      </w:r>
      <w:r>
        <w:t xml:space="preserve">vessel must ensure that </w:t>
      </w:r>
      <w:r w:rsidRPr="00290866">
        <w:t xml:space="preserve">there is carried on a </w:t>
      </w:r>
      <w:r>
        <w:t>vessel</w:t>
      </w:r>
      <w:r w:rsidRPr="000452B0">
        <w:t xml:space="preserve"> </w:t>
      </w:r>
      <w:r w:rsidRPr="00290866">
        <w:t>at all times</w:t>
      </w:r>
      <w:r>
        <w:t>,</w:t>
      </w:r>
      <w:r w:rsidRPr="000452B0">
        <w:t xml:space="preserve"> information relating to the </w:t>
      </w:r>
      <w:r>
        <w:t>vessel</w:t>
      </w:r>
      <w:r w:rsidRPr="000452B0">
        <w:t>’s intact stability characteristics under different conditions of service.</w:t>
      </w:r>
      <w:r>
        <w:t xml:space="preserve"> This information must </w:t>
      </w:r>
      <w:r w:rsidRPr="00023E4D">
        <w:t>be substantially in accordance with Appendix 2 of Issue 2 of this Order</w:t>
      </w:r>
      <w:r>
        <w:t xml:space="preserve"> (</w:t>
      </w:r>
      <w:r w:rsidRPr="000452B0">
        <w:t xml:space="preserve">for </w:t>
      </w:r>
      <w:r>
        <w:t>vessel</w:t>
      </w:r>
      <w:r w:rsidRPr="000452B0">
        <w:t xml:space="preserve">s </w:t>
      </w:r>
      <w:r w:rsidRPr="00023E4D">
        <w:t>constructed before 1</w:t>
      </w:r>
      <w:r w:rsidR="00FC4CE5">
        <w:t> </w:t>
      </w:r>
      <w:r w:rsidRPr="00023E4D">
        <w:t>July 2010</w:t>
      </w:r>
      <w:r>
        <w:t xml:space="preserve">) or </w:t>
      </w:r>
      <w:r w:rsidRPr="00023E4D">
        <w:t>comply with paragraph 3.6.4 of Part B of the IS Code</w:t>
      </w:r>
      <w:r>
        <w:t xml:space="preserve"> (</w:t>
      </w:r>
      <w:r w:rsidRPr="00023E4D">
        <w:t>for vessels constructed after 30 June 2010</w:t>
      </w:r>
      <w:r w:rsidR="00327C94">
        <w:t xml:space="preserve">), and </w:t>
      </w:r>
      <w:r w:rsidR="00327C94" w:rsidRPr="00023E4D">
        <w:t>show that any inclining experiment or lightship measurement was carried out in accordance with Annex 1 of the IS Code</w:t>
      </w:r>
      <w:r w:rsidR="00327C94">
        <w:t xml:space="preserve"> (</w:t>
      </w:r>
      <w:r w:rsidR="00327C94" w:rsidRPr="00023E4D">
        <w:t>fo</w:t>
      </w:r>
      <w:r w:rsidR="00327C94">
        <w:t>r a regulated Australian vessel)</w:t>
      </w:r>
      <w:r w:rsidR="004F7374">
        <w:t>, and be approved.</w:t>
      </w:r>
    </w:p>
    <w:p w14:paraId="6FC8EDFC" w14:textId="78C318EE" w:rsidR="00C264B3" w:rsidRDefault="00C264B3" w:rsidP="00C264B3">
      <w:pPr>
        <w:pStyle w:val="LDMinuteParagraph"/>
      </w:pPr>
      <w:r>
        <w:t>Division 3 is about other safety measures.</w:t>
      </w:r>
    </w:p>
    <w:p w14:paraId="32C08650" w14:textId="621AAF3E" w:rsidR="00327C94" w:rsidRDefault="00327C94" w:rsidP="00990056">
      <w:pPr>
        <w:pStyle w:val="LDMinuteParagraph"/>
      </w:pPr>
      <w:r>
        <w:t>Section 13 provides that the</w:t>
      </w:r>
      <w:r w:rsidRPr="00023E4D">
        <w:t xml:space="preserve"> master of a vessel must ensure that all watertight doors are closed while the vessel is at sea.</w:t>
      </w:r>
      <w:r>
        <w:t xml:space="preserve">  However, a</w:t>
      </w:r>
      <w:r w:rsidRPr="00023E4D">
        <w:t xml:space="preserve"> watertight door, other than a category A or </w:t>
      </w:r>
      <w:r w:rsidRPr="00474188">
        <w:t>category D watertight door, may be opened at sea if</w:t>
      </w:r>
      <w:r>
        <w:t xml:space="preserve"> </w:t>
      </w:r>
      <w:r w:rsidRPr="00474188">
        <w:t>it is necessary for the door to be open for the working of the vessel</w:t>
      </w:r>
      <w:r>
        <w:t xml:space="preserve"> or </w:t>
      </w:r>
      <w:r w:rsidRPr="00023E4D">
        <w:t xml:space="preserve">the door is opened and closed for testing in accordance with section </w:t>
      </w:r>
      <w:r w:rsidR="004E1F3F">
        <w:rPr>
          <w:rStyle w:val="CharSectNo"/>
          <w:noProof/>
        </w:rPr>
        <w:t>19</w:t>
      </w:r>
      <w:r>
        <w:t xml:space="preserve">.  The master must also ensure </w:t>
      </w:r>
      <w:r w:rsidRPr="00077E5F">
        <w:t>that the area around the doorway</w:t>
      </w:r>
      <w:r w:rsidRPr="00023E4D">
        <w:t xml:space="preserve"> of a watertight door is unobstructed.</w:t>
      </w:r>
    </w:p>
    <w:p w14:paraId="6CAA8AAE" w14:textId="74933126" w:rsidR="00327C94" w:rsidRDefault="00327C94" w:rsidP="00990056">
      <w:pPr>
        <w:pStyle w:val="LDMinuteParagraph"/>
      </w:pPr>
      <w:r>
        <w:t>Section 14 provides that t</w:t>
      </w:r>
      <w:r w:rsidRPr="007F4CBE">
        <w:t>he master of a vessel must ensure that, before each voyage starts, any portable plate over an opening in the internal watertight structure of a vessel is fitted</w:t>
      </w:r>
      <w:r w:rsidR="001D2FA2">
        <w:t xml:space="preserve">.  It also provides that </w:t>
      </w:r>
      <w:r w:rsidR="001D2FA2" w:rsidRPr="007F4CBE">
        <w:t xml:space="preserve">master may order the removal of </w:t>
      </w:r>
      <w:r w:rsidR="001D2FA2">
        <w:t>the plate</w:t>
      </w:r>
      <w:r w:rsidR="001D2FA2" w:rsidRPr="007F4CBE">
        <w:t xml:space="preserve"> when a vessel is at sea if he or she considers that </w:t>
      </w:r>
      <w:r w:rsidR="001D2FA2">
        <w:t>it</w:t>
      </w:r>
      <w:r w:rsidR="001D2FA2" w:rsidRPr="007F4CBE">
        <w:t xml:space="preserve"> is an urgent necessity</w:t>
      </w:r>
      <w:r w:rsidR="001D2FA2">
        <w:t xml:space="preserve">.  </w:t>
      </w:r>
      <w:r w:rsidR="001D2FA2" w:rsidRPr="007F4CBE">
        <w:t>A person may remove a portable plate when a vessel is at sea only on the direct order of the master.</w:t>
      </w:r>
    </w:p>
    <w:p w14:paraId="4DD17424" w14:textId="4E5BE253" w:rsidR="001D2FA2" w:rsidRDefault="001D2FA2" w:rsidP="00990056">
      <w:pPr>
        <w:pStyle w:val="LDMinuteParagraph"/>
      </w:pPr>
      <w:r>
        <w:t>S</w:t>
      </w:r>
      <w:r w:rsidR="001140C0">
        <w:t>ubs</w:t>
      </w:r>
      <w:r>
        <w:t>ection 15</w:t>
      </w:r>
      <w:r w:rsidR="001140C0">
        <w:t>(1)</w:t>
      </w:r>
      <w:r>
        <w:t xml:space="preserve"> </w:t>
      </w:r>
      <w:r w:rsidR="001140C0">
        <w:t xml:space="preserve">provides that the master of </w:t>
      </w:r>
      <w:r w:rsidR="001140C0" w:rsidRPr="007F4CBE">
        <w:t xml:space="preserve">a vessel must ensure that </w:t>
      </w:r>
      <w:r w:rsidR="001140C0">
        <w:t>vesse</w:t>
      </w:r>
      <w:r w:rsidR="001140C0" w:rsidRPr="007F4CBE">
        <w:t>l openings</w:t>
      </w:r>
      <w:r w:rsidR="001140C0">
        <w:t xml:space="preserve"> mentioned in the section are </w:t>
      </w:r>
      <w:r w:rsidR="001140C0" w:rsidRPr="007F4CBE">
        <w:t>closed watertight and secured before the vessel leaves each berth or anchorage</w:t>
      </w:r>
      <w:r w:rsidR="001140C0">
        <w:t>.  The section also provides that a</w:t>
      </w:r>
      <w:r w:rsidR="001140C0" w:rsidRPr="007F4CBE">
        <w:t xml:space="preserve"> person must not open an opening mentioned in subsection (1) when the vessel is at sea</w:t>
      </w:r>
      <w:r w:rsidR="001140C0">
        <w:t xml:space="preserve">. </w:t>
      </w:r>
    </w:p>
    <w:p w14:paraId="493FDDBD" w14:textId="69698F4F" w:rsidR="001140C0" w:rsidRDefault="00420C3C" w:rsidP="00990056">
      <w:pPr>
        <w:pStyle w:val="LDMinuteParagraph"/>
      </w:pPr>
      <w:r>
        <w:t>Subsection 1</w:t>
      </w:r>
      <w:r w:rsidR="00CA32CC">
        <w:t>6</w:t>
      </w:r>
      <w:r>
        <w:t xml:space="preserve">(1) provides that the master of a vessel must </w:t>
      </w:r>
      <w:r w:rsidRPr="007F4CBE">
        <w:t xml:space="preserve">ensure that the doors </w:t>
      </w:r>
      <w:r>
        <w:t xml:space="preserve">specified in the subsection </w:t>
      </w:r>
      <w:r w:rsidRPr="007F4CBE">
        <w:t>are closed and secured before a vessel starts a voyage</w:t>
      </w:r>
      <w:r>
        <w:t xml:space="preserve">.  Subsection (2) provides that a </w:t>
      </w:r>
      <w:r w:rsidRPr="007F4CBE">
        <w:t xml:space="preserve">person may unlock or open </w:t>
      </w:r>
      <w:r w:rsidR="00FC4CE5">
        <w:t xml:space="preserve">such </w:t>
      </w:r>
      <w:r w:rsidRPr="007F4CBE">
        <w:t>a door only when the vessel is at berth</w:t>
      </w:r>
      <w:r>
        <w:t xml:space="preserve">.  </w:t>
      </w:r>
      <w:r w:rsidRPr="007F4CBE">
        <w:t>However, the master of the vessel may allow</w:t>
      </w:r>
      <w:r>
        <w:t xml:space="preserve"> the doors to be opened in specified circumstances.  Subsection (4) provides that the</w:t>
      </w:r>
      <w:r w:rsidRPr="007F4CBE">
        <w:t xml:space="preserve"> master must ensure that the opening and closing of the doors is supervised by an officer.</w:t>
      </w:r>
    </w:p>
    <w:p w14:paraId="36066724" w14:textId="01854D1C" w:rsidR="001140C0" w:rsidRDefault="00CA32CC" w:rsidP="00990056">
      <w:pPr>
        <w:pStyle w:val="LDMinuteParagraph"/>
      </w:pPr>
      <w:r>
        <w:t>Subsection 17</w:t>
      </w:r>
      <w:r w:rsidR="00420C3C">
        <w:t>(1) provides that the</w:t>
      </w:r>
      <w:r w:rsidR="00420C3C" w:rsidRPr="007F4CBE">
        <w:t xml:space="preserve"> master of a vessel must ensure that any </w:t>
      </w:r>
      <w:proofErr w:type="spellStart"/>
      <w:r w:rsidR="00420C3C" w:rsidRPr="007F4CBE">
        <w:t>sidescuttle</w:t>
      </w:r>
      <w:proofErr w:type="spellEnd"/>
      <w:r w:rsidR="00420C3C" w:rsidRPr="007F4CBE">
        <w:t xml:space="preserve"> or deadlight on an area of the vessel used for the carriage of cargo is closed, watertight and locked before the cargo is loaded.</w:t>
      </w:r>
      <w:r w:rsidR="00420C3C">
        <w:t xml:space="preserve">  Subsection (2) provides that a</w:t>
      </w:r>
      <w:r w:rsidR="00420C3C" w:rsidRPr="007F4CBE">
        <w:t xml:space="preserve"> person must not unlock or open a </w:t>
      </w:r>
      <w:proofErr w:type="spellStart"/>
      <w:r w:rsidR="00420C3C" w:rsidRPr="007F4CBE">
        <w:t>sidescuttle</w:t>
      </w:r>
      <w:proofErr w:type="spellEnd"/>
      <w:r w:rsidR="00420C3C" w:rsidRPr="007F4CBE">
        <w:t xml:space="preserve"> or deadlight until the cargo is unloaded.</w:t>
      </w:r>
    </w:p>
    <w:p w14:paraId="4EDB9980" w14:textId="228D6109" w:rsidR="00420C3C" w:rsidRPr="00705437" w:rsidRDefault="00705437" w:rsidP="00990056">
      <w:pPr>
        <w:pStyle w:val="LDMinuteParagraph"/>
      </w:pPr>
      <w:r>
        <w:t>Section 1</w:t>
      </w:r>
      <w:r w:rsidR="00CA32CC">
        <w:t>8</w:t>
      </w:r>
      <w:r>
        <w:t xml:space="preserve"> provides that the </w:t>
      </w:r>
      <w:r w:rsidRPr="007F4CBE">
        <w:rPr>
          <w:bCs/>
        </w:rPr>
        <w:t xml:space="preserve">master of a </w:t>
      </w:r>
      <w:r w:rsidRPr="007F4CBE">
        <w:t>vessel</w:t>
      </w:r>
      <w:r w:rsidRPr="007F4CBE">
        <w:rPr>
          <w:bCs/>
        </w:rPr>
        <w:t xml:space="preserve"> must ensure that each cover and valve of any ash chute, rubbish chute or similar fitting that has an inboard opening below the margin line of the </w:t>
      </w:r>
      <w:r w:rsidRPr="007F4CBE">
        <w:t>vessel</w:t>
      </w:r>
      <w:r w:rsidRPr="007F4CBE">
        <w:rPr>
          <w:bCs/>
        </w:rPr>
        <w:t xml:space="preserve"> is kept closed and secured when not in use.</w:t>
      </w:r>
    </w:p>
    <w:p w14:paraId="6720293C" w14:textId="5EA71A08" w:rsidR="00705437" w:rsidRDefault="00705437" w:rsidP="00990056">
      <w:pPr>
        <w:pStyle w:val="LDMinuteParagraph"/>
      </w:pPr>
      <w:r>
        <w:rPr>
          <w:bCs/>
        </w:rPr>
        <w:t>S</w:t>
      </w:r>
      <w:r w:rsidR="00FC4CE5">
        <w:rPr>
          <w:bCs/>
        </w:rPr>
        <w:t>ection 19 provides for the testing of specified openings and for their periodic operation. Requirements are imposed on the master of the vessel to ensure the testing occurs</w:t>
      </w:r>
      <w:proofErr w:type="gramStart"/>
      <w:r w:rsidR="00FC4CE5">
        <w:rPr>
          <w:bCs/>
        </w:rPr>
        <w:t>.</w:t>
      </w:r>
      <w:r w:rsidR="00936E87">
        <w:t>.</w:t>
      </w:r>
      <w:proofErr w:type="gramEnd"/>
    </w:p>
    <w:p w14:paraId="4FBC38A0" w14:textId="1C290346" w:rsidR="001C78B1" w:rsidRDefault="001C78B1" w:rsidP="00990056">
      <w:pPr>
        <w:pStyle w:val="LDMinuteParagraph"/>
      </w:pPr>
      <w:r>
        <w:lastRenderedPageBreak/>
        <w:t>Section 2</w:t>
      </w:r>
      <w:r w:rsidR="00936E87">
        <w:t>0</w:t>
      </w:r>
      <w:r>
        <w:t xml:space="preserve"> provides that the </w:t>
      </w:r>
      <w:r w:rsidRPr="004157D9">
        <w:t xml:space="preserve">owner of a </w:t>
      </w:r>
      <w:r w:rsidRPr="003A3E67">
        <w:t>vessel</w:t>
      </w:r>
      <w:r w:rsidRPr="004157D9">
        <w:t xml:space="preserve"> must ensure that</w:t>
      </w:r>
      <w:r w:rsidR="00FC4CE5">
        <w:t xml:space="preserve"> specified</w:t>
      </w:r>
      <w:r w:rsidRPr="004157D9">
        <w:t xml:space="preserve"> appliances and fittings are marked with instructions </w:t>
      </w:r>
      <w:r>
        <w:t xml:space="preserve">on how to operate them safely and effectively.  The section also provides that the </w:t>
      </w:r>
      <w:r w:rsidRPr="004157D9">
        <w:t xml:space="preserve">master of a </w:t>
      </w:r>
      <w:r w:rsidRPr="003A3E67">
        <w:t>vessel</w:t>
      </w:r>
      <w:r w:rsidRPr="004157D9">
        <w:t xml:space="preserve"> must ensure that the</w:t>
      </w:r>
      <w:r>
        <w:t>se</w:t>
      </w:r>
      <w:r w:rsidRPr="004157D9">
        <w:t xml:space="preserve"> appliances and fittings are inspected </w:t>
      </w:r>
      <w:r>
        <w:t xml:space="preserve">at least weekly. </w:t>
      </w:r>
    </w:p>
    <w:p w14:paraId="2B736B0B" w14:textId="21ECCA3D" w:rsidR="001C78B1" w:rsidRDefault="001C78B1" w:rsidP="00990056">
      <w:pPr>
        <w:pStyle w:val="LDMinuteParagraph"/>
      </w:pPr>
      <w:r>
        <w:t>Section 2</w:t>
      </w:r>
      <w:r w:rsidR="00936E87">
        <w:t>1</w:t>
      </w:r>
      <w:r>
        <w:t xml:space="preserve"> requires the master of a vessel to ensure that </w:t>
      </w:r>
      <w:r w:rsidR="00FC4CE5">
        <w:t xml:space="preserve">specified </w:t>
      </w:r>
      <w:r w:rsidRPr="007F4CBE">
        <w:t xml:space="preserve">information </w:t>
      </w:r>
      <w:r w:rsidR="00936E87">
        <w:t xml:space="preserve">such as the opening and closing times of doors </w:t>
      </w:r>
      <w:r w:rsidRPr="007F4CBE">
        <w:t>is re</w:t>
      </w:r>
      <w:r>
        <w:t xml:space="preserve">corded in the official log-book </w:t>
      </w:r>
      <w:r w:rsidR="003939A6">
        <w:t>in accordance with the section.</w:t>
      </w:r>
    </w:p>
    <w:p w14:paraId="14E531DE" w14:textId="19BFC35A" w:rsidR="00CA1A83" w:rsidRDefault="001C78B1" w:rsidP="00990056">
      <w:pPr>
        <w:pStyle w:val="LDMinuteParagraph"/>
      </w:pPr>
      <w:r>
        <w:t>Section 2</w:t>
      </w:r>
      <w:r w:rsidR="00936E87">
        <w:t>2</w:t>
      </w:r>
      <w:r w:rsidR="00194352">
        <w:t xml:space="preserve"> sets out construction requirements</w:t>
      </w:r>
      <w:r w:rsidR="003939A6">
        <w:t xml:space="preserve"> and standards</w:t>
      </w:r>
      <w:r w:rsidR="00194352">
        <w:t xml:space="preserve"> </w:t>
      </w:r>
      <w:r w:rsidR="003939A6">
        <w:t xml:space="preserve">for a vessel, </w:t>
      </w:r>
      <w:r w:rsidR="00194352">
        <w:t>for equipment used for</w:t>
      </w:r>
      <w:r w:rsidR="003939A6">
        <w:t xml:space="preserve"> embarkation and disembarkation.</w:t>
      </w:r>
    </w:p>
    <w:p w14:paraId="6FAF5F88" w14:textId="30063978" w:rsidR="001C78B1" w:rsidRDefault="00CA1A83" w:rsidP="00990056">
      <w:pPr>
        <w:pStyle w:val="LDMinuteParagraph"/>
      </w:pPr>
      <w:r>
        <w:t>S</w:t>
      </w:r>
      <w:r w:rsidR="001C78B1">
        <w:t xml:space="preserve">ection </w:t>
      </w:r>
      <w:r>
        <w:t xml:space="preserve">23 </w:t>
      </w:r>
      <w:r w:rsidR="001C78B1">
        <w:t xml:space="preserve">provides that a </w:t>
      </w:r>
      <w:r w:rsidR="001C78B1" w:rsidRPr="007F4CBE">
        <w:t>person boarding or leaving a vessel must use the means of access provided or identified by the master.</w:t>
      </w:r>
    </w:p>
    <w:p w14:paraId="79D7851C" w14:textId="54941CF6" w:rsidR="00CA1A83" w:rsidRDefault="00CA1A83" w:rsidP="00990056">
      <w:pPr>
        <w:pStyle w:val="LDMinuteParagraph"/>
      </w:pPr>
      <w:r>
        <w:t xml:space="preserve">Section 24 sets out </w:t>
      </w:r>
      <w:r w:rsidR="00BC5D25">
        <w:t>the responsibilities of the master for the provision of access to the vessel.</w:t>
      </w:r>
      <w:r w:rsidR="001876C6">
        <w:t xml:space="preserve"> The master has a number of duties about the means of access, including keeping it clean, properly rigged and at an appropriate angle for safe access. Further requirements are set out for </w:t>
      </w:r>
      <w:r w:rsidR="00005FF5">
        <w:t>a range of matters including</w:t>
      </w:r>
      <w:r w:rsidR="001876C6">
        <w:t xml:space="preserve"> safety netting, access between two vessels</w:t>
      </w:r>
      <w:r w:rsidR="00005FF5">
        <w:t xml:space="preserve">, </w:t>
      </w:r>
      <w:r w:rsidR="001876C6">
        <w:t>pilot ladders and use of cargo ramps for access.</w:t>
      </w:r>
    </w:p>
    <w:p w14:paraId="7B807B6C" w14:textId="41EF7800" w:rsidR="00A63AED" w:rsidRDefault="00A63AED" w:rsidP="00A63AED">
      <w:pPr>
        <w:pStyle w:val="LDMinuteParagraph"/>
      </w:pPr>
      <w:r>
        <w:t xml:space="preserve">Schedule 1 </w:t>
      </w:r>
      <w:r w:rsidR="00BC5D25">
        <w:t>provides</w:t>
      </w:r>
      <w:r w:rsidR="00FA072E">
        <w:t>,</w:t>
      </w:r>
      <w:r w:rsidR="00BC5D25">
        <w:t xml:space="preserve"> for</w:t>
      </w:r>
      <w:r>
        <w:t xml:space="preserve"> </w:t>
      </w:r>
      <w:r w:rsidR="00BE17C9">
        <w:t>a vessel that is a regulated Australian vessel</w:t>
      </w:r>
      <w:r w:rsidR="00FA072E">
        <w:t>,</w:t>
      </w:r>
      <w:r w:rsidR="00BC5D25">
        <w:t xml:space="preserve"> construction and stability requirements </w:t>
      </w:r>
      <w:r w:rsidR="00BE17C9" w:rsidRPr="00BE17C9">
        <w:t xml:space="preserve">that </w:t>
      </w:r>
      <w:r w:rsidR="00BE17C9">
        <w:t xml:space="preserve">are </w:t>
      </w:r>
      <w:r w:rsidR="00BC5D25">
        <w:t xml:space="preserve">additional to those </w:t>
      </w:r>
      <w:r w:rsidR="00BE17C9">
        <w:t xml:space="preserve">that apply to the vessel </w:t>
      </w:r>
      <w:r w:rsidR="00BC5D25">
        <w:t>in Chapter II-1 of SOLAS</w:t>
      </w:r>
      <w:r>
        <w:t>.</w:t>
      </w:r>
    </w:p>
    <w:p w14:paraId="3CACD61A" w14:textId="57F838F7" w:rsidR="00FA072E" w:rsidRDefault="00FA072E" w:rsidP="00A63AED">
      <w:pPr>
        <w:pStyle w:val="LDMinuteParagraph"/>
      </w:pPr>
      <w:r>
        <w:t>Schedule 2 provides specifications for accommodation ladders, gangways and safety nets on vessels.</w:t>
      </w:r>
    </w:p>
    <w:p w14:paraId="0FB7650C" w14:textId="77777777" w:rsidR="002C360A" w:rsidRPr="002C360A" w:rsidRDefault="002C360A" w:rsidP="00814BF0">
      <w:pPr>
        <w:pStyle w:val="LDMinuteParagraph"/>
        <w:keepNext/>
        <w:numPr>
          <w:ilvl w:val="0"/>
          <w:numId w:val="0"/>
        </w:numPr>
        <w:ind w:left="142"/>
        <w:rPr>
          <w:rFonts w:ascii="Arial" w:hAnsi="Arial" w:cs="Arial"/>
          <w:b/>
        </w:rPr>
      </w:pPr>
      <w:r w:rsidRPr="002C360A">
        <w:rPr>
          <w:rFonts w:ascii="Arial" w:hAnsi="Arial" w:cs="Arial"/>
          <w:b/>
        </w:rPr>
        <w:t>Statement of compatibility with human rights</w:t>
      </w:r>
    </w:p>
    <w:p w14:paraId="09AC424C" w14:textId="77777777" w:rsidR="004E3842" w:rsidRPr="00215AA5" w:rsidRDefault="00E2679C" w:rsidP="00990056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14:paraId="30781548" w14:textId="77777777" w:rsidR="00215AA5" w:rsidRDefault="00215AA5" w:rsidP="00215AA5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 w:rsidRPr="00215AA5">
        <w:rPr>
          <w:rFonts w:ascii="Arial" w:hAnsi="Arial" w:cs="Arial"/>
        </w:rPr>
        <w:t>Overview of the legislative instrument</w:t>
      </w:r>
    </w:p>
    <w:p w14:paraId="6BB24C62" w14:textId="09AF7F1C" w:rsidR="00AB63AF" w:rsidRDefault="00B9116F" w:rsidP="00F75D91">
      <w:pPr>
        <w:pStyle w:val="LDMinuteParagraph"/>
      </w:pPr>
      <w:r>
        <w:t xml:space="preserve">This Order is made under the </w:t>
      </w:r>
      <w:r w:rsidRPr="00B9116F">
        <w:rPr>
          <w:i/>
        </w:rPr>
        <w:t>Navigation Act 2012</w:t>
      </w:r>
      <w:r>
        <w:t xml:space="preserve"> (the Navigation Act). It</w:t>
      </w:r>
      <w:r w:rsidR="00F75D91">
        <w:t xml:space="preserve"> gives effect to </w:t>
      </w:r>
      <w:r w:rsidR="00F75D91" w:rsidRPr="000452B0">
        <w:t xml:space="preserve">Chapter II-1 of </w:t>
      </w:r>
      <w:r w:rsidR="00F348ED">
        <w:t>the International Convention for the Safety of Life at Sea (</w:t>
      </w:r>
      <w:r w:rsidR="00F75D91" w:rsidRPr="000452B0">
        <w:t>SOLAS</w:t>
      </w:r>
      <w:r w:rsidR="00F348ED">
        <w:t>)</w:t>
      </w:r>
      <w:r w:rsidR="00BC484A">
        <w:t>,</w:t>
      </w:r>
      <w:r w:rsidR="00F75D91">
        <w:t xml:space="preserve"> other than Regulation 21</w:t>
      </w:r>
      <w:r w:rsidR="00BC484A">
        <w:t>,</w:t>
      </w:r>
      <w:r w:rsidR="00F75D91">
        <w:t xml:space="preserve"> and prescribes </w:t>
      </w:r>
      <w:r w:rsidR="00F75D91" w:rsidRPr="000452B0">
        <w:t xml:space="preserve">standards </w:t>
      </w:r>
      <w:r w:rsidR="00F75D91">
        <w:t>for the</w:t>
      </w:r>
      <w:r w:rsidR="00F75D91" w:rsidRPr="000452B0">
        <w:t xml:space="preserve"> structure, subdivision, stability, machinery and electrical installations for</w:t>
      </w:r>
      <w:r w:rsidR="00F75D91">
        <w:t xml:space="preserve"> </w:t>
      </w:r>
      <w:r w:rsidR="00F75D91" w:rsidRPr="00276232">
        <w:t xml:space="preserve">vessels to which Chapter II-1 of SOLAS </w:t>
      </w:r>
      <w:r w:rsidR="00F75D91">
        <w:t xml:space="preserve">applies and </w:t>
      </w:r>
      <w:r w:rsidR="00F75D91" w:rsidRPr="00276232">
        <w:t>vessels to which Chapter II-1 of SOLAS does not apply</w:t>
      </w:r>
      <w:r w:rsidR="00F75D91">
        <w:t xml:space="preserve">.  It also </w:t>
      </w:r>
      <w:r w:rsidR="00F75D91" w:rsidRPr="000452B0">
        <w:t xml:space="preserve">gives effect to </w:t>
      </w:r>
      <w:r w:rsidR="00F348ED">
        <w:t>guidelines of the International Maritime Organi</w:t>
      </w:r>
      <w:r w:rsidR="00C41006">
        <w:t>z</w:t>
      </w:r>
      <w:r w:rsidR="00F348ED">
        <w:t>ation</w:t>
      </w:r>
      <w:r w:rsidR="00F75D91">
        <w:t xml:space="preserve"> </w:t>
      </w:r>
      <w:r w:rsidR="00F75D91" w:rsidRPr="00F348ED">
        <w:t xml:space="preserve">for </w:t>
      </w:r>
      <w:r w:rsidR="00BC484A">
        <w:t xml:space="preserve">the </w:t>
      </w:r>
      <w:r w:rsidR="00F348ED">
        <w:t>design and construction of offshore supply v</w:t>
      </w:r>
      <w:r w:rsidR="00F75D91" w:rsidRPr="00F348ED">
        <w:t>essels.</w:t>
      </w:r>
      <w:r w:rsidR="00F75D91">
        <w:t xml:space="preserve">  The Order contains requirements on construction and stability and other safety measures</w:t>
      </w:r>
      <w:r w:rsidR="00BC484A">
        <w:t xml:space="preserve"> for access to vessels in port and for the testing and closing of doors and other openings.</w:t>
      </w:r>
    </w:p>
    <w:p w14:paraId="32293853" w14:textId="77777777" w:rsidR="00397EA9" w:rsidRPr="00397EA9" w:rsidRDefault="00397EA9" w:rsidP="00397EA9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 w:rsidRPr="00397EA9">
        <w:rPr>
          <w:rFonts w:ascii="Arial" w:hAnsi="Arial" w:cs="Arial"/>
        </w:rPr>
        <w:t>Human rights implications</w:t>
      </w:r>
    </w:p>
    <w:p w14:paraId="55B7A312" w14:textId="4483F6AA" w:rsidR="00F75D91" w:rsidRDefault="00F75D91" w:rsidP="00F75D91">
      <w:pPr>
        <w:pStyle w:val="LDMinuteParagraph"/>
      </w:pPr>
      <w:r>
        <w:t xml:space="preserve">Sections </w:t>
      </w:r>
      <w:r w:rsidR="00C264B3">
        <w:t>12</w:t>
      </w:r>
      <w:r w:rsidR="00AD0FC3">
        <w:t xml:space="preserve"> to 21 and section </w:t>
      </w:r>
      <w:r w:rsidR="00C264B3">
        <w:t>23</w:t>
      </w:r>
      <w:r>
        <w:t xml:space="preserve"> of the Order create offences to which strict liability applies. They also create civil penalties.  Strict liability offences may engage and limit the presumption of innocence mentioned in </w:t>
      </w:r>
      <w:r w:rsidRPr="004E6592">
        <w:t xml:space="preserve">Article </w:t>
      </w:r>
      <w:r w:rsidRPr="00321EBB">
        <w:t>14</w:t>
      </w:r>
      <w:r w:rsidRPr="004E6592">
        <w:t xml:space="preserve"> of the International Covenant on Civil and Political Rights (ICCPR)</w:t>
      </w:r>
      <w:r>
        <w:t>.  Civil penalty provisions may engage the criminal process provisions under Articles 14 and 15 of the ICCPR.</w:t>
      </w:r>
    </w:p>
    <w:p w14:paraId="00F7C22F" w14:textId="762E1F56" w:rsidR="00F75D91" w:rsidRDefault="00F75D91" w:rsidP="00F75D91">
      <w:pPr>
        <w:pStyle w:val="LDMinuteParagraph"/>
      </w:pPr>
      <w:r>
        <w:t xml:space="preserve">Strict liability is imposed </w:t>
      </w:r>
      <w:r w:rsidR="00C264B3">
        <w:t xml:space="preserve">to protect life </w:t>
      </w:r>
      <w:r w:rsidR="00CE4912">
        <w:t xml:space="preserve">while the vessel is </w:t>
      </w:r>
      <w:r w:rsidR="004A347C">
        <w:t xml:space="preserve">both </w:t>
      </w:r>
      <w:r w:rsidR="00C264B3">
        <w:t>at sea</w:t>
      </w:r>
      <w:r w:rsidR="00CE4912">
        <w:t xml:space="preserve"> and in port</w:t>
      </w:r>
      <w:r>
        <w:t>. The offences</w:t>
      </w:r>
      <w:r w:rsidR="00C264B3">
        <w:t xml:space="preserve"> ensure compliance with SOLAS and other standards for </w:t>
      </w:r>
      <w:r w:rsidR="00B9116F">
        <w:t xml:space="preserve">vessel </w:t>
      </w:r>
      <w:r w:rsidR="00C264B3" w:rsidRPr="000452B0">
        <w:t xml:space="preserve">structure, subdivision, stability, machinery and electrical installations </w:t>
      </w:r>
      <w:r w:rsidR="00B9116F">
        <w:t xml:space="preserve">that </w:t>
      </w:r>
      <w:r>
        <w:t xml:space="preserve">are necessary for </w:t>
      </w:r>
      <w:r w:rsidR="00C264B3">
        <w:t>maritime safety</w:t>
      </w:r>
      <w:r>
        <w:t>.</w:t>
      </w:r>
      <w:r w:rsidR="004A347C" w:rsidRPr="004A347C">
        <w:t xml:space="preserve"> </w:t>
      </w:r>
      <w:r w:rsidR="004A347C">
        <w:t>The penalties for these offences are relatively low (50 penalty units) and are within the limitation imposed by paragraph 341(1</w:t>
      </w:r>
      <w:proofErr w:type="gramStart"/>
      <w:r w:rsidR="004A347C">
        <w:t>)(</w:t>
      </w:r>
      <w:proofErr w:type="gramEnd"/>
      <w:r w:rsidR="004A347C">
        <w:t>a) of the Navigation Act.</w:t>
      </w:r>
    </w:p>
    <w:p w14:paraId="3BE133FB" w14:textId="0E3584AA" w:rsidR="00F75D91" w:rsidRDefault="00F75D91" w:rsidP="00F75D91">
      <w:pPr>
        <w:pStyle w:val="LDMinuteParagraph"/>
      </w:pPr>
      <w:r>
        <w:t xml:space="preserve">The civil penalty provisions are directed at </w:t>
      </w:r>
      <w:r w:rsidR="00CE4912">
        <w:t xml:space="preserve">the owner, master </w:t>
      </w:r>
      <w:r w:rsidR="004A347C">
        <w:t xml:space="preserve">and </w:t>
      </w:r>
      <w:r w:rsidR="00CE4912">
        <w:t>people either on board the vessel or embarking or disembarking</w:t>
      </w:r>
      <w:r w:rsidR="004A347C">
        <w:t>. They</w:t>
      </w:r>
      <w:r>
        <w:t xml:space="preserve"> are regulatory </w:t>
      </w:r>
      <w:r w:rsidR="004A347C">
        <w:t>rather than punitive</w:t>
      </w:r>
      <w:r>
        <w:t xml:space="preserve">. </w:t>
      </w:r>
      <w:r w:rsidR="00C264B3">
        <w:t xml:space="preserve"> </w:t>
      </w:r>
      <w:r w:rsidR="00954DA7">
        <w:t>Civil penalties apply to</w:t>
      </w:r>
      <w:r w:rsidR="00C264B3">
        <w:t xml:space="preserve"> all persons </w:t>
      </w:r>
      <w:r w:rsidR="00954DA7">
        <w:t>for conduct such as</w:t>
      </w:r>
      <w:r w:rsidR="00C264B3">
        <w:t xml:space="preserve"> unlocking or</w:t>
      </w:r>
      <w:r w:rsidR="004A347C">
        <w:t xml:space="preserve"> </w:t>
      </w:r>
      <w:r w:rsidR="004A347C">
        <w:lastRenderedPageBreak/>
        <w:t>opening vessel openings at sea</w:t>
      </w:r>
      <w:r w:rsidR="00C264B3">
        <w:t xml:space="preserve"> in the circumstances outlined in the Order, </w:t>
      </w:r>
      <w:r w:rsidR="004A347C">
        <w:t xml:space="preserve">and </w:t>
      </w:r>
      <w:r w:rsidR="00954DA7">
        <w:t>for failure to comply</w:t>
      </w:r>
      <w:r w:rsidR="004A347C">
        <w:t xml:space="preserve"> with the master’s directions for accessing the vessel in port. </w:t>
      </w:r>
      <w:r>
        <w:t>The civil penalty provisions</w:t>
      </w:r>
      <w:r w:rsidR="00AD7B63">
        <w:t>,</w:t>
      </w:r>
      <w:r>
        <w:t xml:space="preserve"> </w:t>
      </w:r>
      <w:r w:rsidR="00AD7B63">
        <w:t xml:space="preserve">which </w:t>
      </w:r>
      <w:r>
        <w:t>are authorised by paragraph 341(1</w:t>
      </w:r>
      <w:proofErr w:type="gramStart"/>
      <w:r>
        <w:t>)(</w:t>
      </w:r>
      <w:proofErr w:type="gramEnd"/>
      <w:r>
        <w:t>b) of the Navigation Act</w:t>
      </w:r>
      <w:r w:rsidR="00AD7B63">
        <w:t>, are important safety measures</w:t>
      </w:r>
      <w:r>
        <w:t xml:space="preserve">. Having regard to the objectives of the civil penalty provisions (which are protective, preventative, </w:t>
      </w:r>
      <w:r w:rsidR="00AD7B63">
        <w:t xml:space="preserve">disciplinary </w:t>
      </w:r>
      <w:r>
        <w:t xml:space="preserve">or regulatory in nature), and the relatively low level of penalty, the civil penalties should not be considered to be criminal matters for human rights law.  </w:t>
      </w:r>
    </w:p>
    <w:p w14:paraId="2A4267E2" w14:textId="7778E208" w:rsidR="004E3842" w:rsidRDefault="00F75D91" w:rsidP="00F75D91">
      <w:pPr>
        <w:pStyle w:val="LDMinuteParagraph"/>
      </w:pPr>
      <w:r>
        <w:t>It is considered any limitation on human rights as a result of the imposition of strict liability and the creation of civil penalties is reasonable, necessary and proportion</w:t>
      </w:r>
      <w:r w:rsidR="00AD7B63">
        <w:t>ate for achieving the objective</w:t>
      </w:r>
      <w:r>
        <w:t xml:space="preserve"> of saving lives at sea and on shore.</w:t>
      </w:r>
    </w:p>
    <w:p w14:paraId="50982231" w14:textId="77777777" w:rsidR="00070612" w:rsidRPr="00070612" w:rsidRDefault="00070612" w:rsidP="00070612">
      <w:pPr>
        <w:pStyle w:val="LDMinuteParagraph"/>
        <w:numPr>
          <w:ilvl w:val="0"/>
          <w:numId w:val="0"/>
        </w:numPr>
        <w:rPr>
          <w:rFonts w:ascii="Arial" w:hAnsi="Arial" w:cs="Arial"/>
          <w:b/>
        </w:rPr>
      </w:pPr>
      <w:r w:rsidRPr="00070612">
        <w:rPr>
          <w:rFonts w:ascii="Arial" w:hAnsi="Arial" w:cs="Arial"/>
          <w:b/>
        </w:rPr>
        <w:t>Conclusion</w:t>
      </w:r>
    </w:p>
    <w:p w14:paraId="77648A83" w14:textId="0124C7A6" w:rsidR="00B92C29" w:rsidRDefault="00954DA7" w:rsidP="00070612">
      <w:pPr>
        <w:pStyle w:val="LDMinuteParagraph"/>
      </w:pPr>
      <w:r>
        <w:t xml:space="preserve">This instrument is compatible with the human rights and freedoms recognised or declared in the international instruments listed in section 3 of the </w:t>
      </w:r>
      <w:r w:rsidRPr="00954DA7">
        <w:rPr>
          <w:i/>
        </w:rPr>
        <w:t>Human Rights (Parliamentary Scrutiny) Act 2011</w:t>
      </w:r>
      <w:r>
        <w:rPr>
          <w:i/>
        </w:rPr>
        <w:t xml:space="preserve"> </w:t>
      </w:r>
      <w:r>
        <w:t>because to the extent that it may limit human rights, those limitations are reasonable, necessary and proportionate for the saving of lives at sea.</w:t>
      </w:r>
    </w:p>
    <w:p w14:paraId="6722C630" w14:textId="77777777" w:rsidR="00007792" w:rsidRPr="009B015D" w:rsidRDefault="00007792" w:rsidP="00007792">
      <w:pPr>
        <w:pStyle w:val="LDAmendHeading"/>
      </w:pPr>
      <w:r>
        <w:t xml:space="preserve">Making the </w:t>
      </w:r>
      <w:r w:rsidR="007005C4">
        <w:t>instrument</w:t>
      </w:r>
    </w:p>
    <w:p w14:paraId="3C1A105B" w14:textId="77777777" w:rsidR="00506142" w:rsidRPr="00B4479A" w:rsidRDefault="003B2EEF" w:rsidP="00506142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 xml:space="preserve">Australian Maritime </w:t>
      </w:r>
      <w:r w:rsidR="00C803C8">
        <w:rPr>
          <w:i/>
        </w:rPr>
        <w:t xml:space="preserve">Safety </w:t>
      </w:r>
      <w:r w:rsidR="00A302C2">
        <w:rPr>
          <w:i/>
        </w:rPr>
        <w:t>Authority Act 1990</w:t>
      </w:r>
      <w:r w:rsidRPr="00B4479A">
        <w:t>.</w:t>
      </w:r>
    </w:p>
    <w:sectPr w:rsidR="00506142" w:rsidRPr="00B4479A" w:rsidSect="00270686">
      <w:headerReference w:type="even" r:id="rId8"/>
      <w:footerReference w:type="even" r:id="rId9"/>
      <w:footerReference w:type="default" r:id="rId10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5778F" w14:textId="77777777" w:rsidR="00C52F16" w:rsidRDefault="00C52F16">
      <w:r>
        <w:separator/>
      </w:r>
    </w:p>
  </w:endnote>
  <w:endnote w:type="continuationSeparator" w:id="0">
    <w:p w14:paraId="1FE111B8" w14:textId="77777777" w:rsidR="00C52F16" w:rsidRDefault="00C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F69CE" w14:textId="77777777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FAF846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29E5" w14:textId="195607D8" w:rsidR="00D60F7F" w:rsidRPr="00506142" w:rsidRDefault="000F0CF4" w:rsidP="000F0CF4">
    <w:pPr>
      <w:pStyle w:val="Footer"/>
      <w:pBdr>
        <w:top w:val="single" w:sz="4" w:space="0" w:color="auto"/>
      </w:pBdr>
      <w:rPr>
        <w:rFonts w:ascii="Arial" w:hAnsi="Arial" w:cs="Arial"/>
        <w:sz w:val="16"/>
        <w:szCs w:val="16"/>
      </w:rPr>
    </w:pPr>
    <w:r w:rsidRPr="000F0CF4">
      <w:rPr>
        <w:rFonts w:ascii="Arial" w:hAnsi="Arial" w:cs="Arial"/>
        <w:i/>
        <w:sz w:val="16"/>
        <w:szCs w:val="16"/>
      </w:rPr>
      <w:t>Marine Order 12 (Construction — subdivision and stability, machinery and electrical installations) 2016</w:t>
    </w:r>
    <w:r w:rsidR="00506142" w:rsidRPr="00E81F3D">
      <w:rPr>
        <w:rFonts w:ascii="Arial" w:hAnsi="Arial" w:cs="Arial"/>
        <w:i/>
        <w:sz w:val="16"/>
        <w:szCs w:val="16"/>
      </w:rPr>
      <w:tab/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50614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84146E">
      <w:rPr>
        <w:rStyle w:val="PageNumber"/>
        <w:rFonts w:ascii="Arial" w:hAnsi="Arial" w:cs="Arial"/>
        <w:noProof/>
        <w:sz w:val="16"/>
        <w:szCs w:val="16"/>
      </w:rPr>
      <w:t>7</w: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A6200" w14:textId="77777777" w:rsidR="00C52F16" w:rsidRDefault="00C52F16">
      <w:r>
        <w:separator/>
      </w:r>
    </w:p>
  </w:footnote>
  <w:footnote w:type="continuationSeparator" w:id="0">
    <w:p w14:paraId="4CE10EE9" w14:textId="77777777" w:rsidR="00C52F16" w:rsidRDefault="00C5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5D056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9E63ACD" w14:textId="77777777" w:rsidR="00D60F7F" w:rsidRDefault="00D60F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430B0"/>
    <w:multiLevelType w:val="hybridMultilevel"/>
    <w:tmpl w:val="38D49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4703"/>
    <w:multiLevelType w:val="hybridMultilevel"/>
    <w:tmpl w:val="D58CFF92"/>
    <w:lvl w:ilvl="0" w:tplc="78363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82"/>
    <w:rsid w:val="00005110"/>
    <w:rsid w:val="00005FF5"/>
    <w:rsid w:val="000062DE"/>
    <w:rsid w:val="0000772C"/>
    <w:rsid w:val="00007792"/>
    <w:rsid w:val="000479EC"/>
    <w:rsid w:val="0005176B"/>
    <w:rsid w:val="0006314D"/>
    <w:rsid w:val="0006368D"/>
    <w:rsid w:val="00070612"/>
    <w:rsid w:val="00083A6A"/>
    <w:rsid w:val="00090DF4"/>
    <w:rsid w:val="000934B8"/>
    <w:rsid w:val="000A1CB4"/>
    <w:rsid w:val="000A2964"/>
    <w:rsid w:val="000C0753"/>
    <w:rsid w:val="000F0CF4"/>
    <w:rsid w:val="00106E65"/>
    <w:rsid w:val="001140C0"/>
    <w:rsid w:val="00122A33"/>
    <w:rsid w:val="001314F8"/>
    <w:rsid w:val="00156054"/>
    <w:rsid w:val="00161E13"/>
    <w:rsid w:val="001710F5"/>
    <w:rsid w:val="001876C6"/>
    <w:rsid w:val="00187967"/>
    <w:rsid w:val="00194352"/>
    <w:rsid w:val="001B39A6"/>
    <w:rsid w:val="001C1C45"/>
    <w:rsid w:val="001C78B1"/>
    <w:rsid w:val="001D1589"/>
    <w:rsid w:val="001D2FA2"/>
    <w:rsid w:val="001D419C"/>
    <w:rsid w:val="001E1ECB"/>
    <w:rsid w:val="001E5406"/>
    <w:rsid w:val="001E60FD"/>
    <w:rsid w:val="001F02B3"/>
    <w:rsid w:val="001F4DC4"/>
    <w:rsid w:val="001F5996"/>
    <w:rsid w:val="00215AA5"/>
    <w:rsid w:val="00234CF0"/>
    <w:rsid w:val="00243DBE"/>
    <w:rsid w:val="002446BA"/>
    <w:rsid w:val="00251768"/>
    <w:rsid w:val="00255D36"/>
    <w:rsid w:val="00270686"/>
    <w:rsid w:val="002712C6"/>
    <w:rsid w:val="002836EB"/>
    <w:rsid w:val="002962EF"/>
    <w:rsid w:val="00297EAC"/>
    <w:rsid w:val="002A643A"/>
    <w:rsid w:val="002B28C1"/>
    <w:rsid w:val="002B7DA1"/>
    <w:rsid w:val="002C360A"/>
    <w:rsid w:val="002C3A05"/>
    <w:rsid w:val="002D3212"/>
    <w:rsid w:val="002D692E"/>
    <w:rsid w:val="002D7C61"/>
    <w:rsid w:val="002F56BF"/>
    <w:rsid w:val="00300D05"/>
    <w:rsid w:val="003141EB"/>
    <w:rsid w:val="00317AE8"/>
    <w:rsid w:val="00321E86"/>
    <w:rsid w:val="0032325C"/>
    <w:rsid w:val="00326E2B"/>
    <w:rsid w:val="00327C94"/>
    <w:rsid w:val="00346D0C"/>
    <w:rsid w:val="00372C95"/>
    <w:rsid w:val="00373A82"/>
    <w:rsid w:val="00380940"/>
    <w:rsid w:val="00380985"/>
    <w:rsid w:val="00393678"/>
    <w:rsid w:val="003939A6"/>
    <w:rsid w:val="00395B1F"/>
    <w:rsid w:val="00397EA9"/>
    <w:rsid w:val="003A1C31"/>
    <w:rsid w:val="003B2EEF"/>
    <w:rsid w:val="003B45D1"/>
    <w:rsid w:val="003B726F"/>
    <w:rsid w:val="003C0D84"/>
    <w:rsid w:val="003C3EEB"/>
    <w:rsid w:val="003D52C3"/>
    <w:rsid w:val="003F43A7"/>
    <w:rsid w:val="004024B8"/>
    <w:rsid w:val="00411185"/>
    <w:rsid w:val="00413F57"/>
    <w:rsid w:val="00420C3C"/>
    <w:rsid w:val="00430134"/>
    <w:rsid w:val="00432C95"/>
    <w:rsid w:val="00432D02"/>
    <w:rsid w:val="0044746E"/>
    <w:rsid w:val="004511D5"/>
    <w:rsid w:val="00473832"/>
    <w:rsid w:val="00481043"/>
    <w:rsid w:val="00481584"/>
    <w:rsid w:val="00484448"/>
    <w:rsid w:val="004A347C"/>
    <w:rsid w:val="004D06AD"/>
    <w:rsid w:val="004D4A99"/>
    <w:rsid w:val="004E04DC"/>
    <w:rsid w:val="004E1F3F"/>
    <w:rsid w:val="004E2B54"/>
    <w:rsid w:val="004E3842"/>
    <w:rsid w:val="004F1924"/>
    <w:rsid w:val="004F7374"/>
    <w:rsid w:val="00501AAC"/>
    <w:rsid w:val="00504C64"/>
    <w:rsid w:val="00506142"/>
    <w:rsid w:val="00523D3D"/>
    <w:rsid w:val="00524E04"/>
    <w:rsid w:val="00530B98"/>
    <w:rsid w:val="00545B58"/>
    <w:rsid w:val="00552167"/>
    <w:rsid w:val="00573C44"/>
    <w:rsid w:val="00592D8C"/>
    <w:rsid w:val="0059658F"/>
    <w:rsid w:val="005B2444"/>
    <w:rsid w:val="005B52F3"/>
    <w:rsid w:val="005D03F0"/>
    <w:rsid w:val="005D2AB5"/>
    <w:rsid w:val="005D3B3B"/>
    <w:rsid w:val="005F202D"/>
    <w:rsid w:val="005F256E"/>
    <w:rsid w:val="005F3B6C"/>
    <w:rsid w:val="005F52A1"/>
    <w:rsid w:val="006128A5"/>
    <w:rsid w:val="00620FB2"/>
    <w:rsid w:val="0062179C"/>
    <w:rsid w:val="006309E4"/>
    <w:rsid w:val="00640ED3"/>
    <w:rsid w:val="00657757"/>
    <w:rsid w:val="0066237F"/>
    <w:rsid w:val="00664A74"/>
    <w:rsid w:val="00674581"/>
    <w:rsid w:val="00690175"/>
    <w:rsid w:val="00692DD8"/>
    <w:rsid w:val="00697B63"/>
    <w:rsid w:val="006A6E0B"/>
    <w:rsid w:val="006B2FC3"/>
    <w:rsid w:val="006C119E"/>
    <w:rsid w:val="006D4E3C"/>
    <w:rsid w:val="006E2A8C"/>
    <w:rsid w:val="006E6007"/>
    <w:rsid w:val="006F501F"/>
    <w:rsid w:val="007005C4"/>
    <w:rsid w:val="00704650"/>
    <w:rsid w:val="00705437"/>
    <w:rsid w:val="00724FA9"/>
    <w:rsid w:val="00731EB1"/>
    <w:rsid w:val="007379DA"/>
    <w:rsid w:val="00743998"/>
    <w:rsid w:val="00755D27"/>
    <w:rsid w:val="00760EAE"/>
    <w:rsid w:val="00780D29"/>
    <w:rsid w:val="007868CA"/>
    <w:rsid w:val="007911AE"/>
    <w:rsid w:val="007B232D"/>
    <w:rsid w:val="007D25C4"/>
    <w:rsid w:val="007D5172"/>
    <w:rsid w:val="007E6A48"/>
    <w:rsid w:val="007F3F1A"/>
    <w:rsid w:val="00814BF0"/>
    <w:rsid w:val="00816F6E"/>
    <w:rsid w:val="00822CBC"/>
    <w:rsid w:val="00824145"/>
    <w:rsid w:val="00833AA2"/>
    <w:rsid w:val="0084146E"/>
    <w:rsid w:val="0085034C"/>
    <w:rsid w:val="008522B5"/>
    <w:rsid w:val="00853536"/>
    <w:rsid w:val="008543C1"/>
    <w:rsid w:val="008601A3"/>
    <w:rsid w:val="00864562"/>
    <w:rsid w:val="0088337D"/>
    <w:rsid w:val="008846F2"/>
    <w:rsid w:val="00887F0D"/>
    <w:rsid w:val="008A6677"/>
    <w:rsid w:val="008C3126"/>
    <w:rsid w:val="008D213C"/>
    <w:rsid w:val="008D4536"/>
    <w:rsid w:val="008E2884"/>
    <w:rsid w:val="008F575D"/>
    <w:rsid w:val="009030D5"/>
    <w:rsid w:val="00903805"/>
    <w:rsid w:val="00911AE9"/>
    <w:rsid w:val="0092368B"/>
    <w:rsid w:val="00934395"/>
    <w:rsid w:val="00936E87"/>
    <w:rsid w:val="00937AB5"/>
    <w:rsid w:val="0094500C"/>
    <w:rsid w:val="00947456"/>
    <w:rsid w:val="00954DA7"/>
    <w:rsid w:val="00965AB3"/>
    <w:rsid w:val="00971CE8"/>
    <w:rsid w:val="00974171"/>
    <w:rsid w:val="00990056"/>
    <w:rsid w:val="00991DBC"/>
    <w:rsid w:val="009930DC"/>
    <w:rsid w:val="009A23E3"/>
    <w:rsid w:val="009A3D84"/>
    <w:rsid w:val="009B015D"/>
    <w:rsid w:val="009B2616"/>
    <w:rsid w:val="009B5349"/>
    <w:rsid w:val="009C2B60"/>
    <w:rsid w:val="009C3750"/>
    <w:rsid w:val="009C386F"/>
    <w:rsid w:val="009D015A"/>
    <w:rsid w:val="009E2865"/>
    <w:rsid w:val="009E63E3"/>
    <w:rsid w:val="009F7B4D"/>
    <w:rsid w:val="00A052E6"/>
    <w:rsid w:val="00A215E3"/>
    <w:rsid w:val="00A2494B"/>
    <w:rsid w:val="00A302C2"/>
    <w:rsid w:val="00A30F04"/>
    <w:rsid w:val="00A346B9"/>
    <w:rsid w:val="00A42FE5"/>
    <w:rsid w:val="00A53961"/>
    <w:rsid w:val="00A5533A"/>
    <w:rsid w:val="00A63AED"/>
    <w:rsid w:val="00A760BB"/>
    <w:rsid w:val="00A93FE0"/>
    <w:rsid w:val="00AA41F6"/>
    <w:rsid w:val="00AB63AF"/>
    <w:rsid w:val="00AD0FC3"/>
    <w:rsid w:val="00AD3979"/>
    <w:rsid w:val="00AD52CB"/>
    <w:rsid w:val="00AD611C"/>
    <w:rsid w:val="00AD7B63"/>
    <w:rsid w:val="00AE2773"/>
    <w:rsid w:val="00AF16BD"/>
    <w:rsid w:val="00AF600F"/>
    <w:rsid w:val="00B10003"/>
    <w:rsid w:val="00B1667C"/>
    <w:rsid w:val="00B2495A"/>
    <w:rsid w:val="00B3255C"/>
    <w:rsid w:val="00B36E48"/>
    <w:rsid w:val="00B4011E"/>
    <w:rsid w:val="00B426F6"/>
    <w:rsid w:val="00B43FBF"/>
    <w:rsid w:val="00B4479A"/>
    <w:rsid w:val="00B45DF8"/>
    <w:rsid w:val="00B60524"/>
    <w:rsid w:val="00B658C1"/>
    <w:rsid w:val="00B70162"/>
    <w:rsid w:val="00B71FD9"/>
    <w:rsid w:val="00B722DF"/>
    <w:rsid w:val="00B83872"/>
    <w:rsid w:val="00B85593"/>
    <w:rsid w:val="00B9116F"/>
    <w:rsid w:val="00B92C29"/>
    <w:rsid w:val="00B95EA6"/>
    <w:rsid w:val="00B97324"/>
    <w:rsid w:val="00BA6239"/>
    <w:rsid w:val="00BB077A"/>
    <w:rsid w:val="00BB6EA6"/>
    <w:rsid w:val="00BC484A"/>
    <w:rsid w:val="00BC5D25"/>
    <w:rsid w:val="00BD28FA"/>
    <w:rsid w:val="00BE17C9"/>
    <w:rsid w:val="00BF193B"/>
    <w:rsid w:val="00C033C9"/>
    <w:rsid w:val="00C061DE"/>
    <w:rsid w:val="00C264B3"/>
    <w:rsid w:val="00C41006"/>
    <w:rsid w:val="00C44B31"/>
    <w:rsid w:val="00C52F16"/>
    <w:rsid w:val="00C550AA"/>
    <w:rsid w:val="00C555F4"/>
    <w:rsid w:val="00C76A5C"/>
    <w:rsid w:val="00C803C8"/>
    <w:rsid w:val="00C8166D"/>
    <w:rsid w:val="00C848E3"/>
    <w:rsid w:val="00C8668D"/>
    <w:rsid w:val="00C92A5D"/>
    <w:rsid w:val="00C964D1"/>
    <w:rsid w:val="00CA1A83"/>
    <w:rsid w:val="00CA32CC"/>
    <w:rsid w:val="00CC75BA"/>
    <w:rsid w:val="00CD3C5B"/>
    <w:rsid w:val="00CE4912"/>
    <w:rsid w:val="00D16E93"/>
    <w:rsid w:val="00D37A0B"/>
    <w:rsid w:val="00D41277"/>
    <w:rsid w:val="00D51259"/>
    <w:rsid w:val="00D528C6"/>
    <w:rsid w:val="00D5520A"/>
    <w:rsid w:val="00D60F7F"/>
    <w:rsid w:val="00D62733"/>
    <w:rsid w:val="00D63FC4"/>
    <w:rsid w:val="00D67210"/>
    <w:rsid w:val="00DA37A9"/>
    <w:rsid w:val="00DE2E3D"/>
    <w:rsid w:val="00DE752E"/>
    <w:rsid w:val="00E07CA8"/>
    <w:rsid w:val="00E118EB"/>
    <w:rsid w:val="00E14DCC"/>
    <w:rsid w:val="00E2679C"/>
    <w:rsid w:val="00E335D4"/>
    <w:rsid w:val="00E576E4"/>
    <w:rsid w:val="00E61E93"/>
    <w:rsid w:val="00E66A84"/>
    <w:rsid w:val="00E66EEF"/>
    <w:rsid w:val="00E81F3D"/>
    <w:rsid w:val="00E81F79"/>
    <w:rsid w:val="00E90ECA"/>
    <w:rsid w:val="00ED251E"/>
    <w:rsid w:val="00ED7C25"/>
    <w:rsid w:val="00EE71A2"/>
    <w:rsid w:val="00F0537A"/>
    <w:rsid w:val="00F1462B"/>
    <w:rsid w:val="00F16E9F"/>
    <w:rsid w:val="00F31DCB"/>
    <w:rsid w:val="00F348ED"/>
    <w:rsid w:val="00F40F17"/>
    <w:rsid w:val="00F4439C"/>
    <w:rsid w:val="00F46997"/>
    <w:rsid w:val="00F54626"/>
    <w:rsid w:val="00F555F3"/>
    <w:rsid w:val="00F625B4"/>
    <w:rsid w:val="00F63BD0"/>
    <w:rsid w:val="00F660D0"/>
    <w:rsid w:val="00F66BC7"/>
    <w:rsid w:val="00F75D91"/>
    <w:rsid w:val="00F77DAA"/>
    <w:rsid w:val="00F80A73"/>
    <w:rsid w:val="00F82D8B"/>
    <w:rsid w:val="00F8601E"/>
    <w:rsid w:val="00F963C1"/>
    <w:rsid w:val="00FA072E"/>
    <w:rsid w:val="00FA680B"/>
    <w:rsid w:val="00FB71D1"/>
    <w:rsid w:val="00FC20F7"/>
    <w:rsid w:val="00FC4CE5"/>
    <w:rsid w:val="00FD5DBE"/>
    <w:rsid w:val="00FD704A"/>
    <w:rsid w:val="00FD7E01"/>
    <w:rsid w:val="00FE1DBC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9A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clear" w:pos="2694"/>
        <w:tab w:val="num" w:pos="0"/>
        <w:tab w:val="left" w:pos="360"/>
      </w:tabs>
      <w:overflowPunct w:val="0"/>
      <w:autoSpaceDE w:val="0"/>
      <w:autoSpaceDN w:val="0"/>
      <w:adjustRightInd w:val="0"/>
      <w:spacing w:after="120"/>
      <w:ind w:left="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customStyle="1" w:styleId="imo-stylesstyle-bold">
    <w:name w:val="imo-stylesstyle-bold"/>
    <w:basedOn w:val="DefaultParagraphFont"/>
    <w:rsid w:val="00005110"/>
  </w:style>
  <w:style w:type="character" w:styleId="CommentReference">
    <w:name w:val="annotation reference"/>
    <w:basedOn w:val="DefaultParagraphFont"/>
    <w:semiHidden/>
    <w:unhideWhenUsed/>
    <w:rsid w:val="002A64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6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4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43A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D51259"/>
    <w:rPr>
      <w:color w:val="0000FF" w:themeColor="hyperlink"/>
      <w:u w:val="single"/>
    </w:rPr>
  </w:style>
  <w:style w:type="character" w:customStyle="1" w:styleId="CharPartText">
    <w:name w:val="CharPartText"/>
    <w:rsid w:val="00AD611C"/>
    <w:rPr>
      <w:rFonts w:cs="Times New Roman"/>
    </w:rPr>
  </w:style>
  <w:style w:type="character" w:customStyle="1" w:styleId="CharSectNo">
    <w:name w:val="CharSectNo"/>
    <w:rsid w:val="00327C94"/>
    <w:rPr>
      <w:rFonts w:cs="Times New Roman"/>
    </w:rPr>
  </w:style>
  <w:style w:type="paragraph" w:customStyle="1" w:styleId="Default">
    <w:name w:val="Default"/>
    <w:rsid w:val="00887F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CF3E-FBF9-4B4E-ADB8-9133CED3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3390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2016-06-09T06:29:00Z</dcterms:created>
  <dcterms:modified xsi:type="dcterms:W3CDTF">2016-06-09T06:33:00Z</dcterms:modified>
</cp:coreProperties>
</file>