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0ED" w:rsidRPr="000C301D" w:rsidRDefault="003749BE" w:rsidP="00FE30ED">
      <w:pPr>
        <w:spacing w:before="100" w:beforeAutospacing="1" w:after="100" w:afterAutospacing="1"/>
        <w:ind w:right="3"/>
        <w:jc w:val="center"/>
        <w:rPr>
          <w:rFonts w:asciiTheme="minorHAnsi" w:eastAsia="Times New Roman" w:hAnsiTheme="minorHAnsi" w:cstheme="minorHAnsi"/>
          <w:lang w:val="en-US" w:eastAsia="en-AU"/>
        </w:rPr>
      </w:pPr>
      <w:r>
        <w:rPr>
          <w:rFonts w:asciiTheme="minorHAnsi" w:eastAsia="Times New Roman" w:hAnsiTheme="minorHAnsi" w:cstheme="minorHAnsi"/>
          <w:b/>
          <w:bCs/>
          <w:lang w:val="en-GB" w:eastAsia="en-AU"/>
        </w:rPr>
        <w:t xml:space="preserve">REPLACEMENT </w:t>
      </w:r>
      <w:bookmarkStart w:id="0" w:name="_GoBack"/>
      <w:bookmarkEnd w:id="0"/>
      <w:r w:rsidR="00FE30ED" w:rsidRPr="000C301D">
        <w:rPr>
          <w:rFonts w:asciiTheme="minorHAnsi" w:eastAsia="Times New Roman" w:hAnsiTheme="minorHAnsi" w:cstheme="minorHAnsi"/>
          <w:b/>
          <w:bCs/>
          <w:lang w:val="en-GB" w:eastAsia="en-AU"/>
        </w:rPr>
        <w:t>EXPLANATORY STATEMENT</w:t>
      </w:r>
    </w:p>
    <w:p w:rsidR="00FE30ED" w:rsidRPr="000C301D" w:rsidRDefault="00FE30ED" w:rsidP="00FE30ED">
      <w:pPr>
        <w:spacing w:before="100" w:beforeAutospacing="1" w:after="100" w:afterAutospacing="1"/>
        <w:jc w:val="center"/>
        <w:rPr>
          <w:rFonts w:asciiTheme="minorHAnsi" w:eastAsia="Times New Roman" w:hAnsiTheme="minorHAnsi" w:cstheme="minorHAnsi"/>
          <w:lang w:val="en-US" w:eastAsia="en-AU"/>
        </w:rPr>
      </w:pPr>
      <w:r w:rsidRPr="000C301D">
        <w:rPr>
          <w:rFonts w:asciiTheme="minorHAnsi" w:eastAsia="Times New Roman" w:hAnsiTheme="minorHAnsi" w:cstheme="minorHAnsi"/>
          <w:lang w:val="en-GB" w:eastAsia="en-AU"/>
        </w:rPr>
        <w:t> Issued by the Authority of the Minister for Small Business and Assistant Treasurer</w:t>
      </w:r>
    </w:p>
    <w:p w:rsidR="00FE30ED" w:rsidRPr="000C301D" w:rsidRDefault="00FE30ED" w:rsidP="00FE30ED">
      <w:pPr>
        <w:spacing w:before="100" w:beforeAutospacing="1" w:after="100" w:afterAutospacing="1"/>
        <w:ind w:right="3"/>
        <w:jc w:val="center"/>
        <w:rPr>
          <w:rFonts w:asciiTheme="minorHAnsi" w:eastAsia="Times New Roman" w:hAnsiTheme="minorHAnsi" w:cstheme="minorHAnsi"/>
          <w:lang w:val="en-US" w:eastAsia="en-AU"/>
        </w:rPr>
      </w:pPr>
      <w:r w:rsidRPr="000C301D">
        <w:rPr>
          <w:rFonts w:asciiTheme="minorHAnsi" w:eastAsia="Times New Roman" w:hAnsiTheme="minorHAnsi" w:cstheme="minorHAnsi"/>
          <w:i/>
          <w:iCs/>
          <w:lang w:val="en-GB" w:eastAsia="en-AU"/>
        </w:rPr>
        <w:t>Competition and Consumer Act 2010</w:t>
      </w:r>
    </w:p>
    <w:p w:rsidR="00FE30ED" w:rsidRPr="000C301D" w:rsidRDefault="00FE30ED" w:rsidP="00FE30ED">
      <w:pPr>
        <w:spacing w:before="100" w:beforeAutospacing="1" w:after="100" w:afterAutospacing="1"/>
        <w:jc w:val="center"/>
        <w:rPr>
          <w:rFonts w:asciiTheme="minorHAnsi" w:eastAsia="Times New Roman" w:hAnsiTheme="minorHAnsi" w:cstheme="minorHAnsi"/>
          <w:lang w:val="en-US" w:eastAsia="en-AU"/>
        </w:rPr>
      </w:pPr>
      <w:r w:rsidRPr="000C301D">
        <w:rPr>
          <w:rFonts w:asciiTheme="minorHAnsi" w:eastAsia="Times New Roman" w:hAnsiTheme="minorHAnsi" w:cstheme="minorHAnsi"/>
          <w:i/>
          <w:iCs/>
          <w:lang w:val="en-GB" w:eastAsia="en-AU"/>
        </w:rPr>
        <w:t xml:space="preserve">Consumer Protection Notice No. </w:t>
      </w:r>
      <w:r>
        <w:rPr>
          <w:rFonts w:asciiTheme="minorHAnsi" w:eastAsia="Times New Roman" w:hAnsiTheme="minorHAnsi" w:cstheme="minorHAnsi"/>
          <w:i/>
          <w:iCs/>
          <w:lang w:val="en-GB" w:eastAsia="en-AU"/>
        </w:rPr>
        <w:t>6</w:t>
      </w:r>
      <w:r w:rsidRPr="000C301D">
        <w:rPr>
          <w:rFonts w:asciiTheme="minorHAnsi" w:eastAsia="Times New Roman" w:hAnsiTheme="minorHAnsi" w:cstheme="minorHAnsi"/>
          <w:i/>
          <w:iCs/>
          <w:lang w:val="en-GB" w:eastAsia="en-AU"/>
        </w:rPr>
        <w:t xml:space="preserve"> of 2016 </w:t>
      </w:r>
    </w:p>
    <w:p w:rsidR="00FE30ED" w:rsidRDefault="00FE30ED" w:rsidP="00FE30ED">
      <w:pPr>
        <w:spacing w:before="100" w:beforeAutospacing="1" w:after="100" w:afterAutospacing="1"/>
        <w:jc w:val="center"/>
        <w:rPr>
          <w:rFonts w:asciiTheme="minorHAnsi" w:eastAsia="Times New Roman" w:hAnsiTheme="minorHAnsi" w:cstheme="minorHAnsi"/>
          <w:i/>
          <w:iCs/>
          <w:lang w:val="en-GB" w:eastAsia="en-AU"/>
        </w:rPr>
      </w:pPr>
      <w:r w:rsidRPr="00B056C2">
        <w:rPr>
          <w:rFonts w:asciiTheme="minorHAnsi" w:eastAsia="Times New Roman" w:hAnsiTheme="minorHAnsi" w:cstheme="minorHAnsi"/>
          <w:i/>
          <w:iCs/>
          <w:lang w:val="en-GB" w:eastAsia="en-AU"/>
        </w:rPr>
        <w:t xml:space="preserve">Extension of the </w:t>
      </w:r>
      <w:r>
        <w:rPr>
          <w:rFonts w:asciiTheme="minorHAnsi" w:eastAsia="Times New Roman" w:hAnsiTheme="minorHAnsi" w:cstheme="minorHAnsi"/>
          <w:i/>
          <w:iCs/>
          <w:lang w:val="en-GB" w:eastAsia="en-AU"/>
        </w:rPr>
        <w:t xml:space="preserve">extended </w:t>
      </w:r>
      <w:r w:rsidRPr="00B056C2">
        <w:rPr>
          <w:rFonts w:asciiTheme="minorHAnsi" w:eastAsia="Times New Roman" w:hAnsiTheme="minorHAnsi" w:cstheme="minorHAnsi"/>
          <w:i/>
          <w:iCs/>
          <w:lang w:val="en-GB" w:eastAsia="en-AU"/>
        </w:rPr>
        <w:t xml:space="preserve">ban period </w:t>
      </w:r>
      <w:r>
        <w:rPr>
          <w:rFonts w:asciiTheme="minorHAnsi" w:eastAsia="Times New Roman" w:hAnsiTheme="minorHAnsi" w:cstheme="minorHAnsi"/>
          <w:i/>
          <w:iCs/>
          <w:lang w:val="en-GB" w:eastAsia="en-AU"/>
        </w:rPr>
        <w:t>for the interim ban on hoverboards that do not meet specific safety requirements</w:t>
      </w:r>
    </w:p>
    <w:p w:rsidR="00FE30ED" w:rsidRPr="000C301D" w:rsidRDefault="00FE30ED" w:rsidP="00FE30ED">
      <w:pPr>
        <w:spacing w:before="120" w:after="120"/>
        <w:ind w:right="3"/>
        <w:jc w:val="both"/>
        <w:rPr>
          <w:rFonts w:asciiTheme="minorHAnsi" w:eastAsia="Times New Roman" w:hAnsiTheme="minorHAnsi" w:cstheme="minorHAnsi"/>
          <w:b/>
          <w:lang w:val="en-GB" w:eastAsia="en-AU"/>
        </w:rPr>
      </w:pPr>
      <w:r w:rsidRPr="000C301D">
        <w:rPr>
          <w:rFonts w:asciiTheme="minorHAnsi" w:eastAsia="Times New Roman" w:hAnsiTheme="minorHAnsi" w:cstheme="minorHAnsi"/>
          <w:b/>
          <w:lang w:val="en-GB" w:eastAsia="en-AU"/>
        </w:rPr>
        <w:t>Background</w:t>
      </w:r>
    </w:p>
    <w:p w:rsidR="00FE30ED" w:rsidRDefault="00FE30ED" w:rsidP="00FE30ED">
      <w:pPr>
        <w:spacing w:before="120" w:after="120"/>
        <w:ind w:right="3"/>
        <w:rPr>
          <w:rFonts w:asciiTheme="minorHAnsi" w:eastAsia="Times New Roman" w:hAnsiTheme="minorHAnsi" w:cstheme="minorHAnsi"/>
          <w:lang w:val="en-GB" w:eastAsia="en-AU"/>
        </w:rPr>
      </w:pPr>
      <w:r w:rsidRPr="000C301D">
        <w:rPr>
          <w:rFonts w:asciiTheme="minorHAnsi" w:eastAsia="Times New Roman" w:hAnsiTheme="minorHAnsi" w:cstheme="minorHAnsi"/>
          <w:lang w:val="en-GB" w:eastAsia="en-AU"/>
        </w:rPr>
        <w:t xml:space="preserve">Section 109(1)(a) of the Australian Consumer Law (the ACL), which is Schedule 2 to the </w:t>
      </w:r>
      <w:r w:rsidRPr="000C301D">
        <w:rPr>
          <w:rFonts w:asciiTheme="minorHAnsi" w:eastAsia="Times New Roman" w:hAnsiTheme="minorHAnsi" w:cstheme="minorHAnsi"/>
          <w:i/>
          <w:lang w:val="en-GB" w:eastAsia="en-AU"/>
        </w:rPr>
        <w:t xml:space="preserve">Competition and Consumer Act 2010 </w:t>
      </w:r>
      <w:r w:rsidRPr="000C301D">
        <w:rPr>
          <w:rFonts w:asciiTheme="minorHAnsi" w:eastAsia="Times New Roman" w:hAnsiTheme="minorHAnsi" w:cstheme="minorHAnsi"/>
          <w:lang w:val="en-GB" w:eastAsia="en-AU"/>
        </w:rPr>
        <w:t>(CCA), provides that a responsible Minister (including the Commonwealth Minister) may impose an interim ban on consumer goods of a particular kind if it appears to the responsible Minister that consumer goods of that kind, or a reasonably foreseeable use (including a misuse) of consumer goods of that kind, will or may cause injury to any person.</w:t>
      </w:r>
    </w:p>
    <w:p w:rsidR="00FE30ED" w:rsidRDefault="00FE30ED" w:rsidP="00FE30ED">
      <w:pPr>
        <w:keepNext/>
        <w:spacing w:before="240" w:after="120"/>
        <w:rPr>
          <w:rFonts w:asciiTheme="minorHAnsi" w:eastAsia="Times New Roman" w:hAnsiTheme="minorHAnsi" w:cstheme="minorHAnsi"/>
          <w:lang w:val="en-GB" w:eastAsia="en-AU"/>
        </w:rPr>
      </w:pPr>
      <w:r w:rsidRPr="000C301D">
        <w:rPr>
          <w:rFonts w:asciiTheme="minorHAnsi" w:eastAsia="Times New Roman" w:hAnsiTheme="minorHAnsi" w:cstheme="minorHAnsi"/>
          <w:lang w:val="en-GB" w:eastAsia="en-AU"/>
        </w:rPr>
        <w:t>The Minister for Small Business and Assistant Treasurer</w:t>
      </w:r>
      <w:r>
        <w:rPr>
          <w:rFonts w:asciiTheme="minorHAnsi" w:eastAsia="Times New Roman" w:hAnsiTheme="minorHAnsi" w:cstheme="minorHAnsi"/>
          <w:lang w:val="en-GB" w:eastAsia="en-AU"/>
        </w:rPr>
        <w:t xml:space="preserve"> </w:t>
      </w:r>
      <w:r w:rsidRPr="000C301D">
        <w:rPr>
          <w:rFonts w:asciiTheme="minorHAnsi" w:eastAsia="Times New Roman" w:hAnsiTheme="minorHAnsi" w:cstheme="minorHAnsi"/>
          <w:lang w:val="en-GB" w:eastAsia="en-AU"/>
        </w:rPr>
        <w:t>imposed an interim ban on hoverboards that do not meet specific safety requirements on 18 March 2016</w:t>
      </w:r>
      <w:r w:rsidRPr="00ED0AEE">
        <w:rPr>
          <w:rFonts w:asciiTheme="minorHAnsi" w:eastAsia="Times New Roman" w:hAnsiTheme="minorHAnsi" w:cstheme="minorHAnsi"/>
          <w:lang w:val="en-GB" w:eastAsia="en-AU"/>
        </w:rPr>
        <w:t xml:space="preserve"> </w:t>
      </w:r>
      <w:r w:rsidRPr="000C301D">
        <w:rPr>
          <w:rFonts w:asciiTheme="minorHAnsi" w:eastAsia="Times New Roman" w:hAnsiTheme="minorHAnsi" w:cstheme="minorHAnsi"/>
          <w:lang w:val="en-GB" w:eastAsia="en-AU"/>
        </w:rPr>
        <w:t>via Consumer Protection Notice No. 3 of 2016. The interim ban came into force the day after registration on the Federal Register of Legislation (FRL), on 19 March 2016.</w:t>
      </w:r>
      <w:r>
        <w:rPr>
          <w:rFonts w:asciiTheme="minorHAnsi" w:eastAsia="Times New Roman" w:hAnsiTheme="minorHAnsi" w:cstheme="minorHAnsi"/>
          <w:lang w:val="en-GB" w:eastAsia="en-AU"/>
        </w:rPr>
        <w:t xml:space="preserve"> </w:t>
      </w:r>
      <w:r w:rsidRPr="000C301D">
        <w:rPr>
          <w:rFonts w:asciiTheme="minorHAnsi" w:eastAsia="Times New Roman" w:hAnsiTheme="minorHAnsi" w:cstheme="minorHAnsi"/>
          <w:lang w:val="en-GB" w:eastAsia="en-AU"/>
        </w:rPr>
        <w:t xml:space="preserve">The interim ban </w:t>
      </w:r>
      <w:r>
        <w:rPr>
          <w:rFonts w:asciiTheme="minorHAnsi" w:eastAsia="Times New Roman" w:hAnsiTheme="minorHAnsi" w:cstheme="minorHAnsi"/>
          <w:lang w:val="en-GB" w:eastAsia="en-AU"/>
        </w:rPr>
        <w:t xml:space="preserve">notice </w:t>
      </w:r>
      <w:r w:rsidRPr="000C301D">
        <w:rPr>
          <w:rFonts w:asciiTheme="minorHAnsi" w:eastAsia="Times New Roman" w:hAnsiTheme="minorHAnsi" w:cstheme="minorHAnsi"/>
          <w:lang w:val="en-GB" w:eastAsia="en-AU"/>
        </w:rPr>
        <w:t xml:space="preserve">is available on the FRL website - </w:t>
      </w:r>
      <w:hyperlink r:id="rId9" w:history="1">
        <w:r w:rsidRPr="0085449C">
          <w:rPr>
            <w:rStyle w:val="Hyperlink"/>
            <w:rFonts w:asciiTheme="minorHAnsi" w:eastAsia="Times New Roman" w:hAnsiTheme="minorHAnsi" w:cstheme="minorHAnsi"/>
            <w:lang w:val="en-GB" w:eastAsia="en-AU"/>
          </w:rPr>
          <w:t>www.legislation.gov.au/Details/F2016L00357</w:t>
        </w:r>
      </w:hyperlink>
      <w:r w:rsidRPr="000C301D">
        <w:rPr>
          <w:rFonts w:asciiTheme="minorHAnsi" w:eastAsia="Times New Roman" w:hAnsiTheme="minorHAnsi" w:cstheme="minorHAnsi"/>
          <w:lang w:val="en-GB" w:eastAsia="en-AU"/>
        </w:rPr>
        <w:t xml:space="preserve">.  </w:t>
      </w:r>
    </w:p>
    <w:p w:rsidR="00FE30ED" w:rsidRPr="000C301D" w:rsidRDefault="00FE30ED" w:rsidP="00FE30ED">
      <w:pPr>
        <w:spacing w:before="120" w:after="120"/>
        <w:ind w:right="3"/>
        <w:jc w:val="both"/>
        <w:rPr>
          <w:rFonts w:asciiTheme="minorHAnsi" w:eastAsia="Times New Roman" w:hAnsiTheme="minorHAnsi" w:cstheme="minorHAnsi"/>
          <w:lang w:val="en-US" w:eastAsia="en-AU"/>
        </w:rPr>
      </w:pPr>
      <w:r w:rsidRPr="000C301D">
        <w:rPr>
          <w:rFonts w:asciiTheme="minorHAnsi" w:eastAsia="Times New Roman" w:hAnsiTheme="minorHAnsi" w:cstheme="minorHAnsi"/>
          <w:lang w:val="en-GB" w:eastAsia="en-AU"/>
        </w:rPr>
        <w:t>The interim ban applies to the supply of hoverboards that do not meet either:</w:t>
      </w:r>
    </w:p>
    <w:p w:rsidR="00FE30ED" w:rsidRPr="000C301D" w:rsidRDefault="00FE30ED" w:rsidP="00FE30ED">
      <w:pPr>
        <w:pStyle w:val="Bulletpoint"/>
        <w:rPr>
          <w:rFonts w:asciiTheme="minorHAnsi" w:hAnsiTheme="minorHAnsi" w:cstheme="minorHAnsi"/>
          <w:lang w:val="en-US" w:eastAsia="en-AU"/>
        </w:rPr>
      </w:pPr>
      <w:r w:rsidRPr="000C301D">
        <w:rPr>
          <w:rFonts w:asciiTheme="minorHAnsi" w:hAnsiTheme="minorHAnsi" w:cstheme="minorHAnsi"/>
          <w:lang w:val="en-GB" w:eastAsia="en-AU"/>
        </w:rPr>
        <w:t xml:space="preserve">the requirements of the </w:t>
      </w:r>
      <w:r w:rsidRPr="000C301D">
        <w:rPr>
          <w:rFonts w:asciiTheme="minorHAnsi" w:hAnsiTheme="minorHAnsi" w:cstheme="minorHAnsi"/>
          <w:lang w:eastAsia="en-AU"/>
        </w:rPr>
        <w:t xml:space="preserve">International Electrotechnical Commission (IEC) standard </w:t>
      </w:r>
      <w:r w:rsidRPr="000C301D">
        <w:rPr>
          <w:rFonts w:asciiTheme="minorHAnsi" w:hAnsiTheme="minorHAnsi" w:cstheme="minorHAnsi"/>
          <w:i/>
          <w:iCs/>
          <w:lang w:eastAsia="en-AU"/>
        </w:rPr>
        <w:t xml:space="preserve">IEC 62133 Edition 2.0 2012-12 </w:t>
      </w:r>
      <w:r w:rsidRPr="000C301D">
        <w:rPr>
          <w:rFonts w:asciiTheme="minorHAnsi" w:hAnsiTheme="minorHAnsi" w:cstheme="minorHAnsi"/>
          <w:lang w:eastAsia="en-AU"/>
        </w:rPr>
        <w:t xml:space="preserve">and sections 11 and 19 (as amended by Annex B) of the IEC standard </w:t>
      </w:r>
      <w:r w:rsidRPr="000C301D">
        <w:rPr>
          <w:rFonts w:asciiTheme="minorHAnsi" w:hAnsiTheme="minorHAnsi" w:cstheme="minorHAnsi"/>
          <w:i/>
          <w:iCs/>
          <w:lang w:eastAsia="en-AU"/>
        </w:rPr>
        <w:t>IEC 60335-1 Edition 5.1 2013-12</w:t>
      </w:r>
      <w:r w:rsidRPr="000C301D">
        <w:rPr>
          <w:rFonts w:asciiTheme="minorHAnsi" w:hAnsiTheme="minorHAnsi" w:cstheme="minorHAnsi"/>
          <w:lang w:eastAsia="en-AU"/>
        </w:rPr>
        <w:t xml:space="preserve"> (or sections 11 and</w:t>
      </w:r>
      <w:r w:rsidRPr="000C301D">
        <w:rPr>
          <w:rFonts w:asciiTheme="minorHAnsi" w:hAnsiTheme="minorHAnsi" w:cstheme="minorHAnsi"/>
          <w:lang w:val="en-GB" w:eastAsia="en-AU"/>
        </w:rPr>
        <w:t xml:space="preserve"> 19 </w:t>
      </w:r>
      <w:r w:rsidRPr="000C301D">
        <w:rPr>
          <w:rFonts w:asciiTheme="minorHAnsi" w:hAnsiTheme="minorHAnsi" w:cstheme="minorHAnsi"/>
          <w:lang w:eastAsia="en-AU"/>
        </w:rPr>
        <w:t xml:space="preserve">(as amended by Annex B) </w:t>
      </w:r>
      <w:r w:rsidRPr="000C301D">
        <w:rPr>
          <w:rFonts w:asciiTheme="minorHAnsi" w:hAnsiTheme="minorHAnsi" w:cstheme="minorHAnsi"/>
          <w:lang w:val="en-GB" w:eastAsia="en-AU"/>
        </w:rPr>
        <w:t xml:space="preserve">of </w:t>
      </w:r>
      <w:r>
        <w:rPr>
          <w:rFonts w:asciiTheme="minorHAnsi" w:hAnsiTheme="minorHAnsi" w:cstheme="minorHAnsi"/>
          <w:lang w:val="en-GB" w:eastAsia="en-AU"/>
        </w:rPr>
        <w:t xml:space="preserve">the Australian/New Zealand Standard </w:t>
      </w:r>
      <w:r w:rsidRPr="000C301D">
        <w:rPr>
          <w:rFonts w:asciiTheme="minorHAnsi" w:hAnsiTheme="minorHAnsi" w:cstheme="minorHAnsi"/>
          <w:i/>
          <w:iCs/>
          <w:lang w:eastAsia="en-AU"/>
        </w:rPr>
        <w:t>AS/NZS 60335.1:2011 (incorporating amendment Nos 1, 2 and 3)</w:t>
      </w:r>
      <w:r w:rsidRPr="000C301D">
        <w:rPr>
          <w:rFonts w:asciiTheme="minorHAnsi" w:hAnsiTheme="minorHAnsi" w:cstheme="minorHAnsi"/>
          <w:lang w:eastAsia="en-AU"/>
        </w:rPr>
        <w:t xml:space="preserve"> which adopt</w:t>
      </w:r>
      <w:r>
        <w:rPr>
          <w:rFonts w:asciiTheme="minorHAnsi" w:hAnsiTheme="minorHAnsi" w:cstheme="minorHAnsi"/>
          <w:lang w:eastAsia="en-AU"/>
        </w:rPr>
        <w:t>s</w:t>
      </w:r>
      <w:r w:rsidRPr="000C301D">
        <w:rPr>
          <w:rFonts w:asciiTheme="minorHAnsi" w:hAnsiTheme="minorHAnsi" w:cstheme="minorHAnsi"/>
          <w:lang w:eastAsia="en-AU"/>
        </w:rPr>
        <w:t xml:space="preserve"> IEC 60335</w:t>
      </w:r>
      <w:r>
        <w:rPr>
          <w:rFonts w:asciiTheme="minorHAnsi" w:hAnsiTheme="minorHAnsi" w:cstheme="minorHAnsi"/>
          <w:lang w:eastAsia="en-AU"/>
        </w:rPr>
        <w:t>-1</w:t>
      </w:r>
      <w:r w:rsidRPr="000C301D">
        <w:rPr>
          <w:rFonts w:asciiTheme="minorHAnsi" w:hAnsiTheme="minorHAnsi" w:cstheme="minorHAnsi"/>
          <w:lang w:val="en-GB" w:eastAsia="en-AU"/>
        </w:rPr>
        <w:t xml:space="preserve">); or </w:t>
      </w:r>
    </w:p>
    <w:p w:rsidR="00FE30ED" w:rsidRPr="000C301D" w:rsidRDefault="00FE30ED" w:rsidP="00FE30ED">
      <w:pPr>
        <w:pStyle w:val="Bulletpoint"/>
        <w:rPr>
          <w:rFonts w:asciiTheme="minorHAnsi" w:hAnsiTheme="minorHAnsi" w:cstheme="minorHAnsi"/>
          <w:lang w:val="en-US" w:eastAsia="en-AU"/>
        </w:rPr>
      </w:pPr>
      <w:r w:rsidRPr="000C301D">
        <w:rPr>
          <w:rFonts w:asciiTheme="minorHAnsi" w:hAnsiTheme="minorHAnsi" w:cstheme="minorHAnsi"/>
          <w:lang w:val="en-GB" w:eastAsia="en-AU"/>
        </w:rPr>
        <w:t xml:space="preserve">specified sections of </w:t>
      </w:r>
      <w:r w:rsidRPr="000C301D">
        <w:rPr>
          <w:rFonts w:asciiTheme="minorHAnsi" w:hAnsiTheme="minorHAnsi" w:cstheme="minorHAnsi"/>
          <w:i/>
          <w:iCs/>
          <w:lang w:eastAsia="en-AU"/>
        </w:rPr>
        <w:t>UL 2272 – Outline of Investigation for Electrical Systems for Self-balancing Scooters</w:t>
      </w:r>
      <w:r>
        <w:rPr>
          <w:rFonts w:asciiTheme="minorHAnsi" w:hAnsiTheme="minorHAnsi" w:cstheme="minorHAnsi"/>
          <w:lang w:val="en-GB" w:eastAsia="en-AU"/>
        </w:rPr>
        <w:t xml:space="preserve"> (UL 2272)</w:t>
      </w:r>
      <w:r w:rsidRPr="000C301D">
        <w:rPr>
          <w:rFonts w:asciiTheme="minorHAnsi" w:hAnsiTheme="minorHAnsi" w:cstheme="minorHAnsi"/>
          <w:lang w:val="en-GB" w:eastAsia="en-AU"/>
        </w:rPr>
        <w:t>.</w:t>
      </w:r>
    </w:p>
    <w:p w:rsidR="00FE30ED" w:rsidRPr="00AE79AC" w:rsidRDefault="00FE30ED" w:rsidP="00FE30ED">
      <w:pPr>
        <w:spacing w:before="120" w:after="120"/>
        <w:ind w:right="3"/>
        <w:rPr>
          <w:rFonts w:asciiTheme="minorHAnsi" w:eastAsia="Times New Roman" w:hAnsiTheme="minorHAnsi" w:cstheme="minorHAnsi"/>
          <w:lang w:val="en-GB" w:eastAsia="en-AU"/>
        </w:rPr>
      </w:pPr>
      <w:r w:rsidRPr="00AE79AC">
        <w:rPr>
          <w:rFonts w:asciiTheme="minorHAnsi" w:eastAsia="Times New Roman" w:hAnsiTheme="minorHAnsi" w:cstheme="minorHAnsi"/>
          <w:lang w:val="en-GB" w:eastAsia="en-AU"/>
        </w:rPr>
        <w:t xml:space="preserve">The </w:t>
      </w:r>
      <w:r w:rsidRPr="00B95095">
        <w:rPr>
          <w:rFonts w:asciiTheme="minorHAnsi" w:eastAsia="Times New Roman" w:hAnsiTheme="minorHAnsi" w:cstheme="minorHAnsi"/>
          <w:lang w:val="en-GB" w:eastAsia="en-AU"/>
        </w:rPr>
        <w:t>IEC</w:t>
      </w:r>
      <w:r w:rsidRPr="00AE79AC">
        <w:rPr>
          <w:rFonts w:asciiTheme="minorHAnsi" w:eastAsia="Times New Roman" w:hAnsiTheme="minorHAnsi" w:cstheme="minorHAnsi"/>
          <w:lang w:val="en-GB" w:eastAsia="en-AU"/>
        </w:rPr>
        <w:t xml:space="preserve"> is a</w:t>
      </w:r>
      <w:r>
        <w:rPr>
          <w:rFonts w:asciiTheme="minorHAnsi" w:eastAsia="Times New Roman" w:hAnsiTheme="minorHAnsi" w:cstheme="minorHAnsi"/>
          <w:lang w:val="en-GB" w:eastAsia="en-AU"/>
        </w:rPr>
        <w:t>n</w:t>
      </w:r>
      <w:r w:rsidRPr="00AE79AC">
        <w:rPr>
          <w:rFonts w:asciiTheme="minorHAnsi" w:eastAsia="Times New Roman" w:hAnsiTheme="minorHAnsi" w:cstheme="minorHAnsi"/>
          <w:lang w:val="en-GB" w:eastAsia="en-AU"/>
        </w:rPr>
        <w:t xml:space="preserve"> </w:t>
      </w:r>
      <w:r>
        <w:rPr>
          <w:rFonts w:asciiTheme="minorHAnsi" w:eastAsia="Times New Roman" w:hAnsiTheme="minorHAnsi" w:cstheme="minorHAnsi"/>
          <w:lang w:val="en-GB" w:eastAsia="en-AU"/>
        </w:rPr>
        <w:t>international</w:t>
      </w:r>
      <w:r w:rsidRPr="00AE79AC">
        <w:rPr>
          <w:rFonts w:asciiTheme="minorHAnsi" w:eastAsia="Times New Roman" w:hAnsiTheme="minorHAnsi" w:cstheme="minorHAnsi"/>
          <w:lang w:val="en-GB" w:eastAsia="en-AU"/>
        </w:rPr>
        <w:t xml:space="preserve"> organisation that prepares and publishes </w:t>
      </w:r>
      <w:r>
        <w:rPr>
          <w:rFonts w:asciiTheme="minorHAnsi" w:eastAsia="Times New Roman" w:hAnsiTheme="minorHAnsi" w:cstheme="minorHAnsi"/>
          <w:lang w:val="en-GB" w:eastAsia="en-AU"/>
        </w:rPr>
        <w:t>i</w:t>
      </w:r>
      <w:r w:rsidRPr="00AE79AC">
        <w:rPr>
          <w:rFonts w:asciiTheme="minorHAnsi" w:eastAsia="Times New Roman" w:hAnsiTheme="minorHAnsi" w:cstheme="minorHAnsi"/>
          <w:lang w:val="en-GB" w:eastAsia="en-AU"/>
        </w:rPr>
        <w:t xml:space="preserve">nternational </w:t>
      </w:r>
      <w:r>
        <w:rPr>
          <w:rFonts w:asciiTheme="minorHAnsi" w:eastAsia="Times New Roman" w:hAnsiTheme="minorHAnsi" w:cstheme="minorHAnsi"/>
          <w:lang w:val="en-GB" w:eastAsia="en-AU"/>
        </w:rPr>
        <w:t>s</w:t>
      </w:r>
      <w:r w:rsidRPr="00AE79AC">
        <w:rPr>
          <w:rFonts w:asciiTheme="minorHAnsi" w:eastAsia="Times New Roman" w:hAnsiTheme="minorHAnsi" w:cstheme="minorHAnsi"/>
          <w:lang w:val="en-GB" w:eastAsia="en-AU"/>
        </w:rPr>
        <w:t>tandards for electrical and electronic technologies.</w:t>
      </w:r>
    </w:p>
    <w:p w:rsidR="00FE30ED" w:rsidRPr="00AE79AC" w:rsidRDefault="00FE30ED" w:rsidP="00FE30ED">
      <w:pPr>
        <w:spacing w:before="120" w:after="120"/>
        <w:ind w:right="3"/>
        <w:rPr>
          <w:rFonts w:asciiTheme="minorHAnsi" w:eastAsia="Times New Roman" w:hAnsiTheme="minorHAnsi" w:cstheme="minorHAnsi"/>
          <w:lang w:val="en-GB" w:eastAsia="en-AU"/>
        </w:rPr>
      </w:pPr>
      <w:r w:rsidRPr="00AE79AC">
        <w:rPr>
          <w:rFonts w:asciiTheme="minorHAnsi" w:eastAsia="Times New Roman" w:hAnsiTheme="minorHAnsi" w:cstheme="minorHAnsi"/>
          <w:lang w:val="en-GB" w:eastAsia="en-AU"/>
        </w:rPr>
        <w:t>IEC 62133 sets out safety requirements for portable sealed secondary (rechargeable) cells and for batteries made from cells for use in portable applications.</w:t>
      </w:r>
    </w:p>
    <w:p w:rsidR="00FE30ED" w:rsidRPr="00B95095" w:rsidRDefault="00FE30ED" w:rsidP="00FE30ED">
      <w:pPr>
        <w:spacing w:before="120" w:after="120"/>
        <w:ind w:right="3"/>
        <w:rPr>
          <w:rFonts w:asciiTheme="minorHAnsi" w:eastAsia="Times New Roman" w:hAnsiTheme="minorHAnsi" w:cstheme="minorHAnsi"/>
          <w:lang w:val="en-GB" w:eastAsia="en-AU"/>
        </w:rPr>
      </w:pPr>
      <w:r w:rsidRPr="00AE79AC">
        <w:rPr>
          <w:rFonts w:asciiTheme="minorHAnsi" w:eastAsia="Times New Roman" w:hAnsiTheme="minorHAnsi" w:cstheme="minorHAnsi"/>
          <w:lang w:val="en-GB" w:eastAsia="en-AU"/>
        </w:rPr>
        <w:t xml:space="preserve">IEC 60335-1 specifies general safety requirements for household and similar electrical appliances. Section 11 specifies requirements to reduce the risk that appliances and their surroundings will </w:t>
      </w:r>
      <w:r>
        <w:rPr>
          <w:rFonts w:asciiTheme="minorHAnsi" w:eastAsia="Times New Roman" w:hAnsiTheme="minorHAnsi" w:cstheme="minorHAnsi"/>
          <w:lang w:val="en-GB" w:eastAsia="en-AU"/>
        </w:rPr>
        <w:t>over</w:t>
      </w:r>
      <w:r w:rsidRPr="00AE79AC">
        <w:rPr>
          <w:rFonts w:asciiTheme="minorHAnsi" w:eastAsia="Times New Roman" w:hAnsiTheme="minorHAnsi" w:cstheme="minorHAnsi"/>
          <w:lang w:val="en-GB" w:eastAsia="en-AU"/>
        </w:rPr>
        <w:t xml:space="preserve">heat. Section 19 </w:t>
      </w:r>
      <w:r>
        <w:rPr>
          <w:rFonts w:asciiTheme="minorHAnsi" w:eastAsia="Times New Roman" w:hAnsiTheme="minorHAnsi" w:cstheme="minorHAnsi"/>
          <w:lang w:val="en-GB" w:eastAsia="en-AU"/>
        </w:rPr>
        <w:t>specifies</w:t>
      </w:r>
      <w:r w:rsidRPr="00AE79AC">
        <w:rPr>
          <w:rFonts w:asciiTheme="minorHAnsi" w:eastAsia="Times New Roman" w:hAnsiTheme="minorHAnsi" w:cstheme="minorHAnsi"/>
          <w:lang w:val="en-GB" w:eastAsia="en-AU"/>
        </w:rPr>
        <w:t xml:space="preserve"> requirements to reduce</w:t>
      </w:r>
      <w:r>
        <w:rPr>
          <w:rFonts w:asciiTheme="minorHAnsi" w:eastAsia="Times New Roman" w:hAnsiTheme="minorHAnsi" w:cstheme="minorHAnsi"/>
          <w:lang w:val="en-GB" w:eastAsia="en-AU"/>
        </w:rPr>
        <w:t xml:space="preserve"> the risk of hazards</w:t>
      </w:r>
      <w:r w:rsidRPr="00AE79AC">
        <w:rPr>
          <w:rFonts w:asciiTheme="minorHAnsi" w:eastAsia="Times New Roman" w:hAnsiTheme="minorHAnsi" w:cstheme="minorHAnsi"/>
          <w:lang w:val="en-GB" w:eastAsia="en-AU"/>
        </w:rPr>
        <w:t xml:space="preserve">, </w:t>
      </w:r>
      <w:r>
        <w:rPr>
          <w:rFonts w:asciiTheme="minorHAnsi" w:eastAsia="Times New Roman" w:hAnsiTheme="minorHAnsi" w:cstheme="minorHAnsi"/>
          <w:lang w:val="en-GB" w:eastAsia="en-AU"/>
        </w:rPr>
        <w:t>including</w:t>
      </w:r>
      <w:r w:rsidRPr="00AE79AC">
        <w:rPr>
          <w:rFonts w:asciiTheme="minorHAnsi" w:eastAsia="Times New Roman" w:hAnsiTheme="minorHAnsi" w:cstheme="minorHAnsi"/>
          <w:lang w:val="en-GB" w:eastAsia="en-AU"/>
        </w:rPr>
        <w:t xml:space="preserve"> fire hazard</w:t>
      </w:r>
      <w:r>
        <w:rPr>
          <w:rFonts w:asciiTheme="minorHAnsi" w:eastAsia="Times New Roman" w:hAnsiTheme="minorHAnsi" w:cstheme="minorHAnsi"/>
          <w:lang w:val="en-GB" w:eastAsia="en-AU"/>
        </w:rPr>
        <w:t>s,</w:t>
      </w:r>
      <w:r w:rsidRPr="00AE79AC">
        <w:rPr>
          <w:rFonts w:asciiTheme="minorHAnsi" w:eastAsia="Times New Roman" w:hAnsiTheme="minorHAnsi" w:cstheme="minorHAnsi"/>
          <w:lang w:val="en-GB" w:eastAsia="en-AU"/>
        </w:rPr>
        <w:t xml:space="preserve"> as </w:t>
      </w:r>
      <w:r>
        <w:rPr>
          <w:rFonts w:asciiTheme="minorHAnsi" w:eastAsia="Times New Roman" w:hAnsiTheme="minorHAnsi" w:cstheme="minorHAnsi"/>
          <w:lang w:val="en-GB" w:eastAsia="en-AU"/>
        </w:rPr>
        <w:t>a result of abnormal operation.</w:t>
      </w:r>
      <w:r w:rsidRPr="00AE79AC">
        <w:rPr>
          <w:rFonts w:asciiTheme="minorHAnsi" w:eastAsia="Times New Roman" w:hAnsiTheme="minorHAnsi" w:cstheme="minorHAnsi"/>
          <w:lang w:val="en-GB" w:eastAsia="en-AU"/>
        </w:rPr>
        <w:t xml:space="preserve"> AS/NZS 60335.1 adopts relevant sections of IEC 60335-1.</w:t>
      </w:r>
      <w:r w:rsidRPr="00B95095">
        <w:rPr>
          <w:rFonts w:asciiTheme="minorHAnsi" w:eastAsia="Times New Roman" w:hAnsiTheme="minorHAnsi" w:cstheme="minorHAnsi"/>
          <w:lang w:val="en-GB" w:eastAsia="en-AU"/>
        </w:rPr>
        <w:t xml:space="preserve"> </w:t>
      </w:r>
    </w:p>
    <w:p w:rsidR="00FE30ED" w:rsidRDefault="00FE30ED" w:rsidP="00FE30ED">
      <w:pPr>
        <w:spacing w:before="120" w:after="120"/>
        <w:ind w:right="3"/>
        <w:rPr>
          <w:rFonts w:ascii="Helvetica" w:hAnsi="Helvetica" w:cs="Helvetica"/>
          <w:color w:val="404040"/>
          <w:lang w:val="en"/>
        </w:rPr>
      </w:pPr>
      <w:r>
        <w:rPr>
          <w:rFonts w:asciiTheme="minorHAnsi" w:eastAsia="Times New Roman" w:hAnsiTheme="minorHAnsi" w:cstheme="minorHAnsi"/>
          <w:bCs/>
          <w:lang w:val="en-GB" w:eastAsia="en-AU"/>
        </w:rPr>
        <w:t xml:space="preserve">The IEC 62133 and IEC </w:t>
      </w:r>
      <w:r w:rsidRPr="00D159FD">
        <w:rPr>
          <w:rFonts w:asciiTheme="minorHAnsi" w:eastAsia="Times New Roman" w:hAnsiTheme="minorHAnsi" w:cstheme="minorHAnsi"/>
          <w:lang w:val="en-GB" w:eastAsia="en-AU"/>
        </w:rPr>
        <w:t>60335-1</w:t>
      </w:r>
      <w:r>
        <w:rPr>
          <w:rFonts w:asciiTheme="minorHAnsi" w:eastAsia="Times New Roman" w:hAnsiTheme="minorHAnsi" w:cstheme="minorHAnsi"/>
          <w:bCs/>
          <w:lang w:val="en-GB" w:eastAsia="en-AU"/>
        </w:rPr>
        <w:t xml:space="preserve"> standards can be purchased from a variety of online sources including the IEC (</w:t>
      </w:r>
      <w:hyperlink r:id="rId10" w:history="1">
        <w:r w:rsidRPr="0085449C">
          <w:rPr>
            <w:rStyle w:val="Hyperlink"/>
            <w:rFonts w:asciiTheme="minorHAnsi" w:eastAsia="Times New Roman" w:hAnsiTheme="minorHAnsi" w:cstheme="minorHAnsi"/>
            <w:bCs/>
            <w:lang w:val="en-GB" w:eastAsia="en-AU"/>
          </w:rPr>
          <w:t>webstore.iec.ch/</w:t>
        </w:r>
      </w:hyperlink>
      <w:r>
        <w:rPr>
          <w:rFonts w:asciiTheme="minorHAnsi" w:eastAsia="Times New Roman" w:hAnsiTheme="minorHAnsi" w:cstheme="minorHAnsi"/>
          <w:bCs/>
          <w:lang w:val="en-GB" w:eastAsia="en-AU"/>
        </w:rPr>
        <w:t>), SAI Global (</w:t>
      </w:r>
      <w:hyperlink r:id="rId11" w:history="1">
        <w:r w:rsidRPr="00B16380">
          <w:rPr>
            <w:rStyle w:val="Hyperlink"/>
            <w:rFonts w:asciiTheme="minorHAnsi" w:eastAsia="Times New Roman" w:hAnsiTheme="minorHAnsi" w:cstheme="minorHAnsi"/>
            <w:bCs/>
            <w:lang w:val="en-GB" w:eastAsia="en-AU"/>
          </w:rPr>
          <w:t>infostore.saiglobal.com/store/</w:t>
        </w:r>
      </w:hyperlink>
      <w:r>
        <w:rPr>
          <w:rFonts w:asciiTheme="minorHAnsi" w:eastAsia="Times New Roman" w:hAnsiTheme="minorHAnsi" w:cstheme="minorHAnsi"/>
          <w:bCs/>
          <w:lang w:val="en-GB" w:eastAsia="en-AU"/>
        </w:rPr>
        <w:t xml:space="preserve">) </w:t>
      </w:r>
      <w:r w:rsidRPr="00D159FD">
        <w:rPr>
          <w:rFonts w:asciiTheme="minorHAnsi" w:eastAsia="Times New Roman" w:hAnsiTheme="minorHAnsi" w:cstheme="minorHAnsi"/>
          <w:lang w:val="en-GB" w:eastAsia="en-AU"/>
        </w:rPr>
        <w:t xml:space="preserve">and the </w:t>
      </w:r>
      <w:r w:rsidRPr="005B3AF7">
        <w:rPr>
          <w:rFonts w:asciiTheme="minorHAnsi" w:eastAsia="Times New Roman" w:hAnsiTheme="minorHAnsi" w:cstheme="minorHAnsi"/>
          <w:lang w:val="en-GB" w:eastAsia="en-AU"/>
        </w:rPr>
        <w:t xml:space="preserve">International Organization for Standardization </w:t>
      </w:r>
      <w:r>
        <w:rPr>
          <w:rFonts w:ascii="Helvetica" w:hAnsi="Helvetica" w:cs="Helvetica"/>
          <w:color w:val="404040"/>
          <w:lang w:val="en"/>
        </w:rPr>
        <w:t>(</w:t>
      </w:r>
      <w:hyperlink r:id="rId12" w:history="1">
        <w:r w:rsidRPr="0085449C">
          <w:rPr>
            <w:rStyle w:val="Hyperlink"/>
            <w:rFonts w:ascii="Helvetica" w:hAnsi="Helvetica" w:cs="Helvetica"/>
            <w:lang w:val="en"/>
          </w:rPr>
          <w:t>www.iso.org/iso/store.htm</w:t>
        </w:r>
      </w:hyperlink>
      <w:r>
        <w:rPr>
          <w:rFonts w:ascii="Helvetica" w:hAnsi="Helvetica" w:cs="Helvetica"/>
          <w:color w:val="404040"/>
          <w:lang w:val="en"/>
        </w:rPr>
        <w:t>).</w:t>
      </w:r>
    </w:p>
    <w:p w:rsidR="00FE30ED" w:rsidRDefault="00FE30ED" w:rsidP="00FE30ED">
      <w:pPr>
        <w:spacing w:before="240" w:after="120"/>
        <w:rPr>
          <w:rFonts w:ascii="Helvetica" w:hAnsi="Helvetica" w:cs="Helvetica"/>
          <w:color w:val="404040"/>
          <w:lang w:val="en"/>
        </w:rPr>
      </w:pPr>
      <w:r>
        <w:rPr>
          <w:rFonts w:asciiTheme="minorHAnsi" w:eastAsia="Times New Roman" w:hAnsiTheme="minorHAnsi" w:cstheme="minorHAnsi"/>
          <w:lang w:val="en-GB" w:eastAsia="en-AU"/>
        </w:rPr>
        <w:t xml:space="preserve">The </w:t>
      </w:r>
      <w:r w:rsidRPr="005B3AF7">
        <w:rPr>
          <w:rFonts w:asciiTheme="minorHAnsi" w:eastAsia="Times New Roman" w:hAnsiTheme="minorHAnsi" w:cstheme="minorHAnsi"/>
          <w:lang w:val="en-GB" w:eastAsia="en-AU"/>
        </w:rPr>
        <w:t xml:space="preserve">AS/NZS 60335.1 </w:t>
      </w:r>
      <w:r>
        <w:rPr>
          <w:rFonts w:asciiTheme="minorHAnsi" w:eastAsia="Times New Roman" w:hAnsiTheme="minorHAnsi" w:cstheme="minorHAnsi"/>
          <w:lang w:val="en-GB" w:eastAsia="en-AU"/>
        </w:rPr>
        <w:t xml:space="preserve">standard </w:t>
      </w:r>
      <w:r w:rsidRPr="005B3AF7">
        <w:rPr>
          <w:rFonts w:asciiTheme="minorHAnsi" w:eastAsia="Times New Roman" w:hAnsiTheme="minorHAnsi" w:cstheme="minorHAnsi"/>
          <w:lang w:val="en-GB" w:eastAsia="en-AU"/>
        </w:rPr>
        <w:t>can be purchased from SAI Global</w:t>
      </w:r>
      <w:r>
        <w:rPr>
          <w:rFonts w:ascii="Helvetica" w:hAnsi="Helvetica" w:cs="Helvetica"/>
          <w:color w:val="404040"/>
          <w:lang w:val="en"/>
        </w:rPr>
        <w:t xml:space="preserve"> (</w:t>
      </w:r>
      <w:hyperlink r:id="rId13" w:history="1">
        <w:r w:rsidRPr="00B16380">
          <w:rPr>
            <w:rStyle w:val="Hyperlink"/>
            <w:rFonts w:ascii="Helvetica" w:hAnsi="Helvetica" w:cs="Helvetica"/>
            <w:lang w:val="en"/>
          </w:rPr>
          <w:t>infostore.saiglobal.com/store/default.aspx</w:t>
        </w:r>
      </w:hyperlink>
      <w:r>
        <w:rPr>
          <w:rFonts w:ascii="Helvetica" w:hAnsi="Helvetica" w:cs="Helvetica"/>
          <w:color w:val="404040"/>
          <w:lang w:val="en"/>
        </w:rPr>
        <w:t>).</w:t>
      </w:r>
    </w:p>
    <w:p w:rsidR="00FE30ED" w:rsidRPr="00AE79AC" w:rsidRDefault="00FE30ED" w:rsidP="00FE30ED">
      <w:pPr>
        <w:spacing w:before="120" w:after="120"/>
        <w:ind w:right="3"/>
        <w:rPr>
          <w:rFonts w:asciiTheme="minorHAnsi" w:eastAsia="Times New Roman" w:hAnsiTheme="minorHAnsi" w:cstheme="minorHAnsi"/>
          <w:lang w:val="en-GB" w:eastAsia="en-AU"/>
        </w:rPr>
      </w:pPr>
      <w:r w:rsidRPr="00AE79AC">
        <w:rPr>
          <w:rFonts w:asciiTheme="minorHAnsi" w:eastAsia="Times New Roman" w:hAnsiTheme="minorHAnsi" w:cstheme="minorHAnsi"/>
          <w:lang w:val="en-GB" w:eastAsia="en-AU"/>
        </w:rPr>
        <w:t>Underwriters Laboratories Inc.</w:t>
      </w:r>
      <w:r>
        <w:rPr>
          <w:rFonts w:asciiTheme="minorHAnsi" w:eastAsia="Times New Roman" w:hAnsiTheme="minorHAnsi" w:cstheme="minorHAnsi"/>
          <w:lang w:val="en-GB" w:eastAsia="en-AU"/>
        </w:rPr>
        <w:t xml:space="preserve"> </w:t>
      </w:r>
      <w:r w:rsidRPr="00AE79AC">
        <w:rPr>
          <w:rFonts w:asciiTheme="minorHAnsi" w:eastAsia="Times New Roman" w:hAnsiTheme="minorHAnsi" w:cstheme="minorHAnsi"/>
          <w:lang w:val="en-GB" w:eastAsia="en-AU"/>
        </w:rPr>
        <w:t>has developed and published UL</w:t>
      </w:r>
      <w:r>
        <w:rPr>
          <w:rFonts w:asciiTheme="minorHAnsi" w:eastAsia="Times New Roman" w:hAnsiTheme="minorHAnsi" w:cstheme="minorHAnsi"/>
          <w:lang w:val="en-GB" w:eastAsia="en-AU"/>
        </w:rPr>
        <w:t xml:space="preserve"> 2272</w:t>
      </w:r>
      <w:r w:rsidRPr="00AE79AC">
        <w:rPr>
          <w:rFonts w:asciiTheme="minorHAnsi" w:eastAsia="Times New Roman" w:hAnsiTheme="minorHAnsi" w:cstheme="minorHAnsi"/>
          <w:lang w:val="en-GB" w:eastAsia="en-AU"/>
        </w:rPr>
        <w:t xml:space="preserve">. </w:t>
      </w:r>
      <w:r>
        <w:rPr>
          <w:rFonts w:asciiTheme="minorHAnsi" w:eastAsia="Times New Roman" w:hAnsiTheme="minorHAnsi" w:cstheme="minorHAnsi"/>
          <w:lang w:val="en-GB" w:eastAsia="en-AU"/>
        </w:rPr>
        <w:t>UL 2272</w:t>
      </w:r>
      <w:r w:rsidRPr="00AE79AC">
        <w:rPr>
          <w:rFonts w:asciiTheme="minorHAnsi" w:eastAsia="Times New Roman" w:hAnsiTheme="minorHAnsi" w:cstheme="minorHAnsi"/>
          <w:lang w:val="en-GB" w:eastAsia="en-AU"/>
        </w:rPr>
        <w:t xml:space="preserve"> includes requirements for the electrical drive train system, including the battery and charger system combinations, for electric-powered self-balancing scooters (hoverboards). The requirements </w:t>
      </w:r>
      <w:r w:rsidRPr="00AE79AC">
        <w:rPr>
          <w:rFonts w:asciiTheme="minorHAnsi" w:eastAsia="Times New Roman" w:hAnsiTheme="minorHAnsi" w:cstheme="minorHAnsi"/>
          <w:lang w:val="en-GB" w:eastAsia="en-AU"/>
        </w:rPr>
        <w:lastRenderedPageBreak/>
        <w:t xml:space="preserve">of UL 2272 specified in the </w:t>
      </w:r>
      <w:r>
        <w:rPr>
          <w:rFonts w:asciiTheme="minorHAnsi" w:eastAsia="Times New Roman" w:hAnsiTheme="minorHAnsi" w:cstheme="minorHAnsi"/>
          <w:lang w:val="en-GB" w:eastAsia="en-AU"/>
        </w:rPr>
        <w:t>i</w:t>
      </w:r>
      <w:r w:rsidRPr="00AE79AC">
        <w:rPr>
          <w:rFonts w:asciiTheme="minorHAnsi" w:eastAsia="Times New Roman" w:hAnsiTheme="minorHAnsi" w:cstheme="minorHAnsi"/>
          <w:lang w:val="en-GB" w:eastAsia="en-AU"/>
        </w:rPr>
        <w:t xml:space="preserve">nterim </w:t>
      </w:r>
      <w:r>
        <w:rPr>
          <w:rFonts w:asciiTheme="minorHAnsi" w:eastAsia="Times New Roman" w:hAnsiTheme="minorHAnsi" w:cstheme="minorHAnsi"/>
          <w:lang w:val="en-GB" w:eastAsia="en-AU"/>
        </w:rPr>
        <w:t>b</w:t>
      </w:r>
      <w:r w:rsidRPr="00AE79AC">
        <w:rPr>
          <w:rFonts w:asciiTheme="minorHAnsi" w:eastAsia="Times New Roman" w:hAnsiTheme="minorHAnsi" w:cstheme="minorHAnsi"/>
          <w:lang w:val="en-GB" w:eastAsia="en-AU"/>
        </w:rPr>
        <w:t xml:space="preserve">an </w:t>
      </w:r>
      <w:r>
        <w:rPr>
          <w:rFonts w:asciiTheme="minorHAnsi" w:eastAsia="Times New Roman" w:hAnsiTheme="minorHAnsi" w:cstheme="minorHAnsi"/>
          <w:lang w:val="en-GB" w:eastAsia="en-AU"/>
        </w:rPr>
        <w:t>n</w:t>
      </w:r>
      <w:r w:rsidRPr="00AE79AC">
        <w:rPr>
          <w:rFonts w:asciiTheme="minorHAnsi" w:eastAsia="Times New Roman" w:hAnsiTheme="minorHAnsi" w:cstheme="minorHAnsi"/>
          <w:lang w:val="en-GB" w:eastAsia="en-AU"/>
        </w:rPr>
        <w:t xml:space="preserve">otice require hoverboards to include appropriate components and electrical circuitry to </w:t>
      </w:r>
      <w:r>
        <w:rPr>
          <w:rFonts w:asciiTheme="minorHAnsi" w:eastAsia="Times New Roman" w:hAnsiTheme="minorHAnsi" w:cstheme="minorHAnsi"/>
          <w:lang w:val="en-GB" w:eastAsia="en-AU"/>
        </w:rPr>
        <w:t xml:space="preserve">reduce fire risk. </w:t>
      </w:r>
    </w:p>
    <w:p w:rsidR="00FE30ED" w:rsidRPr="00255E32" w:rsidRDefault="00FE30ED" w:rsidP="00FE30ED">
      <w:pPr>
        <w:spacing w:before="0" w:after="120"/>
        <w:rPr>
          <w:rFonts w:asciiTheme="minorHAnsi" w:eastAsia="Times New Roman" w:hAnsiTheme="minorHAnsi" w:cstheme="minorHAnsi"/>
          <w:lang w:val="en-GB" w:eastAsia="en-AU"/>
        </w:rPr>
      </w:pPr>
      <w:r w:rsidRPr="00255E32">
        <w:rPr>
          <w:rFonts w:asciiTheme="minorHAnsi" w:eastAsia="Times New Roman" w:hAnsiTheme="minorHAnsi" w:cstheme="minorHAnsi"/>
          <w:lang w:val="en-GB" w:eastAsia="en-AU"/>
        </w:rPr>
        <w:t>The first edition of UL 2272 was published on 29 January 2016</w:t>
      </w:r>
      <w:r>
        <w:rPr>
          <w:rFonts w:asciiTheme="minorHAnsi" w:eastAsia="Times New Roman" w:hAnsiTheme="minorHAnsi" w:cstheme="minorHAnsi"/>
          <w:lang w:val="en-GB" w:eastAsia="en-AU"/>
        </w:rPr>
        <w:t xml:space="preserve"> and</w:t>
      </w:r>
      <w:r w:rsidRPr="00AE79AC">
        <w:rPr>
          <w:rFonts w:asciiTheme="minorHAnsi" w:eastAsia="Times New Roman" w:hAnsiTheme="minorHAnsi" w:cstheme="minorHAnsi"/>
          <w:lang w:val="en-GB" w:eastAsia="en-AU"/>
        </w:rPr>
        <w:t xml:space="preserve"> can be purchased from Underwriters Laboratories Inc.</w:t>
      </w:r>
      <w:r w:rsidRPr="00255E32">
        <w:rPr>
          <w:rFonts w:asciiTheme="minorHAnsi" w:eastAsia="Times New Roman" w:hAnsiTheme="minorHAnsi" w:cstheme="minorHAnsi"/>
          <w:lang w:val="en-GB" w:eastAsia="en-AU"/>
        </w:rPr>
        <w:t xml:space="preserve"> (</w:t>
      </w:r>
      <w:hyperlink r:id="rId14" w:history="1">
        <w:r w:rsidRPr="0085449C">
          <w:rPr>
            <w:rStyle w:val="Hyperlink"/>
            <w:rFonts w:ascii="Helvetica" w:hAnsi="Helvetica" w:cs="Helvetica"/>
            <w:lang w:val="en"/>
          </w:rPr>
          <w:t>www.comm-2000.com/</w:t>
        </w:r>
      </w:hyperlink>
      <w:r w:rsidRPr="00255E32">
        <w:rPr>
          <w:rFonts w:asciiTheme="minorHAnsi" w:eastAsia="Times New Roman" w:hAnsiTheme="minorHAnsi" w:cstheme="minorHAnsi"/>
          <w:lang w:val="en-GB" w:eastAsia="en-AU"/>
        </w:rPr>
        <w:t>). On 22 April 2016</w:t>
      </w:r>
      <w:r>
        <w:rPr>
          <w:rFonts w:asciiTheme="minorHAnsi" w:eastAsia="Times New Roman" w:hAnsiTheme="minorHAnsi" w:cstheme="minorHAnsi"/>
          <w:lang w:val="en-GB" w:eastAsia="en-AU"/>
        </w:rPr>
        <w:t>,</w:t>
      </w:r>
      <w:r w:rsidRPr="00255E32">
        <w:rPr>
          <w:rFonts w:asciiTheme="minorHAnsi" w:eastAsia="Times New Roman" w:hAnsiTheme="minorHAnsi" w:cstheme="minorHAnsi"/>
          <w:lang w:val="en-GB" w:eastAsia="en-AU"/>
        </w:rPr>
        <w:t xml:space="preserve"> after the interim ban was imposed, Underwriters Laboratories Inc. released the second edition of UL 2272. </w:t>
      </w:r>
    </w:p>
    <w:p w:rsidR="00FE30ED" w:rsidRDefault="00FE30ED" w:rsidP="00FE30ED">
      <w:pPr>
        <w:spacing w:before="0" w:after="120"/>
        <w:rPr>
          <w:rFonts w:asciiTheme="minorHAnsi" w:eastAsia="Times New Roman" w:hAnsiTheme="minorHAnsi" w:cstheme="minorHAnsi"/>
          <w:b/>
          <w:bCs/>
          <w:lang w:val="en-GB" w:eastAsia="en-AU"/>
        </w:rPr>
      </w:pPr>
      <w:r w:rsidRPr="000C301D">
        <w:rPr>
          <w:rFonts w:asciiTheme="minorHAnsi" w:eastAsia="Times New Roman" w:hAnsiTheme="minorHAnsi" w:cstheme="minorHAnsi"/>
          <w:bCs/>
          <w:lang w:val="en-GB" w:eastAsia="en-AU"/>
        </w:rPr>
        <w:t xml:space="preserve">The interim ban was imposed to address the risk of death or serious injury from fires associated with hoverboards. </w:t>
      </w:r>
      <w:r w:rsidRPr="000C301D">
        <w:rPr>
          <w:rFonts w:asciiTheme="minorHAnsi" w:eastAsia="Times New Roman" w:hAnsiTheme="minorHAnsi" w:cstheme="minorHAnsi"/>
          <w:lang w:val="en-GB" w:eastAsia="en-AU"/>
        </w:rPr>
        <w:t>The safety requirements specified in the interim ban reduce the risk of fire in rechargeable lithium-ion batteries in the hoverboard, and thereby reduce the risk of injury to consumers.</w:t>
      </w:r>
      <w:r w:rsidRPr="000C301D">
        <w:rPr>
          <w:rFonts w:asciiTheme="minorHAnsi" w:eastAsia="Times New Roman" w:hAnsiTheme="minorHAnsi" w:cstheme="minorHAnsi"/>
          <w:b/>
          <w:bCs/>
          <w:lang w:val="en-GB" w:eastAsia="en-AU"/>
        </w:rPr>
        <w:t xml:space="preserve"> </w:t>
      </w:r>
    </w:p>
    <w:p w:rsidR="00FE30ED" w:rsidRDefault="00FE30ED" w:rsidP="00FE30ED">
      <w:pPr>
        <w:spacing w:before="120" w:after="120"/>
        <w:ind w:right="3"/>
        <w:rPr>
          <w:rFonts w:asciiTheme="minorHAnsi" w:eastAsia="Times New Roman" w:hAnsiTheme="minorHAnsi" w:cstheme="minorHAnsi"/>
          <w:lang w:val="en-GB" w:eastAsia="en-AU"/>
        </w:rPr>
      </w:pPr>
      <w:r w:rsidRPr="000C301D">
        <w:rPr>
          <w:rFonts w:asciiTheme="minorHAnsi" w:eastAsia="Times New Roman" w:hAnsiTheme="minorHAnsi" w:cstheme="minorHAnsi"/>
          <w:lang w:val="en-GB" w:eastAsia="en-AU"/>
        </w:rPr>
        <w:t xml:space="preserve">Section 111(1) of the ACL provides that an interim ban on consumer goods remains in force for a period of 60 days. Section 111(2) of the ACL provides that, before the ban period for the interim ban ends, the responsible Minister may, by written notice published on the internet, extend the ban for a period of up to 30 days. </w:t>
      </w:r>
    </w:p>
    <w:p w:rsidR="00FE30ED" w:rsidRPr="000C301D" w:rsidRDefault="00FE30ED" w:rsidP="00FE30ED">
      <w:pPr>
        <w:spacing w:before="120" w:after="120"/>
        <w:ind w:right="3"/>
        <w:rPr>
          <w:rFonts w:asciiTheme="minorHAnsi" w:eastAsia="Times New Roman" w:hAnsiTheme="minorHAnsi" w:cstheme="minorHAnsi"/>
          <w:lang w:val="en-US" w:eastAsia="en-AU"/>
        </w:rPr>
      </w:pPr>
      <w:r>
        <w:rPr>
          <w:rFonts w:asciiTheme="minorHAnsi" w:eastAsia="Times New Roman" w:hAnsiTheme="minorHAnsi" w:cstheme="minorHAnsi"/>
          <w:lang w:val="en-GB" w:eastAsia="en-AU"/>
        </w:rPr>
        <w:t xml:space="preserve">The Minister </w:t>
      </w:r>
      <w:r w:rsidRPr="000C301D">
        <w:rPr>
          <w:rFonts w:asciiTheme="minorHAnsi" w:eastAsia="Times New Roman" w:hAnsiTheme="minorHAnsi" w:cstheme="minorHAnsi"/>
          <w:lang w:val="en-GB" w:eastAsia="en-AU"/>
        </w:rPr>
        <w:t>for Small Business and Assistant Treasurer</w:t>
      </w:r>
      <w:r>
        <w:rPr>
          <w:rFonts w:asciiTheme="minorHAnsi" w:eastAsia="Times New Roman" w:hAnsiTheme="minorHAnsi" w:cstheme="minorHAnsi"/>
          <w:lang w:val="en-GB" w:eastAsia="en-AU"/>
        </w:rPr>
        <w:t xml:space="preserve"> extended the interim ban period by 30 days from 18 May </w:t>
      </w:r>
      <w:r w:rsidRPr="00ED0AEE">
        <w:rPr>
          <w:rFonts w:asciiTheme="minorHAnsi" w:eastAsia="Times New Roman" w:hAnsiTheme="minorHAnsi" w:cstheme="minorHAnsi"/>
          <w:lang w:val="en-GB" w:eastAsia="en-AU"/>
        </w:rPr>
        <w:t xml:space="preserve">2016 to 16 June 2016 </w:t>
      </w:r>
      <w:r>
        <w:rPr>
          <w:rFonts w:asciiTheme="minorHAnsi" w:eastAsia="Times New Roman" w:hAnsiTheme="minorHAnsi" w:cstheme="minorHAnsi"/>
          <w:lang w:val="en-GB" w:eastAsia="en-AU"/>
        </w:rPr>
        <w:t>via Consumer Protection Notice No. 5 of 2016</w:t>
      </w:r>
      <w:r w:rsidRPr="00ED0AEE">
        <w:rPr>
          <w:rFonts w:asciiTheme="minorHAnsi" w:eastAsia="Times New Roman" w:hAnsiTheme="minorHAnsi" w:cstheme="minorHAnsi"/>
          <w:lang w:val="en-GB" w:eastAsia="en-AU"/>
        </w:rPr>
        <w:t>.</w:t>
      </w:r>
      <w:r>
        <w:rPr>
          <w:rFonts w:asciiTheme="minorHAnsi" w:eastAsia="Times New Roman" w:hAnsiTheme="minorHAnsi" w:cstheme="minorHAnsi"/>
          <w:lang w:val="en-GB" w:eastAsia="en-AU"/>
        </w:rPr>
        <w:t xml:space="preserve"> The interim ban extension notice is available on the FRL website – </w:t>
      </w:r>
      <w:hyperlink r:id="rId15" w:history="1">
        <w:r w:rsidRPr="0085449C">
          <w:rPr>
            <w:rStyle w:val="Hyperlink"/>
            <w:rFonts w:asciiTheme="minorHAnsi" w:eastAsia="Times New Roman" w:hAnsiTheme="minorHAnsi" w:cstheme="minorHAnsi"/>
            <w:lang w:val="en-GB" w:eastAsia="en-AU"/>
          </w:rPr>
          <w:t>www.legislation.gov.au/Details/F2016L00797</w:t>
        </w:r>
      </w:hyperlink>
      <w:r>
        <w:rPr>
          <w:rFonts w:asciiTheme="minorHAnsi" w:eastAsia="Times New Roman" w:hAnsiTheme="minorHAnsi" w:cstheme="minorHAnsi"/>
          <w:lang w:val="en-GB" w:eastAsia="en-AU"/>
        </w:rPr>
        <w:t>.</w:t>
      </w:r>
    </w:p>
    <w:p w:rsidR="00FE30ED" w:rsidRPr="000C301D" w:rsidRDefault="00FE30ED" w:rsidP="00FE30ED">
      <w:pPr>
        <w:keepNext/>
        <w:spacing w:before="240" w:after="120"/>
        <w:rPr>
          <w:rFonts w:asciiTheme="minorHAnsi" w:eastAsia="Times New Roman" w:hAnsiTheme="minorHAnsi" w:cstheme="minorHAnsi"/>
          <w:b/>
          <w:bCs/>
          <w:lang w:val="en-GB" w:eastAsia="en-AU"/>
        </w:rPr>
      </w:pPr>
      <w:r w:rsidRPr="00F83ECB">
        <w:rPr>
          <w:rFonts w:asciiTheme="minorHAnsi" w:eastAsia="Times New Roman" w:hAnsiTheme="minorHAnsi" w:cstheme="minorHAnsi"/>
          <w:b/>
          <w:bCs/>
          <w:lang w:val="en-GB" w:eastAsia="en-AU"/>
        </w:rPr>
        <w:t xml:space="preserve">Extension of the </w:t>
      </w:r>
      <w:r>
        <w:rPr>
          <w:rFonts w:asciiTheme="minorHAnsi" w:eastAsia="Times New Roman" w:hAnsiTheme="minorHAnsi" w:cstheme="minorHAnsi"/>
          <w:b/>
          <w:bCs/>
          <w:lang w:val="en-GB" w:eastAsia="en-AU"/>
        </w:rPr>
        <w:t xml:space="preserve">extended </w:t>
      </w:r>
      <w:r w:rsidRPr="00F83ECB">
        <w:rPr>
          <w:rFonts w:asciiTheme="minorHAnsi" w:eastAsia="Times New Roman" w:hAnsiTheme="minorHAnsi" w:cstheme="minorHAnsi"/>
          <w:b/>
          <w:bCs/>
          <w:lang w:val="en-GB" w:eastAsia="en-AU"/>
        </w:rPr>
        <w:t xml:space="preserve">ban period for the interim ban </w:t>
      </w:r>
      <w:r w:rsidRPr="000C301D">
        <w:rPr>
          <w:rFonts w:asciiTheme="minorHAnsi" w:eastAsia="Times New Roman" w:hAnsiTheme="minorHAnsi" w:cstheme="minorHAnsi"/>
          <w:b/>
          <w:bCs/>
          <w:lang w:val="en-GB" w:eastAsia="en-AU"/>
        </w:rPr>
        <w:t>on hoverboards that do not meet specific safety requirements</w:t>
      </w:r>
    </w:p>
    <w:p w:rsidR="00FE30ED" w:rsidRPr="000C301D" w:rsidRDefault="00FE30ED" w:rsidP="00FE30ED">
      <w:pPr>
        <w:spacing w:before="120" w:after="120"/>
        <w:ind w:right="3"/>
        <w:rPr>
          <w:rFonts w:asciiTheme="minorHAnsi" w:eastAsia="Times New Roman" w:hAnsiTheme="minorHAnsi" w:cstheme="minorHAnsi"/>
          <w:b/>
          <w:lang w:val="en-GB" w:eastAsia="en-AU"/>
        </w:rPr>
      </w:pPr>
      <w:r w:rsidRPr="00FF498D">
        <w:rPr>
          <w:rFonts w:asciiTheme="minorHAnsi" w:eastAsia="Times New Roman" w:hAnsiTheme="minorHAnsi" w:cstheme="minorHAnsi"/>
          <w:lang w:val="en-GB" w:eastAsia="en-AU"/>
        </w:rPr>
        <w:t>Section 111(6) of the ACL provides that,</w:t>
      </w:r>
      <w:r>
        <w:rPr>
          <w:rFonts w:asciiTheme="minorHAnsi" w:eastAsia="Times New Roman" w:hAnsiTheme="minorHAnsi" w:cstheme="minorHAnsi"/>
          <w:lang w:val="en-GB" w:eastAsia="en-AU"/>
        </w:rPr>
        <w:t xml:space="preserve"> if the ban period for an interim ban is extended under subsection 111(2)</w:t>
      </w:r>
      <w:r w:rsidRPr="00FF498D">
        <w:rPr>
          <w:rFonts w:asciiTheme="minorHAnsi" w:eastAsia="Times New Roman" w:hAnsiTheme="minorHAnsi" w:cstheme="minorHAnsi"/>
          <w:lang w:val="en-GB" w:eastAsia="en-AU"/>
        </w:rPr>
        <w:t xml:space="preserve"> </w:t>
      </w:r>
      <w:r>
        <w:rPr>
          <w:rFonts w:asciiTheme="minorHAnsi" w:eastAsia="Times New Roman" w:hAnsiTheme="minorHAnsi" w:cstheme="minorHAnsi"/>
          <w:lang w:val="en-GB" w:eastAsia="en-AU"/>
        </w:rPr>
        <w:t xml:space="preserve">and the extended ban period has not ended and the interim ban was imposed by the Commonwealth Minister, </w:t>
      </w:r>
      <w:r w:rsidRPr="00FF498D">
        <w:rPr>
          <w:rFonts w:asciiTheme="minorHAnsi" w:eastAsia="Times New Roman" w:hAnsiTheme="minorHAnsi" w:cstheme="minorHAnsi"/>
          <w:lang w:val="en-GB" w:eastAsia="en-AU"/>
        </w:rPr>
        <w:t xml:space="preserve">the </w:t>
      </w:r>
      <w:r>
        <w:rPr>
          <w:rFonts w:asciiTheme="minorHAnsi" w:eastAsia="Times New Roman" w:hAnsiTheme="minorHAnsi" w:cstheme="minorHAnsi"/>
          <w:lang w:val="en-GB" w:eastAsia="en-AU"/>
        </w:rPr>
        <w:t>Commonwealth Minister</w:t>
      </w:r>
      <w:r w:rsidRPr="00FF498D">
        <w:rPr>
          <w:rFonts w:asciiTheme="minorHAnsi" w:eastAsia="Times New Roman" w:hAnsiTheme="minorHAnsi" w:cstheme="minorHAnsi"/>
          <w:lang w:val="en-GB" w:eastAsia="en-AU"/>
        </w:rPr>
        <w:t xml:space="preserve"> may, by written notice published on the internet, extend the </w:t>
      </w:r>
      <w:r>
        <w:rPr>
          <w:rFonts w:asciiTheme="minorHAnsi" w:eastAsia="Times New Roman" w:hAnsiTheme="minorHAnsi" w:cstheme="minorHAnsi"/>
          <w:lang w:val="en-GB" w:eastAsia="en-AU"/>
        </w:rPr>
        <w:t>extended ban period for the interim ban by a further period of up to 30 days.</w:t>
      </w:r>
      <w:r w:rsidRPr="000C301D">
        <w:rPr>
          <w:rFonts w:asciiTheme="minorHAnsi" w:eastAsia="Times New Roman" w:hAnsiTheme="minorHAnsi" w:cstheme="minorHAnsi"/>
          <w:lang w:val="en-GB" w:eastAsia="en-AU"/>
        </w:rPr>
        <w:t xml:space="preserve"> </w:t>
      </w:r>
    </w:p>
    <w:p w:rsidR="00FE30ED" w:rsidRDefault="00FE30ED" w:rsidP="00FE30ED">
      <w:pPr>
        <w:spacing w:before="240" w:after="120"/>
        <w:rPr>
          <w:rFonts w:asciiTheme="minorHAnsi" w:eastAsia="Times New Roman" w:hAnsiTheme="minorHAnsi" w:cstheme="minorHAnsi"/>
          <w:lang w:val="en-GB" w:eastAsia="en-AU"/>
        </w:rPr>
      </w:pPr>
      <w:r w:rsidRPr="00F83ECB">
        <w:rPr>
          <w:rFonts w:asciiTheme="minorHAnsi" w:eastAsia="Times New Roman" w:hAnsiTheme="minorHAnsi" w:cstheme="minorHAnsi"/>
          <w:lang w:val="en-GB" w:eastAsia="en-AU"/>
        </w:rPr>
        <w:t>The</w:t>
      </w:r>
      <w:r w:rsidRPr="000C301D">
        <w:rPr>
          <w:rFonts w:asciiTheme="minorHAnsi" w:eastAsia="Times New Roman" w:hAnsiTheme="minorHAnsi" w:cstheme="minorHAnsi"/>
          <w:lang w:val="en-GB" w:eastAsia="en-AU"/>
        </w:rPr>
        <w:t xml:space="preserve"> ACCC </w:t>
      </w:r>
      <w:r>
        <w:rPr>
          <w:rFonts w:asciiTheme="minorHAnsi" w:eastAsia="Times New Roman" w:hAnsiTheme="minorHAnsi" w:cstheme="minorHAnsi"/>
          <w:lang w:val="en-GB" w:eastAsia="en-AU"/>
        </w:rPr>
        <w:t>is considering</w:t>
      </w:r>
      <w:r w:rsidRPr="000C301D">
        <w:rPr>
          <w:rFonts w:asciiTheme="minorHAnsi" w:eastAsia="Times New Roman" w:hAnsiTheme="minorHAnsi" w:cstheme="minorHAnsi"/>
          <w:lang w:val="en-GB" w:eastAsia="en-AU"/>
        </w:rPr>
        <w:t xml:space="preserve"> what, if any, longer term options for the regulation of hoverboards are appropriate to minimise the risk of injury to consumers. </w:t>
      </w:r>
    </w:p>
    <w:p w:rsidR="00FE30ED" w:rsidRPr="000C301D" w:rsidRDefault="00FE30ED" w:rsidP="00FE30ED">
      <w:pPr>
        <w:spacing w:before="240" w:after="120"/>
        <w:rPr>
          <w:rFonts w:asciiTheme="minorHAnsi" w:eastAsia="Times New Roman" w:hAnsiTheme="minorHAnsi" w:cstheme="minorHAnsi"/>
          <w:lang w:val="en-US" w:eastAsia="en-AU"/>
        </w:rPr>
      </w:pPr>
      <w:r w:rsidRPr="000C301D">
        <w:rPr>
          <w:rFonts w:asciiTheme="minorHAnsi" w:eastAsia="Times New Roman" w:hAnsiTheme="minorHAnsi" w:cstheme="minorHAnsi"/>
          <w:lang w:val="en-GB" w:eastAsia="en-AU"/>
        </w:rPr>
        <w:t xml:space="preserve">The Minister for Small Business and Assistant Treasurer has therefore extended the </w:t>
      </w:r>
      <w:r>
        <w:rPr>
          <w:rFonts w:asciiTheme="minorHAnsi" w:eastAsia="Times New Roman" w:hAnsiTheme="minorHAnsi" w:cstheme="minorHAnsi"/>
          <w:lang w:val="en-GB" w:eastAsia="en-AU"/>
        </w:rPr>
        <w:t xml:space="preserve">extended </w:t>
      </w:r>
      <w:r w:rsidRPr="000C301D">
        <w:rPr>
          <w:rFonts w:asciiTheme="minorHAnsi" w:eastAsia="Times New Roman" w:hAnsiTheme="minorHAnsi" w:cstheme="minorHAnsi"/>
          <w:lang w:val="en-GB" w:eastAsia="en-AU"/>
        </w:rPr>
        <w:t xml:space="preserve">interim ban </w:t>
      </w:r>
      <w:r>
        <w:rPr>
          <w:rFonts w:asciiTheme="minorHAnsi" w:eastAsia="Times New Roman" w:hAnsiTheme="minorHAnsi" w:cstheme="minorHAnsi"/>
          <w:lang w:val="en-GB" w:eastAsia="en-AU"/>
        </w:rPr>
        <w:t xml:space="preserve">period </w:t>
      </w:r>
      <w:r w:rsidRPr="000C301D">
        <w:rPr>
          <w:rFonts w:asciiTheme="minorHAnsi" w:eastAsia="Times New Roman" w:hAnsiTheme="minorHAnsi" w:cstheme="minorHAnsi"/>
          <w:lang w:val="en-GB" w:eastAsia="en-AU"/>
        </w:rPr>
        <w:t>for 30 days</w:t>
      </w:r>
      <w:r>
        <w:rPr>
          <w:rFonts w:asciiTheme="minorHAnsi" w:eastAsia="Times New Roman" w:hAnsiTheme="minorHAnsi" w:cstheme="minorHAnsi"/>
          <w:lang w:val="en-GB" w:eastAsia="en-AU"/>
        </w:rPr>
        <w:t xml:space="preserve"> to provide the ACCC with the opportunity to conclude its assessment of the options</w:t>
      </w:r>
      <w:r w:rsidRPr="000C301D">
        <w:rPr>
          <w:rFonts w:asciiTheme="minorHAnsi" w:eastAsia="Times New Roman" w:hAnsiTheme="minorHAnsi" w:cstheme="minorHAnsi"/>
          <w:lang w:val="en-GB" w:eastAsia="en-AU"/>
        </w:rPr>
        <w:t>.</w:t>
      </w:r>
    </w:p>
    <w:p w:rsidR="00FE30ED" w:rsidRPr="000C301D" w:rsidRDefault="00FE30ED" w:rsidP="00FE30ED">
      <w:pPr>
        <w:spacing w:before="240" w:after="120"/>
        <w:rPr>
          <w:rFonts w:asciiTheme="minorHAnsi" w:eastAsia="Times New Roman" w:hAnsiTheme="minorHAnsi" w:cstheme="minorHAnsi"/>
          <w:lang w:val="en-US" w:eastAsia="en-AU"/>
        </w:rPr>
      </w:pPr>
      <w:r w:rsidRPr="000C301D">
        <w:rPr>
          <w:rFonts w:asciiTheme="minorHAnsi" w:eastAsia="Times New Roman" w:hAnsiTheme="minorHAnsi" w:cstheme="minorHAnsi"/>
          <w:b/>
          <w:bCs/>
          <w:lang w:val="en-GB" w:eastAsia="en-AU"/>
        </w:rPr>
        <w:t>Consultation</w:t>
      </w:r>
    </w:p>
    <w:p w:rsidR="00FE30ED" w:rsidRDefault="00FE30ED" w:rsidP="00FE30ED">
      <w:pPr>
        <w:spacing w:before="100" w:beforeAutospacing="1" w:after="100" w:afterAutospacing="1"/>
        <w:ind w:right="3"/>
        <w:rPr>
          <w:rFonts w:asciiTheme="minorHAnsi" w:eastAsia="Times New Roman" w:hAnsiTheme="minorHAnsi" w:cstheme="minorHAnsi"/>
          <w:lang w:val="en-GB" w:eastAsia="en-AU"/>
        </w:rPr>
      </w:pPr>
      <w:r w:rsidRPr="000C301D">
        <w:rPr>
          <w:rFonts w:asciiTheme="minorHAnsi" w:eastAsia="Times New Roman" w:hAnsiTheme="minorHAnsi" w:cstheme="minorHAnsi"/>
          <w:lang w:val="en-GB" w:eastAsia="en-AU"/>
        </w:rPr>
        <w:t xml:space="preserve">Section 131E of the CCA provides that </w:t>
      </w:r>
      <w:r>
        <w:rPr>
          <w:rFonts w:asciiTheme="minorHAnsi" w:eastAsia="Times New Roman" w:hAnsiTheme="minorHAnsi" w:cstheme="minorHAnsi"/>
          <w:lang w:val="en-GB" w:eastAsia="en-AU"/>
        </w:rPr>
        <w:t xml:space="preserve">the extension of </w:t>
      </w:r>
      <w:r w:rsidRPr="000C301D">
        <w:rPr>
          <w:rFonts w:asciiTheme="minorHAnsi" w:eastAsia="Times New Roman" w:hAnsiTheme="minorHAnsi" w:cstheme="minorHAnsi"/>
          <w:lang w:val="en-GB" w:eastAsia="en-AU"/>
        </w:rPr>
        <w:t>an interim ban under section 1</w:t>
      </w:r>
      <w:r>
        <w:rPr>
          <w:rFonts w:asciiTheme="minorHAnsi" w:eastAsia="Times New Roman" w:hAnsiTheme="minorHAnsi" w:cstheme="minorHAnsi"/>
          <w:lang w:val="en-GB" w:eastAsia="en-AU"/>
        </w:rPr>
        <w:t>11</w:t>
      </w:r>
      <w:r w:rsidRPr="000C301D">
        <w:rPr>
          <w:rFonts w:asciiTheme="minorHAnsi" w:eastAsia="Times New Roman" w:hAnsiTheme="minorHAnsi" w:cstheme="minorHAnsi"/>
          <w:lang w:val="en-GB" w:eastAsia="en-AU"/>
        </w:rPr>
        <w:t xml:space="preserve"> of the ACL is a legislative instrument for the purposes of the </w:t>
      </w:r>
      <w:r>
        <w:rPr>
          <w:rFonts w:asciiTheme="minorHAnsi" w:eastAsia="Times New Roman" w:hAnsiTheme="minorHAnsi" w:cstheme="minorHAnsi"/>
          <w:i/>
          <w:iCs/>
          <w:lang w:val="en-GB" w:eastAsia="en-AU"/>
        </w:rPr>
        <w:t>Legislation</w:t>
      </w:r>
      <w:r w:rsidRPr="000C301D">
        <w:rPr>
          <w:rFonts w:asciiTheme="minorHAnsi" w:eastAsia="Times New Roman" w:hAnsiTheme="minorHAnsi" w:cstheme="minorHAnsi"/>
          <w:i/>
          <w:iCs/>
          <w:lang w:val="en-GB" w:eastAsia="en-AU"/>
        </w:rPr>
        <w:t xml:space="preserve"> Act 2003</w:t>
      </w:r>
      <w:r>
        <w:rPr>
          <w:rFonts w:asciiTheme="minorHAnsi" w:eastAsia="Times New Roman" w:hAnsiTheme="minorHAnsi" w:cstheme="minorHAnsi"/>
          <w:lang w:val="en-GB" w:eastAsia="en-AU"/>
        </w:rPr>
        <w:t xml:space="preserve">. </w:t>
      </w:r>
      <w:r w:rsidRPr="000C301D">
        <w:rPr>
          <w:rFonts w:asciiTheme="minorHAnsi" w:eastAsia="Times New Roman" w:hAnsiTheme="minorHAnsi" w:cstheme="minorHAnsi"/>
          <w:lang w:val="en-GB" w:eastAsia="en-AU"/>
        </w:rPr>
        <w:t xml:space="preserve">Section 17 of the </w:t>
      </w:r>
      <w:r w:rsidRPr="00C014D0">
        <w:rPr>
          <w:rFonts w:asciiTheme="minorHAnsi" w:eastAsia="Times New Roman" w:hAnsiTheme="minorHAnsi" w:cstheme="minorHAnsi"/>
          <w:i/>
          <w:lang w:val="en-GB" w:eastAsia="en-AU"/>
        </w:rPr>
        <w:t>Legislation Act 2003</w:t>
      </w:r>
      <w:r>
        <w:rPr>
          <w:rFonts w:asciiTheme="minorHAnsi" w:eastAsia="Times New Roman" w:hAnsiTheme="minorHAnsi" w:cstheme="minorHAnsi"/>
          <w:lang w:val="en-GB" w:eastAsia="en-AU"/>
        </w:rPr>
        <w:t xml:space="preserve"> requires that the rule-</w:t>
      </w:r>
      <w:r w:rsidRPr="000C301D">
        <w:rPr>
          <w:rFonts w:asciiTheme="minorHAnsi" w:eastAsia="Times New Roman" w:hAnsiTheme="minorHAnsi" w:cstheme="minorHAnsi"/>
          <w:lang w:val="en-GB" w:eastAsia="en-AU"/>
        </w:rPr>
        <w:t>maker</w:t>
      </w:r>
      <w:r>
        <w:rPr>
          <w:rFonts w:asciiTheme="minorHAnsi" w:eastAsia="Times New Roman" w:hAnsiTheme="minorHAnsi" w:cstheme="minorHAnsi"/>
          <w:lang w:val="en-GB" w:eastAsia="en-AU"/>
        </w:rPr>
        <w:t xml:space="preserve"> must be satisfied that any consultation considered to be appropriate and reasonably practicable has been undertaken.</w:t>
      </w:r>
      <w:r w:rsidRPr="000C301D">
        <w:rPr>
          <w:rFonts w:asciiTheme="minorHAnsi" w:eastAsia="Times New Roman" w:hAnsiTheme="minorHAnsi" w:cstheme="minorHAnsi"/>
          <w:lang w:val="en-GB" w:eastAsia="en-AU"/>
        </w:rPr>
        <w:t xml:space="preserve"> </w:t>
      </w:r>
    </w:p>
    <w:p w:rsidR="00FE30ED" w:rsidRDefault="00FE30ED" w:rsidP="00FE30ED">
      <w:pPr>
        <w:spacing w:before="100" w:beforeAutospacing="1" w:after="100" w:afterAutospacing="1"/>
        <w:ind w:right="3"/>
        <w:rPr>
          <w:lang w:val="en-GB"/>
        </w:rPr>
      </w:pPr>
      <w:r>
        <w:rPr>
          <w:lang w:val="en-GB"/>
        </w:rPr>
        <w:t xml:space="preserve">Prior to the imposition of the interim ban, the ACCC contacted all known hoverboard suppliers and advised them that the ACCC was considering options to reduce the risk of house fires caused by hoverboards and that one of the options under consideration was a recommendation to the Minister for Small Business and Assistant Treasurer that she impose an interim ban on hoverboards that do not meet specific safety requirements. </w:t>
      </w:r>
    </w:p>
    <w:p w:rsidR="00FE30ED" w:rsidRPr="00B60285" w:rsidRDefault="00FE30ED" w:rsidP="00FE30ED">
      <w:pPr>
        <w:spacing w:before="100" w:beforeAutospacing="1" w:after="100" w:afterAutospacing="1"/>
        <w:ind w:right="3"/>
        <w:rPr>
          <w:lang w:val="en-GB"/>
        </w:rPr>
      </w:pPr>
      <w:r>
        <w:rPr>
          <w:lang w:val="en-GB"/>
        </w:rPr>
        <w:t>The ACCC subsequently held a conference with hoverboard suppliers and electrical safety regulators about the interim ban at the request of suppliers, pursuant to section 132E of the CCA. The ACCC has had ongoing targeted consultation with these stakeholders about the interim ban and the options for a possible longer term regulatory response.</w:t>
      </w:r>
    </w:p>
    <w:p w:rsidR="00FE30ED" w:rsidRDefault="00FE30ED" w:rsidP="00FE30ED">
      <w:pPr>
        <w:spacing w:before="100" w:beforeAutospacing="1" w:after="100" w:afterAutospacing="1"/>
        <w:ind w:right="3"/>
        <w:rPr>
          <w:rFonts w:asciiTheme="minorHAnsi" w:eastAsia="Times New Roman" w:hAnsiTheme="minorHAnsi" w:cstheme="minorHAnsi"/>
          <w:lang w:val="en-GB" w:eastAsia="en-AU"/>
        </w:rPr>
      </w:pPr>
      <w:r w:rsidRPr="000C301D">
        <w:rPr>
          <w:rFonts w:asciiTheme="minorHAnsi" w:eastAsia="Times New Roman" w:hAnsiTheme="minorHAnsi" w:cstheme="minorHAnsi"/>
          <w:lang w:val="en-GB" w:eastAsia="en-AU"/>
        </w:rPr>
        <w:lastRenderedPageBreak/>
        <w:t xml:space="preserve">The legislative instrument extending the interim ban for a period of 30 days </w:t>
      </w:r>
      <w:r>
        <w:rPr>
          <w:rFonts w:asciiTheme="minorHAnsi" w:eastAsia="Times New Roman" w:hAnsiTheme="minorHAnsi" w:cstheme="minorHAnsi"/>
          <w:lang w:val="en-GB" w:eastAsia="en-AU"/>
        </w:rPr>
        <w:t>was</w:t>
      </w:r>
      <w:r w:rsidRPr="000C301D">
        <w:rPr>
          <w:rFonts w:asciiTheme="minorHAnsi" w:eastAsia="Times New Roman" w:hAnsiTheme="minorHAnsi" w:cstheme="minorHAnsi"/>
          <w:lang w:val="en-GB" w:eastAsia="en-AU"/>
        </w:rPr>
        <w:t xml:space="preserve"> of a minor nature and d</w:t>
      </w:r>
      <w:r>
        <w:rPr>
          <w:rFonts w:asciiTheme="minorHAnsi" w:eastAsia="Times New Roman" w:hAnsiTheme="minorHAnsi" w:cstheme="minorHAnsi"/>
          <w:lang w:val="en-GB" w:eastAsia="en-AU"/>
        </w:rPr>
        <w:t>id</w:t>
      </w:r>
      <w:r w:rsidRPr="000C301D">
        <w:rPr>
          <w:rFonts w:asciiTheme="minorHAnsi" w:eastAsia="Times New Roman" w:hAnsiTheme="minorHAnsi" w:cstheme="minorHAnsi"/>
          <w:lang w:val="en-GB" w:eastAsia="en-AU"/>
        </w:rPr>
        <w:t xml:space="preserve"> not significantly alter </w:t>
      </w:r>
      <w:r>
        <w:rPr>
          <w:rFonts w:asciiTheme="minorHAnsi" w:eastAsia="Times New Roman" w:hAnsiTheme="minorHAnsi" w:cstheme="minorHAnsi"/>
          <w:lang w:val="en-GB" w:eastAsia="en-AU"/>
        </w:rPr>
        <w:t xml:space="preserve">the </w:t>
      </w:r>
      <w:r w:rsidRPr="000C301D">
        <w:rPr>
          <w:rFonts w:asciiTheme="minorHAnsi" w:eastAsia="Times New Roman" w:hAnsiTheme="minorHAnsi" w:cstheme="minorHAnsi"/>
          <w:lang w:val="en-GB" w:eastAsia="en-AU"/>
        </w:rPr>
        <w:t>arrangements</w:t>
      </w:r>
      <w:r>
        <w:rPr>
          <w:rFonts w:asciiTheme="minorHAnsi" w:eastAsia="Times New Roman" w:hAnsiTheme="minorHAnsi" w:cstheme="minorHAnsi"/>
          <w:lang w:val="en-GB" w:eastAsia="en-AU"/>
        </w:rPr>
        <w:t xml:space="preserve"> at the time</w:t>
      </w:r>
      <w:r w:rsidRPr="000C301D">
        <w:rPr>
          <w:rFonts w:asciiTheme="minorHAnsi" w:eastAsia="Times New Roman" w:hAnsiTheme="minorHAnsi" w:cstheme="minorHAnsi"/>
          <w:lang w:val="en-GB" w:eastAsia="en-AU"/>
        </w:rPr>
        <w:t xml:space="preserve">. Accordingly, consultation </w:t>
      </w:r>
      <w:r>
        <w:rPr>
          <w:rFonts w:asciiTheme="minorHAnsi" w:eastAsia="Times New Roman" w:hAnsiTheme="minorHAnsi" w:cstheme="minorHAnsi"/>
          <w:lang w:val="en-GB" w:eastAsia="en-AU"/>
        </w:rPr>
        <w:t>was not</w:t>
      </w:r>
      <w:r w:rsidRPr="000C301D">
        <w:rPr>
          <w:rFonts w:asciiTheme="minorHAnsi" w:eastAsia="Times New Roman" w:hAnsiTheme="minorHAnsi" w:cstheme="minorHAnsi"/>
          <w:lang w:val="en-GB" w:eastAsia="en-AU"/>
        </w:rPr>
        <w:t xml:space="preserve"> </w:t>
      </w:r>
      <w:r>
        <w:rPr>
          <w:rFonts w:asciiTheme="minorHAnsi" w:eastAsia="Times New Roman" w:hAnsiTheme="minorHAnsi" w:cstheme="minorHAnsi"/>
          <w:lang w:val="en-GB" w:eastAsia="en-AU"/>
        </w:rPr>
        <w:t>considered appropriate</w:t>
      </w:r>
      <w:r w:rsidRPr="000C301D">
        <w:rPr>
          <w:rFonts w:asciiTheme="minorHAnsi" w:eastAsia="Times New Roman" w:hAnsiTheme="minorHAnsi" w:cstheme="minorHAnsi"/>
          <w:lang w:val="en-GB" w:eastAsia="en-AU"/>
        </w:rPr>
        <w:t xml:space="preserve">. </w:t>
      </w:r>
    </w:p>
    <w:p w:rsidR="00FE30ED" w:rsidRPr="000C301D" w:rsidRDefault="00FE30ED" w:rsidP="00FE30ED">
      <w:pPr>
        <w:spacing w:before="100" w:beforeAutospacing="1" w:after="100" w:afterAutospacing="1"/>
        <w:ind w:right="3"/>
        <w:rPr>
          <w:rFonts w:asciiTheme="minorHAnsi" w:eastAsia="Times New Roman" w:hAnsiTheme="minorHAnsi" w:cstheme="minorHAnsi"/>
          <w:lang w:val="en-US" w:eastAsia="en-AU"/>
        </w:rPr>
      </w:pPr>
      <w:r>
        <w:rPr>
          <w:rFonts w:asciiTheme="minorHAnsi" w:eastAsia="Times New Roman" w:hAnsiTheme="minorHAnsi" w:cstheme="minorHAnsi"/>
          <w:lang w:val="en-GB" w:eastAsia="en-AU"/>
        </w:rPr>
        <w:t>This legislative instrument, which extends the extended interim ban period for a further 30 days is also of a minor nature and does not significantly alter the existing arrangements. Accordingly, specific consultation on this legislative instrument was also not considered necessary. It is noted however that suppliers have been advised in correspondence that the extended interim ban period may be extended by a further 30 days.</w:t>
      </w:r>
    </w:p>
    <w:p w:rsidR="00FE30ED" w:rsidRPr="0044583B" w:rsidRDefault="00FE30ED" w:rsidP="00FE30ED">
      <w:pPr>
        <w:spacing w:before="240" w:after="120"/>
        <w:rPr>
          <w:rFonts w:asciiTheme="minorHAnsi" w:eastAsia="Times New Roman" w:hAnsiTheme="minorHAnsi" w:cstheme="minorHAnsi"/>
          <w:b/>
          <w:bCs/>
          <w:lang w:val="en-GB" w:eastAsia="en-AU"/>
        </w:rPr>
      </w:pPr>
      <w:r w:rsidRPr="000C301D">
        <w:rPr>
          <w:rFonts w:asciiTheme="minorHAnsi" w:eastAsia="Times New Roman" w:hAnsiTheme="minorHAnsi" w:cstheme="minorHAnsi"/>
          <w:b/>
          <w:bCs/>
          <w:lang w:val="en-GB" w:eastAsia="en-AU"/>
        </w:rPr>
        <w:t>Commencement</w:t>
      </w:r>
    </w:p>
    <w:p w:rsidR="00FE30ED" w:rsidRPr="000C301D" w:rsidRDefault="00FE30ED" w:rsidP="00FE30ED">
      <w:pPr>
        <w:spacing w:before="120" w:after="120"/>
        <w:rPr>
          <w:rFonts w:asciiTheme="minorHAnsi" w:eastAsia="Times New Roman" w:hAnsiTheme="minorHAnsi" w:cstheme="minorHAnsi"/>
          <w:lang w:val="en-US" w:eastAsia="en-AU"/>
        </w:rPr>
      </w:pPr>
      <w:r w:rsidRPr="000C301D">
        <w:rPr>
          <w:rFonts w:asciiTheme="minorHAnsi" w:eastAsia="Times New Roman" w:hAnsiTheme="minorHAnsi" w:cstheme="minorHAnsi"/>
          <w:lang w:val="en-GB" w:eastAsia="en-AU"/>
        </w:rPr>
        <w:t>This</w:t>
      </w:r>
      <w:r w:rsidR="00CC3FB4">
        <w:rPr>
          <w:rFonts w:asciiTheme="minorHAnsi" w:eastAsia="Times New Roman" w:hAnsiTheme="minorHAnsi" w:cstheme="minorHAnsi"/>
          <w:lang w:val="en-GB" w:eastAsia="en-AU"/>
        </w:rPr>
        <w:t xml:space="preserve"> legislative</w:t>
      </w:r>
      <w:r w:rsidRPr="000C301D">
        <w:rPr>
          <w:rFonts w:asciiTheme="minorHAnsi" w:eastAsia="Times New Roman" w:hAnsiTheme="minorHAnsi" w:cstheme="minorHAnsi"/>
          <w:lang w:val="en-GB" w:eastAsia="en-AU"/>
        </w:rPr>
        <w:t xml:space="preserve"> instrument commences on the day specified in the instrument.</w:t>
      </w:r>
    </w:p>
    <w:p w:rsidR="00FE30ED" w:rsidRPr="000C301D" w:rsidRDefault="00FE30ED" w:rsidP="00FE30ED">
      <w:pPr>
        <w:spacing w:before="120" w:after="120"/>
        <w:rPr>
          <w:rFonts w:asciiTheme="minorHAnsi" w:eastAsia="Times New Roman" w:hAnsiTheme="minorHAnsi" w:cstheme="minorHAnsi"/>
          <w:lang w:val="en-US" w:eastAsia="en-AU"/>
        </w:rPr>
      </w:pPr>
      <w:r w:rsidRPr="000C301D">
        <w:rPr>
          <w:rFonts w:asciiTheme="minorHAnsi" w:eastAsia="Times New Roman" w:hAnsiTheme="minorHAnsi" w:cstheme="minorHAnsi"/>
          <w:b/>
          <w:bCs/>
          <w:lang w:val="en-GB" w:eastAsia="en-AU"/>
        </w:rPr>
        <w:t>Disallowance</w:t>
      </w:r>
    </w:p>
    <w:p w:rsidR="00FE30ED" w:rsidRPr="000C301D" w:rsidRDefault="00FE30ED" w:rsidP="00FE30ED">
      <w:pPr>
        <w:spacing w:before="120" w:after="120"/>
        <w:rPr>
          <w:rFonts w:asciiTheme="minorHAnsi" w:eastAsia="Times New Roman" w:hAnsiTheme="minorHAnsi" w:cstheme="minorHAnsi"/>
          <w:lang w:val="en-US" w:eastAsia="en-AU"/>
        </w:rPr>
      </w:pPr>
      <w:r w:rsidRPr="000C301D">
        <w:rPr>
          <w:rFonts w:asciiTheme="minorHAnsi" w:eastAsia="Times New Roman" w:hAnsiTheme="minorHAnsi" w:cstheme="minorHAnsi"/>
          <w:lang w:val="en-GB" w:eastAsia="en-AU"/>
        </w:rPr>
        <w:t>This</w:t>
      </w:r>
      <w:r w:rsidR="002E1346">
        <w:rPr>
          <w:rFonts w:asciiTheme="minorHAnsi" w:eastAsia="Times New Roman" w:hAnsiTheme="minorHAnsi" w:cstheme="minorHAnsi"/>
          <w:lang w:val="en-GB" w:eastAsia="en-AU"/>
        </w:rPr>
        <w:t xml:space="preserve"> legislative</w:t>
      </w:r>
      <w:r w:rsidRPr="000C301D">
        <w:rPr>
          <w:rFonts w:asciiTheme="minorHAnsi" w:eastAsia="Times New Roman" w:hAnsiTheme="minorHAnsi" w:cstheme="minorHAnsi"/>
          <w:lang w:val="en-GB" w:eastAsia="en-AU"/>
        </w:rPr>
        <w:t xml:space="preserve"> instrument is </w:t>
      </w:r>
      <w:r>
        <w:rPr>
          <w:rFonts w:asciiTheme="minorHAnsi" w:eastAsia="Times New Roman" w:hAnsiTheme="minorHAnsi" w:cstheme="minorHAnsi"/>
          <w:lang w:val="en-GB" w:eastAsia="en-AU"/>
        </w:rPr>
        <w:t xml:space="preserve">not subject to disallowance due to section 44 of the </w:t>
      </w:r>
      <w:r w:rsidRPr="00FE30ED">
        <w:rPr>
          <w:rFonts w:asciiTheme="minorHAnsi" w:eastAsia="Times New Roman" w:hAnsiTheme="minorHAnsi" w:cstheme="minorHAnsi"/>
          <w:i/>
          <w:lang w:val="en-GB" w:eastAsia="en-AU"/>
        </w:rPr>
        <w:t>Legislation Action 2003</w:t>
      </w:r>
      <w:r>
        <w:rPr>
          <w:rFonts w:asciiTheme="minorHAnsi" w:eastAsia="Times New Roman" w:hAnsiTheme="minorHAnsi" w:cstheme="minorHAnsi"/>
          <w:lang w:val="en-GB" w:eastAsia="en-AU"/>
        </w:rPr>
        <w:t>.</w:t>
      </w:r>
      <w:r w:rsidRPr="000C301D">
        <w:rPr>
          <w:rFonts w:asciiTheme="minorHAnsi" w:eastAsia="Times New Roman" w:hAnsiTheme="minorHAnsi" w:cstheme="minorHAnsi"/>
          <w:lang w:val="en-GB" w:eastAsia="en-AU"/>
        </w:rPr>
        <w:t xml:space="preserve"> </w:t>
      </w:r>
    </w:p>
    <w:p w:rsidR="00FE30ED" w:rsidRPr="000C301D" w:rsidRDefault="00FE30ED" w:rsidP="00FE30ED">
      <w:pPr>
        <w:spacing w:before="120" w:after="120"/>
        <w:rPr>
          <w:rFonts w:asciiTheme="minorHAnsi" w:eastAsia="Times New Roman" w:hAnsiTheme="minorHAnsi" w:cstheme="minorHAnsi"/>
          <w:lang w:val="en-US" w:eastAsia="en-AU"/>
        </w:rPr>
      </w:pPr>
      <w:r>
        <w:rPr>
          <w:rFonts w:asciiTheme="minorHAnsi" w:eastAsia="Times New Roman" w:hAnsiTheme="minorHAnsi" w:cstheme="minorHAnsi"/>
          <w:b/>
          <w:bCs/>
          <w:lang w:val="en-GB" w:eastAsia="en-AU"/>
        </w:rPr>
        <w:t>Sunsetting</w:t>
      </w:r>
    </w:p>
    <w:p w:rsidR="00FE30ED" w:rsidRPr="00CC3FB4" w:rsidRDefault="00FE30ED" w:rsidP="00FE30ED">
      <w:pPr>
        <w:spacing w:before="120" w:after="120"/>
        <w:rPr>
          <w:rFonts w:asciiTheme="minorHAnsi" w:eastAsia="Times New Roman" w:hAnsiTheme="minorHAnsi" w:cstheme="minorHAnsi"/>
          <w:lang w:val="en-US" w:eastAsia="en-AU"/>
        </w:rPr>
      </w:pPr>
      <w:r>
        <w:rPr>
          <w:rFonts w:asciiTheme="minorHAnsi" w:eastAsia="Times New Roman" w:hAnsiTheme="minorHAnsi" w:cstheme="minorHAnsi"/>
          <w:lang w:val="en-GB" w:eastAsia="en-AU"/>
        </w:rPr>
        <w:t>The</w:t>
      </w:r>
      <w:r w:rsidRPr="000C301D">
        <w:rPr>
          <w:rFonts w:asciiTheme="minorHAnsi" w:eastAsia="Times New Roman" w:hAnsiTheme="minorHAnsi" w:cstheme="minorHAnsi"/>
          <w:lang w:val="en-GB" w:eastAsia="en-AU"/>
        </w:rPr>
        <w:t xml:space="preserve"> </w:t>
      </w:r>
      <w:r w:rsidR="002E1346">
        <w:rPr>
          <w:rFonts w:asciiTheme="minorHAnsi" w:eastAsia="Times New Roman" w:hAnsiTheme="minorHAnsi" w:cstheme="minorHAnsi"/>
          <w:lang w:val="en-GB" w:eastAsia="en-AU"/>
        </w:rPr>
        <w:t xml:space="preserve">legislative </w:t>
      </w:r>
      <w:r w:rsidRPr="000C301D">
        <w:rPr>
          <w:rFonts w:asciiTheme="minorHAnsi" w:eastAsia="Times New Roman" w:hAnsiTheme="minorHAnsi" w:cstheme="minorHAnsi"/>
          <w:lang w:val="en-GB" w:eastAsia="en-AU"/>
        </w:rPr>
        <w:t xml:space="preserve">instrument is </w:t>
      </w:r>
      <w:r>
        <w:rPr>
          <w:rFonts w:asciiTheme="minorHAnsi" w:eastAsia="Times New Roman" w:hAnsiTheme="minorHAnsi" w:cstheme="minorHAnsi"/>
          <w:lang w:val="en-GB" w:eastAsia="en-AU"/>
        </w:rPr>
        <w:t xml:space="preserve">not subject to sunsetting due to section 54 of the </w:t>
      </w:r>
      <w:r w:rsidRPr="00FE30ED">
        <w:rPr>
          <w:rFonts w:asciiTheme="minorHAnsi" w:eastAsia="Times New Roman" w:hAnsiTheme="minorHAnsi" w:cstheme="minorHAnsi"/>
          <w:i/>
          <w:lang w:val="en-GB" w:eastAsia="en-AU"/>
        </w:rPr>
        <w:t>Legislation Action 2003</w:t>
      </w:r>
      <w:r>
        <w:rPr>
          <w:rFonts w:asciiTheme="minorHAnsi" w:eastAsia="Times New Roman" w:hAnsiTheme="minorHAnsi" w:cstheme="minorHAnsi"/>
          <w:lang w:val="en-GB" w:eastAsia="en-AU"/>
        </w:rPr>
        <w:t>.</w:t>
      </w:r>
      <w:r w:rsidRPr="000C301D">
        <w:rPr>
          <w:rFonts w:asciiTheme="minorHAnsi" w:eastAsia="Times New Roman" w:hAnsiTheme="minorHAnsi" w:cstheme="minorHAnsi"/>
          <w:lang w:val="en-GB" w:eastAsia="en-AU"/>
        </w:rPr>
        <w:t xml:space="preserve"> </w:t>
      </w:r>
    </w:p>
    <w:p w:rsidR="00FE30ED" w:rsidRPr="0044583B" w:rsidRDefault="00FE30ED" w:rsidP="00FE30ED">
      <w:pPr>
        <w:spacing w:before="120" w:after="120"/>
        <w:rPr>
          <w:rFonts w:asciiTheme="minorHAnsi" w:eastAsia="Times New Roman" w:hAnsiTheme="minorHAnsi" w:cstheme="minorHAnsi"/>
          <w:b/>
          <w:bCs/>
          <w:lang w:val="en-GB" w:eastAsia="en-AU"/>
        </w:rPr>
      </w:pPr>
      <w:r w:rsidRPr="000C301D">
        <w:rPr>
          <w:rFonts w:asciiTheme="minorHAnsi" w:eastAsia="Times New Roman" w:hAnsiTheme="minorHAnsi" w:cstheme="minorHAnsi"/>
          <w:b/>
          <w:bCs/>
          <w:lang w:val="en-GB" w:eastAsia="en-AU"/>
        </w:rPr>
        <w:t>Period of Effect</w:t>
      </w:r>
    </w:p>
    <w:p w:rsidR="00FE30ED" w:rsidRPr="0044583B" w:rsidRDefault="00FE30ED" w:rsidP="00FE30ED">
      <w:pPr>
        <w:spacing w:before="120" w:after="120"/>
        <w:rPr>
          <w:rFonts w:asciiTheme="minorHAnsi" w:eastAsia="Times New Roman" w:hAnsiTheme="minorHAnsi" w:cstheme="minorHAnsi"/>
          <w:lang w:val="en-GB" w:eastAsia="en-AU"/>
        </w:rPr>
      </w:pPr>
      <w:r w:rsidRPr="000C301D">
        <w:rPr>
          <w:rFonts w:asciiTheme="minorHAnsi" w:eastAsia="Times New Roman" w:hAnsiTheme="minorHAnsi" w:cstheme="minorHAnsi"/>
          <w:lang w:val="en-GB" w:eastAsia="en-AU"/>
        </w:rPr>
        <w:t>This extension to the</w:t>
      </w:r>
      <w:r>
        <w:rPr>
          <w:rFonts w:asciiTheme="minorHAnsi" w:eastAsia="Times New Roman" w:hAnsiTheme="minorHAnsi" w:cstheme="minorHAnsi"/>
          <w:lang w:val="en-GB" w:eastAsia="en-AU"/>
        </w:rPr>
        <w:t xml:space="preserve"> extended</w:t>
      </w:r>
      <w:r w:rsidRPr="000C301D">
        <w:rPr>
          <w:rFonts w:asciiTheme="minorHAnsi" w:eastAsia="Times New Roman" w:hAnsiTheme="minorHAnsi" w:cstheme="minorHAnsi"/>
          <w:lang w:val="en-GB" w:eastAsia="en-AU"/>
        </w:rPr>
        <w:t xml:space="preserve"> interim ban </w:t>
      </w:r>
      <w:r>
        <w:rPr>
          <w:rFonts w:asciiTheme="minorHAnsi" w:eastAsia="Times New Roman" w:hAnsiTheme="minorHAnsi" w:cstheme="minorHAnsi"/>
          <w:lang w:val="en-GB" w:eastAsia="en-AU"/>
        </w:rPr>
        <w:t>period for</w:t>
      </w:r>
      <w:r w:rsidRPr="000C301D">
        <w:rPr>
          <w:rFonts w:asciiTheme="minorHAnsi" w:eastAsia="Times New Roman" w:hAnsiTheme="minorHAnsi" w:cstheme="minorHAnsi"/>
          <w:lang w:val="en-GB" w:eastAsia="en-AU"/>
        </w:rPr>
        <w:t xml:space="preserve"> hoverboards that do not meet specific safety requirements is effective for a period of 30 days from </w:t>
      </w:r>
      <w:r>
        <w:rPr>
          <w:rFonts w:asciiTheme="minorHAnsi" w:eastAsia="Times New Roman" w:hAnsiTheme="minorHAnsi" w:cstheme="minorHAnsi"/>
          <w:lang w:val="en-GB" w:eastAsia="en-AU"/>
        </w:rPr>
        <w:t>17 June 2016, unless revoked</w:t>
      </w:r>
      <w:r w:rsidRPr="000C301D">
        <w:rPr>
          <w:rFonts w:asciiTheme="minorHAnsi" w:eastAsia="Times New Roman" w:hAnsiTheme="minorHAnsi" w:cstheme="minorHAnsi"/>
          <w:lang w:val="en-GB" w:eastAsia="en-AU"/>
        </w:rPr>
        <w:t>.</w:t>
      </w:r>
    </w:p>
    <w:p w:rsidR="007329F5" w:rsidRPr="00FE30ED" w:rsidRDefault="007329F5" w:rsidP="00FE30ED"/>
    <w:sectPr w:rsidR="007329F5" w:rsidRPr="00FE30ED" w:rsidSect="00A26EDE">
      <w:headerReference w:type="even" r:id="rId16"/>
      <w:headerReference w:type="default" r:id="rId17"/>
      <w:footerReference w:type="even" r:id="rId18"/>
      <w:footerReference w:type="default" r:id="rId19"/>
      <w:headerReference w:type="first" r:id="rId20"/>
      <w:footerReference w:type="first" r:id="rId21"/>
      <w:pgSz w:w="11906" w:h="16838"/>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498" w:rsidRDefault="00DE3498" w:rsidP="004B4412">
      <w:pPr>
        <w:spacing w:before="0"/>
      </w:pPr>
      <w:r>
        <w:separator/>
      </w:r>
    </w:p>
  </w:endnote>
  <w:endnote w:type="continuationSeparator" w:id="0">
    <w:p w:rsidR="00DE3498" w:rsidRDefault="00DE3498" w:rsidP="004B441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EDE" w:rsidRDefault="00A26E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4587742"/>
      <w:docPartObj>
        <w:docPartGallery w:val="Page Numbers (Bottom of Page)"/>
        <w:docPartUnique/>
      </w:docPartObj>
    </w:sdtPr>
    <w:sdtEndPr>
      <w:rPr>
        <w:noProof/>
      </w:rPr>
    </w:sdtEndPr>
    <w:sdtContent>
      <w:p w:rsidR="008F144C" w:rsidRDefault="008F144C">
        <w:pPr>
          <w:pStyle w:val="Footer"/>
          <w:jc w:val="center"/>
        </w:pPr>
        <w:r>
          <w:fldChar w:fldCharType="begin"/>
        </w:r>
        <w:r>
          <w:instrText xml:space="preserve"> PAGE   \* MERGEFORMAT </w:instrText>
        </w:r>
        <w:r>
          <w:fldChar w:fldCharType="separate"/>
        </w:r>
        <w:r w:rsidR="003749BE">
          <w:rPr>
            <w:noProof/>
          </w:rPr>
          <w:t>2</w:t>
        </w:r>
        <w:r>
          <w:rPr>
            <w:noProof/>
          </w:rPr>
          <w:fldChar w:fldCharType="end"/>
        </w:r>
      </w:p>
    </w:sdtContent>
  </w:sdt>
  <w:p w:rsidR="008F144C" w:rsidRDefault="008F14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EDE" w:rsidRDefault="00A26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498" w:rsidRDefault="00DE3498" w:rsidP="004B4412">
      <w:pPr>
        <w:spacing w:before="0"/>
      </w:pPr>
      <w:r>
        <w:separator/>
      </w:r>
    </w:p>
  </w:footnote>
  <w:footnote w:type="continuationSeparator" w:id="0">
    <w:p w:rsidR="00DE3498" w:rsidRDefault="00DE3498" w:rsidP="004B441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EDE" w:rsidRDefault="00A26E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EDE" w:rsidRDefault="00A26E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EDE" w:rsidRDefault="00A26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4BEAAD6"/>
    <w:lvl w:ilvl="0">
      <w:start w:val="1"/>
      <w:numFmt w:val="decimal"/>
      <w:pStyle w:val="ListNumber5"/>
      <w:lvlText w:val="%1."/>
      <w:lvlJc w:val="left"/>
      <w:pPr>
        <w:ind w:left="1701" w:hanging="340"/>
      </w:pPr>
      <w:rPr>
        <w:rFonts w:hint="default"/>
      </w:rPr>
    </w:lvl>
  </w:abstractNum>
  <w:abstractNum w:abstractNumId="1" w15:restartNumberingAfterBreak="0">
    <w:nsid w:val="FFFFFF7D"/>
    <w:multiLevelType w:val="singleLevel"/>
    <w:tmpl w:val="33EA20A0"/>
    <w:lvl w:ilvl="0">
      <w:start w:val="1"/>
      <w:numFmt w:val="decimal"/>
      <w:pStyle w:val="ListNumber4"/>
      <w:lvlText w:val="%1."/>
      <w:lvlJc w:val="left"/>
      <w:pPr>
        <w:ind w:left="1361" w:hanging="340"/>
      </w:pPr>
      <w:rPr>
        <w:rFonts w:hint="default"/>
      </w:rPr>
    </w:lvl>
  </w:abstractNum>
  <w:abstractNum w:abstractNumId="2" w15:restartNumberingAfterBreak="0">
    <w:nsid w:val="FFFFFF7E"/>
    <w:multiLevelType w:val="singleLevel"/>
    <w:tmpl w:val="91FCDF1E"/>
    <w:lvl w:ilvl="0">
      <w:start w:val="1"/>
      <w:numFmt w:val="decimal"/>
      <w:pStyle w:val="ListNumber3"/>
      <w:lvlText w:val="%1."/>
      <w:lvlJc w:val="left"/>
      <w:pPr>
        <w:ind w:left="1021" w:hanging="341"/>
      </w:pPr>
      <w:rPr>
        <w:rFonts w:hint="default"/>
      </w:rPr>
    </w:lvl>
  </w:abstractNum>
  <w:abstractNum w:abstractNumId="3" w15:restartNumberingAfterBreak="0">
    <w:nsid w:val="FFFFFF7F"/>
    <w:multiLevelType w:val="singleLevel"/>
    <w:tmpl w:val="C1DEEDE0"/>
    <w:lvl w:ilvl="0">
      <w:start w:val="1"/>
      <w:numFmt w:val="decimal"/>
      <w:pStyle w:val="ListNumber2"/>
      <w:lvlText w:val="%1."/>
      <w:lvlJc w:val="left"/>
      <w:pPr>
        <w:ind w:left="680" w:hanging="340"/>
      </w:pPr>
      <w:rPr>
        <w:rFonts w:hint="default"/>
      </w:rPr>
    </w:lvl>
  </w:abstractNum>
  <w:abstractNum w:abstractNumId="4" w15:restartNumberingAfterBreak="0">
    <w:nsid w:val="FFFFFF80"/>
    <w:multiLevelType w:val="singleLevel"/>
    <w:tmpl w:val="E38619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BE8B6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6A7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62730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BC9528"/>
    <w:lvl w:ilvl="0">
      <w:start w:val="1"/>
      <w:numFmt w:val="decimal"/>
      <w:pStyle w:val="ListNumber"/>
      <w:lvlText w:val="%1."/>
      <w:lvlJc w:val="left"/>
      <w:pPr>
        <w:tabs>
          <w:tab w:val="num" w:pos="340"/>
        </w:tabs>
        <w:ind w:left="340" w:hanging="340"/>
      </w:pPr>
      <w:rPr>
        <w:rFonts w:hint="default"/>
      </w:rPr>
    </w:lvl>
  </w:abstractNum>
  <w:abstractNum w:abstractNumId="9" w15:restartNumberingAfterBreak="0">
    <w:nsid w:val="0C06019B"/>
    <w:multiLevelType w:val="hybridMultilevel"/>
    <w:tmpl w:val="48B259B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0" w15:restartNumberingAfterBreak="0">
    <w:nsid w:val="0DD2542B"/>
    <w:multiLevelType w:val="hybridMultilevel"/>
    <w:tmpl w:val="7C60E1FC"/>
    <w:lvl w:ilvl="0" w:tplc="021E8868">
      <w:start w:val="1"/>
      <w:numFmt w:val="decimal"/>
      <w:pStyle w:val="ListParagraph"/>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33E73B6"/>
    <w:multiLevelType w:val="hybridMultilevel"/>
    <w:tmpl w:val="80220B84"/>
    <w:lvl w:ilvl="0" w:tplc="F5987420">
      <w:start w:val="1"/>
      <w:numFmt w:val="decimal"/>
      <w:pStyle w:val="Numberedparagraph"/>
      <w:lvlText w:val="%1."/>
      <w:lvlJc w:val="left"/>
      <w:pPr>
        <w:ind w:left="360" w:hanging="360"/>
      </w:pPr>
      <w:rPr>
        <w:rFonts w:hint="default"/>
      </w:rPr>
    </w:lvl>
    <w:lvl w:ilvl="1" w:tplc="A5728FDE" w:tentative="1">
      <w:start w:val="1"/>
      <w:numFmt w:val="bullet"/>
      <w:lvlText w:val="o"/>
      <w:lvlJc w:val="left"/>
      <w:pPr>
        <w:ind w:left="2520" w:hanging="360"/>
      </w:pPr>
      <w:rPr>
        <w:rFonts w:ascii="Courier New" w:hAnsi="Courier New" w:cs="Courier New" w:hint="default"/>
      </w:rPr>
    </w:lvl>
    <w:lvl w:ilvl="2" w:tplc="B6B8266A" w:tentative="1">
      <w:start w:val="1"/>
      <w:numFmt w:val="bullet"/>
      <w:lvlText w:val=""/>
      <w:lvlJc w:val="left"/>
      <w:pPr>
        <w:ind w:left="3240" w:hanging="360"/>
      </w:pPr>
      <w:rPr>
        <w:rFonts w:ascii="Wingdings" w:hAnsi="Wingdings" w:hint="default"/>
      </w:rPr>
    </w:lvl>
    <w:lvl w:ilvl="3" w:tplc="0E067E3E" w:tentative="1">
      <w:start w:val="1"/>
      <w:numFmt w:val="bullet"/>
      <w:lvlText w:val=""/>
      <w:lvlJc w:val="left"/>
      <w:pPr>
        <w:ind w:left="3960" w:hanging="360"/>
      </w:pPr>
      <w:rPr>
        <w:rFonts w:ascii="Symbol" w:hAnsi="Symbol" w:hint="default"/>
      </w:rPr>
    </w:lvl>
    <w:lvl w:ilvl="4" w:tplc="9D8444DE" w:tentative="1">
      <w:start w:val="1"/>
      <w:numFmt w:val="bullet"/>
      <w:lvlText w:val="o"/>
      <w:lvlJc w:val="left"/>
      <w:pPr>
        <w:ind w:left="4680" w:hanging="360"/>
      </w:pPr>
      <w:rPr>
        <w:rFonts w:ascii="Courier New" w:hAnsi="Courier New" w:cs="Courier New" w:hint="default"/>
      </w:rPr>
    </w:lvl>
    <w:lvl w:ilvl="5" w:tplc="47DE7D34" w:tentative="1">
      <w:start w:val="1"/>
      <w:numFmt w:val="bullet"/>
      <w:lvlText w:val=""/>
      <w:lvlJc w:val="left"/>
      <w:pPr>
        <w:ind w:left="5400" w:hanging="360"/>
      </w:pPr>
      <w:rPr>
        <w:rFonts w:ascii="Wingdings" w:hAnsi="Wingdings" w:hint="default"/>
      </w:rPr>
    </w:lvl>
    <w:lvl w:ilvl="6" w:tplc="9D0AFFEA" w:tentative="1">
      <w:start w:val="1"/>
      <w:numFmt w:val="bullet"/>
      <w:lvlText w:val=""/>
      <w:lvlJc w:val="left"/>
      <w:pPr>
        <w:ind w:left="6120" w:hanging="360"/>
      </w:pPr>
      <w:rPr>
        <w:rFonts w:ascii="Symbol" w:hAnsi="Symbol" w:hint="default"/>
      </w:rPr>
    </w:lvl>
    <w:lvl w:ilvl="7" w:tplc="663EE25A" w:tentative="1">
      <w:start w:val="1"/>
      <w:numFmt w:val="bullet"/>
      <w:lvlText w:val="o"/>
      <w:lvlJc w:val="left"/>
      <w:pPr>
        <w:ind w:left="6840" w:hanging="360"/>
      </w:pPr>
      <w:rPr>
        <w:rFonts w:ascii="Courier New" w:hAnsi="Courier New" w:cs="Courier New" w:hint="default"/>
      </w:rPr>
    </w:lvl>
    <w:lvl w:ilvl="8" w:tplc="2DD24F62" w:tentative="1">
      <w:start w:val="1"/>
      <w:numFmt w:val="bullet"/>
      <w:lvlText w:val=""/>
      <w:lvlJc w:val="left"/>
      <w:pPr>
        <w:ind w:left="7560" w:hanging="360"/>
      </w:pPr>
      <w:rPr>
        <w:rFonts w:ascii="Wingdings" w:hAnsi="Wingdings" w:hint="default"/>
      </w:rPr>
    </w:lvl>
  </w:abstractNum>
  <w:abstractNum w:abstractNumId="12" w15:restartNumberingAfterBreak="0">
    <w:nsid w:val="16C66F44"/>
    <w:multiLevelType w:val="hybridMultilevel"/>
    <w:tmpl w:val="4ED4762C"/>
    <w:lvl w:ilvl="0" w:tplc="78E8CC60">
      <w:start w:val="1"/>
      <w:numFmt w:val="lowerRoman"/>
      <w:pStyle w:val="ListLegal5"/>
      <w:lvlText w:val="%1."/>
      <w:lvlJc w:val="right"/>
      <w:pPr>
        <w:ind w:left="2041" w:hanging="34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3" w15:restartNumberingAfterBreak="0">
    <w:nsid w:val="1CF519CE"/>
    <w:multiLevelType w:val="multilevel"/>
    <w:tmpl w:val="3AD8CB48"/>
    <w:lvl w:ilvl="0">
      <w:start w:val="1"/>
      <w:numFmt w:val="decimal"/>
      <w:pStyle w:val="Numbered1"/>
      <w:lvlText w:val="%1."/>
      <w:lvlJc w:val="left"/>
      <w:pPr>
        <w:ind w:left="360" w:hanging="360"/>
      </w:pPr>
    </w:lvl>
    <w:lvl w:ilvl="1">
      <w:start w:val="1"/>
      <w:numFmt w:val="decimal"/>
      <w:pStyle w:val="Numbered11"/>
      <w:lvlText w:val="%1.%2."/>
      <w:lvlJc w:val="left"/>
      <w:pPr>
        <w:ind w:left="792" w:hanging="432"/>
      </w:pPr>
    </w:lvl>
    <w:lvl w:ilvl="2">
      <w:start w:val="1"/>
      <w:numFmt w:val="decimal"/>
      <w:pStyle w:val="Numbered111"/>
      <w:lvlText w:val="%1.%2.%3."/>
      <w:lvlJc w:val="left"/>
      <w:pPr>
        <w:ind w:left="1224" w:hanging="504"/>
      </w:pPr>
    </w:lvl>
    <w:lvl w:ilvl="3">
      <w:start w:val="1"/>
      <w:numFmt w:val="decimal"/>
      <w:pStyle w:val="Numbered1111"/>
      <w:lvlText w:val="%1.%2.%3.%4."/>
      <w:lvlJc w:val="left"/>
      <w:pPr>
        <w:ind w:left="1728" w:hanging="648"/>
      </w:pPr>
    </w:lvl>
    <w:lvl w:ilvl="4">
      <w:start w:val="1"/>
      <w:numFmt w:val="decimal"/>
      <w:pStyle w:val="Numbered11111"/>
      <w:lvlText w:val="%1.%2.%3.%4.%5."/>
      <w:lvlJc w:val="left"/>
      <w:pPr>
        <w:ind w:left="2232" w:hanging="792"/>
      </w:pPr>
    </w:lvl>
    <w:lvl w:ilvl="5">
      <w:start w:val="1"/>
      <w:numFmt w:val="decimal"/>
      <w:pStyle w:val="Numbered111111"/>
      <w:lvlText w:val="%1.%2.%3.%4.%5.%6."/>
      <w:lvlJc w:val="left"/>
      <w:pPr>
        <w:ind w:left="2736" w:hanging="936"/>
      </w:pPr>
    </w:lvl>
    <w:lvl w:ilvl="6">
      <w:start w:val="1"/>
      <w:numFmt w:val="decimal"/>
      <w:pStyle w:val="Numbered1111111"/>
      <w:lvlText w:val="%1.%2.%3.%4.%5.%6.%7."/>
      <w:lvlJc w:val="left"/>
      <w:pPr>
        <w:ind w:left="3240" w:hanging="1080"/>
      </w:pPr>
    </w:lvl>
    <w:lvl w:ilvl="7">
      <w:start w:val="1"/>
      <w:numFmt w:val="decimal"/>
      <w:pStyle w:val="Numbered11111111"/>
      <w:lvlText w:val="%1.%2.%3.%4.%5.%6.%7.%8."/>
      <w:lvlJc w:val="left"/>
      <w:pPr>
        <w:ind w:left="3744" w:hanging="1224"/>
      </w:pPr>
    </w:lvl>
    <w:lvl w:ilvl="8">
      <w:start w:val="1"/>
      <w:numFmt w:val="decimal"/>
      <w:pStyle w:val="Numbered111111111"/>
      <w:lvlText w:val="%1.%2.%3.%4.%5.%6.%7.%8.%9."/>
      <w:lvlJc w:val="left"/>
      <w:pPr>
        <w:ind w:left="4320" w:hanging="1440"/>
      </w:pPr>
    </w:lvl>
  </w:abstractNum>
  <w:abstractNum w:abstractNumId="14" w15:restartNumberingAfterBreak="0">
    <w:nsid w:val="2B4242BD"/>
    <w:multiLevelType w:val="hybridMultilevel"/>
    <w:tmpl w:val="FEACC0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01E1EDE"/>
    <w:multiLevelType w:val="hybridMultilevel"/>
    <w:tmpl w:val="DC589BDE"/>
    <w:lvl w:ilvl="0" w:tplc="0C090011">
      <w:start w:val="1"/>
      <w:numFmt w:val="decimal"/>
      <w:lvlText w:val="%1)"/>
      <w:lvlJc w:val="left"/>
      <w:pPr>
        <w:ind w:left="1003" w:hanging="360"/>
      </w:pPr>
      <w:rPr>
        <w:rFonts w:hint="default"/>
      </w:rPr>
    </w:lvl>
    <w:lvl w:ilvl="1" w:tplc="0C090019" w:tentative="1">
      <w:start w:val="1"/>
      <w:numFmt w:val="bullet"/>
      <w:lvlText w:val="o"/>
      <w:lvlJc w:val="left"/>
      <w:pPr>
        <w:ind w:left="1723" w:hanging="360"/>
      </w:pPr>
      <w:rPr>
        <w:rFonts w:ascii="Courier New" w:hAnsi="Courier New" w:cs="Courier New" w:hint="default"/>
      </w:rPr>
    </w:lvl>
    <w:lvl w:ilvl="2" w:tplc="0C09001B" w:tentative="1">
      <w:start w:val="1"/>
      <w:numFmt w:val="bullet"/>
      <w:lvlText w:val=""/>
      <w:lvlJc w:val="left"/>
      <w:pPr>
        <w:ind w:left="2443" w:hanging="360"/>
      </w:pPr>
      <w:rPr>
        <w:rFonts w:ascii="Wingdings" w:hAnsi="Wingdings" w:hint="default"/>
      </w:rPr>
    </w:lvl>
    <w:lvl w:ilvl="3" w:tplc="0C09000F" w:tentative="1">
      <w:start w:val="1"/>
      <w:numFmt w:val="bullet"/>
      <w:lvlText w:val=""/>
      <w:lvlJc w:val="left"/>
      <w:pPr>
        <w:ind w:left="3163" w:hanging="360"/>
      </w:pPr>
      <w:rPr>
        <w:rFonts w:ascii="Symbol" w:hAnsi="Symbol" w:hint="default"/>
      </w:rPr>
    </w:lvl>
    <w:lvl w:ilvl="4" w:tplc="0C090019" w:tentative="1">
      <w:start w:val="1"/>
      <w:numFmt w:val="bullet"/>
      <w:lvlText w:val="o"/>
      <w:lvlJc w:val="left"/>
      <w:pPr>
        <w:ind w:left="3883" w:hanging="360"/>
      </w:pPr>
      <w:rPr>
        <w:rFonts w:ascii="Courier New" w:hAnsi="Courier New" w:cs="Courier New" w:hint="default"/>
      </w:rPr>
    </w:lvl>
    <w:lvl w:ilvl="5" w:tplc="0C09001B" w:tentative="1">
      <w:start w:val="1"/>
      <w:numFmt w:val="bullet"/>
      <w:lvlText w:val=""/>
      <w:lvlJc w:val="left"/>
      <w:pPr>
        <w:ind w:left="4603" w:hanging="360"/>
      </w:pPr>
      <w:rPr>
        <w:rFonts w:ascii="Wingdings" w:hAnsi="Wingdings" w:hint="default"/>
      </w:rPr>
    </w:lvl>
    <w:lvl w:ilvl="6" w:tplc="0C09000F" w:tentative="1">
      <w:start w:val="1"/>
      <w:numFmt w:val="bullet"/>
      <w:lvlText w:val=""/>
      <w:lvlJc w:val="left"/>
      <w:pPr>
        <w:ind w:left="5323" w:hanging="360"/>
      </w:pPr>
      <w:rPr>
        <w:rFonts w:ascii="Symbol" w:hAnsi="Symbol" w:hint="default"/>
      </w:rPr>
    </w:lvl>
    <w:lvl w:ilvl="7" w:tplc="0C090019" w:tentative="1">
      <w:start w:val="1"/>
      <w:numFmt w:val="bullet"/>
      <w:lvlText w:val="o"/>
      <w:lvlJc w:val="left"/>
      <w:pPr>
        <w:ind w:left="6043" w:hanging="360"/>
      </w:pPr>
      <w:rPr>
        <w:rFonts w:ascii="Courier New" w:hAnsi="Courier New" w:cs="Courier New" w:hint="default"/>
      </w:rPr>
    </w:lvl>
    <w:lvl w:ilvl="8" w:tplc="0C09001B" w:tentative="1">
      <w:start w:val="1"/>
      <w:numFmt w:val="bullet"/>
      <w:lvlText w:val=""/>
      <w:lvlJc w:val="left"/>
      <w:pPr>
        <w:ind w:left="6763" w:hanging="360"/>
      </w:pPr>
      <w:rPr>
        <w:rFonts w:ascii="Wingdings" w:hAnsi="Wingdings" w:hint="default"/>
      </w:rPr>
    </w:lvl>
  </w:abstractNum>
  <w:abstractNum w:abstractNumId="16" w15:restartNumberingAfterBreak="0">
    <w:nsid w:val="34B82394"/>
    <w:multiLevelType w:val="hybridMultilevel"/>
    <w:tmpl w:val="546ADF06"/>
    <w:lvl w:ilvl="0" w:tplc="403EE442">
      <w:start w:val="1"/>
      <w:numFmt w:val="lowerLetter"/>
      <w:pStyle w:val="Listalphabet3"/>
      <w:lvlText w:val="(%1)"/>
      <w:lvlJc w:val="lef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7" w15:restartNumberingAfterBreak="0">
    <w:nsid w:val="36AB0989"/>
    <w:multiLevelType w:val="hybridMultilevel"/>
    <w:tmpl w:val="4DF62DEA"/>
    <w:lvl w:ilvl="0" w:tplc="83689BEE">
      <w:start w:val="1"/>
      <w:numFmt w:val="lowerLetter"/>
      <w:pStyle w:val="Listalphabet2"/>
      <w:lvlText w:val="(%1)"/>
      <w:lvlJc w:val="left"/>
      <w:pPr>
        <w:ind w:left="680" w:hanging="34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18" w15:restartNumberingAfterBreak="0">
    <w:nsid w:val="3923347D"/>
    <w:multiLevelType w:val="hybridMultilevel"/>
    <w:tmpl w:val="D45C48E2"/>
    <w:lvl w:ilvl="0" w:tplc="D66A534E">
      <w:start w:val="1"/>
      <w:numFmt w:val="bullet"/>
      <w:pStyle w:val="List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161028"/>
    <w:multiLevelType w:val="multilevel"/>
    <w:tmpl w:val="F90607F2"/>
    <w:lvl w:ilvl="0">
      <w:start w:val="1"/>
      <w:numFmt w:val="bullet"/>
      <w:lvlText w:val=""/>
      <w:lvlJc w:val="left"/>
      <w:pPr>
        <w:ind w:left="360" w:hanging="360"/>
      </w:pPr>
      <w:rPr>
        <w:rFonts w:ascii="Symbol" w:hAnsi="Symbol" w:hint="default"/>
      </w:r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C2C16D3"/>
    <w:multiLevelType w:val="hybridMultilevel"/>
    <w:tmpl w:val="872C1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F07D5F"/>
    <w:multiLevelType w:val="hybridMultilevel"/>
    <w:tmpl w:val="D6DC675A"/>
    <w:lvl w:ilvl="0" w:tplc="6C6CF7F2">
      <w:start w:val="1"/>
      <w:numFmt w:val="lowerLetter"/>
      <w:pStyle w:val="Listalphabet4"/>
      <w:lvlText w:val="(%1)"/>
      <w:lvlJc w:val="left"/>
      <w:pPr>
        <w:ind w:left="1361" w:hanging="34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2" w15:restartNumberingAfterBreak="0">
    <w:nsid w:val="49E52C90"/>
    <w:multiLevelType w:val="hybridMultilevel"/>
    <w:tmpl w:val="CBAC43EA"/>
    <w:lvl w:ilvl="0" w:tplc="F8C681F8">
      <w:start w:val="1"/>
      <w:numFmt w:val="lowerRoman"/>
      <w:pStyle w:val="ListLegal"/>
      <w:lvlText w:val="%1."/>
      <w:lvlJc w:val="right"/>
      <w:pPr>
        <w:ind w:left="68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DA578C7"/>
    <w:multiLevelType w:val="hybridMultilevel"/>
    <w:tmpl w:val="6CE89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9474DF1"/>
    <w:multiLevelType w:val="multilevel"/>
    <w:tmpl w:val="5BC065FC"/>
    <w:lvl w:ilvl="0">
      <w:start w:val="1"/>
      <w:numFmt w:val="decimal"/>
      <w:pStyle w:val="LegalNumbering"/>
      <w:isLgl/>
      <w:lvlText w:val="%1)"/>
      <w:lvlJc w:val="left"/>
      <w:pPr>
        <w:ind w:left="340" w:hanging="340"/>
      </w:pPr>
      <w:rPr>
        <w:rFonts w:hint="default"/>
      </w:rPr>
    </w:lvl>
    <w:lvl w:ilvl="1">
      <w:start w:val="1"/>
      <w:numFmt w:val="lowerLetter"/>
      <w:lvlText w:val="%2) "/>
      <w:lvlJc w:val="left"/>
      <w:pPr>
        <w:ind w:left="680" w:hanging="340"/>
      </w:pPr>
      <w:rPr>
        <w:rFonts w:hint="default"/>
      </w:rPr>
    </w:lvl>
    <w:lvl w:ilvl="2">
      <w:start w:val="1"/>
      <w:numFmt w:val="lowerRoman"/>
      <w:lvlText w:val="%3)"/>
      <w:lvlJc w:val="left"/>
      <w:pPr>
        <w:tabs>
          <w:tab w:val="num" w:pos="1701"/>
        </w:tabs>
        <w:ind w:left="1021" w:hanging="341"/>
      </w:pPr>
      <w:rPr>
        <w:rFonts w:hint="default"/>
      </w:rPr>
    </w:lvl>
    <w:lvl w:ilvl="3">
      <w:start w:val="1"/>
      <w:numFmt w:val="decimal"/>
      <w:lvlText w:val="(%4) "/>
      <w:lvlJc w:val="left"/>
      <w:pPr>
        <w:tabs>
          <w:tab w:val="num" w:pos="1758"/>
        </w:tabs>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tabs>
          <w:tab w:val="num" w:pos="2608"/>
        </w:tabs>
        <w:ind w:left="2041" w:hanging="340"/>
      </w:pPr>
      <w:rPr>
        <w:rFonts w:hint="default"/>
      </w:rPr>
    </w:lvl>
    <w:lvl w:ilvl="6">
      <w:start w:val="1"/>
      <w:numFmt w:val="decimal"/>
      <w:lvlText w:val="%7."/>
      <w:lvlJc w:val="left"/>
      <w:pPr>
        <w:tabs>
          <w:tab w:val="num" w:pos="3175"/>
        </w:tabs>
        <w:ind w:left="2381" w:hanging="340"/>
      </w:pPr>
      <w:rPr>
        <w:rFonts w:hint="default"/>
      </w:rPr>
    </w:lvl>
    <w:lvl w:ilvl="7">
      <w:start w:val="1"/>
      <w:numFmt w:val="lowerLetter"/>
      <w:lvlText w:val="%8."/>
      <w:lvlJc w:val="left"/>
      <w:pPr>
        <w:tabs>
          <w:tab w:val="num" w:pos="3799"/>
        </w:tabs>
        <w:ind w:left="2722" w:hanging="341"/>
      </w:pPr>
      <w:rPr>
        <w:rFonts w:hint="default"/>
      </w:rPr>
    </w:lvl>
    <w:lvl w:ilvl="8">
      <w:start w:val="1"/>
      <w:numFmt w:val="lowerRoman"/>
      <w:lvlText w:val="%9."/>
      <w:lvlJc w:val="left"/>
      <w:pPr>
        <w:ind w:left="3062" w:hanging="340"/>
      </w:pPr>
      <w:rPr>
        <w:rFonts w:hint="default"/>
      </w:rPr>
    </w:lvl>
  </w:abstractNum>
  <w:abstractNum w:abstractNumId="25" w15:restartNumberingAfterBreak="0">
    <w:nsid w:val="61124A8F"/>
    <w:multiLevelType w:val="hybridMultilevel"/>
    <w:tmpl w:val="65447B5C"/>
    <w:lvl w:ilvl="0" w:tplc="F77037F0">
      <w:start w:val="1"/>
      <w:numFmt w:val="lowerLetter"/>
      <w:pStyle w:val="Listalphabet"/>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6DC52CE"/>
    <w:multiLevelType w:val="hybridMultilevel"/>
    <w:tmpl w:val="05ACFE50"/>
    <w:lvl w:ilvl="0" w:tplc="5CD829E8">
      <w:start w:val="1"/>
      <w:numFmt w:val="decimal"/>
      <w:pStyle w:val="Heading9"/>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726588A"/>
    <w:multiLevelType w:val="hybridMultilevel"/>
    <w:tmpl w:val="CC927964"/>
    <w:lvl w:ilvl="0" w:tplc="0C09000F">
      <w:start w:val="1"/>
      <w:numFmt w:val="bullet"/>
      <w:pStyle w:val="Bulletpoint2"/>
      <w:lvlText w:val="o"/>
      <w:lvlJc w:val="left"/>
      <w:pPr>
        <w:ind w:left="1003" w:hanging="360"/>
      </w:pPr>
      <w:rPr>
        <w:rFonts w:ascii="Courier New" w:hAnsi="Courier New" w:cs="Courier New" w:hint="default"/>
      </w:rPr>
    </w:lvl>
    <w:lvl w:ilvl="1" w:tplc="0C090019" w:tentative="1">
      <w:start w:val="1"/>
      <w:numFmt w:val="bullet"/>
      <w:lvlText w:val="o"/>
      <w:lvlJc w:val="left"/>
      <w:pPr>
        <w:ind w:left="1723" w:hanging="360"/>
      </w:pPr>
      <w:rPr>
        <w:rFonts w:ascii="Courier New" w:hAnsi="Courier New" w:cs="Courier New" w:hint="default"/>
      </w:rPr>
    </w:lvl>
    <w:lvl w:ilvl="2" w:tplc="0C09001B" w:tentative="1">
      <w:start w:val="1"/>
      <w:numFmt w:val="bullet"/>
      <w:lvlText w:val=""/>
      <w:lvlJc w:val="left"/>
      <w:pPr>
        <w:ind w:left="2443" w:hanging="360"/>
      </w:pPr>
      <w:rPr>
        <w:rFonts w:ascii="Wingdings" w:hAnsi="Wingdings" w:hint="default"/>
      </w:rPr>
    </w:lvl>
    <w:lvl w:ilvl="3" w:tplc="0C09000F" w:tentative="1">
      <w:start w:val="1"/>
      <w:numFmt w:val="bullet"/>
      <w:lvlText w:val=""/>
      <w:lvlJc w:val="left"/>
      <w:pPr>
        <w:ind w:left="3163" w:hanging="360"/>
      </w:pPr>
      <w:rPr>
        <w:rFonts w:ascii="Symbol" w:hAnsi="Symbol" w:hint="default"/>
      </w:rPr>
    </w:lvl>
    <w:lvl w:ilvl="4" w:tplc="0C090019" w:tentative="1">
      <w:start w:val="1"/>
      <w:numFmt w:val="bullet"/>
      <w:lvlText w:val="o"/>
      <w:lvlJc w:val="left"/>
      <w:pPr>
        <w:ind w:left="3883" w:hanging="360"/>
      </w:pPr>
      <w:rPr>
        <w:rFonts w:ascii="Courier New" w:hAnsi="Courier New" w:cs="Courier New" w:hint="default"/>
      </w:rPr>
    </w:lvl>
    <w:lvl w:ilvl="5" w:tplc="0C09001B" w:tentative="1">
      <w:start w:val="1"/>
      <w:numFmt w:val="bullet"/>
      <w:lvlText w:val=""/>
      <w:lvlJc w:val="left"/>
      <w:pPr>
        <w:ind w:left="4603" w:hanging="360"/>
      </w:pPr>
      <w:rPr>
        <w:rFonts w:ascii="Wingdings" w:hAnsi="Wingdings" w:hint="default"/>
      </w:rPr>
    </w:lvl>
    <w:lvl w:ilvl="6" w:tplc="0C09000F" w:tentative="1">
      <w:start w:val="1"/>
      <w:numFmt w:val="bullet"/>
      <w:lvlText w:val=""/>
      <w:lvlJc w:val="left"/>
      <w:pPr>
        <w:ind w:left="5323" w:hanging="360"/>
      </w:pPr>
      <w:rPr>
        <w:rFonts w:ascii="Symbol" w:hAnsi="Symbol" w:hint="default"/>
      </w:rPr>
    </w:lvl>
    <w:lvl w:ilvl="7" w:tplc="0C090019" w:tentative="1">
      <w:start w:val="1"/>
      <w:numFmt w:val="bullet"/>
      <w:lvlText w:val="o"/>
      <w:lvlJc w:val="left"/>
      <w:pPr>
        <w:ind w:left="6043" w:hanging="360"/>
      </w:pPr>
      <w:rPr>
        <w:rFonts w:ascii="Courier New" w:hAnsi="Courier New" w:cs="Courier New" w:hint="default"/>
      </w:rPr>
    </w:lvl>
    <w:lvl w:ilvl="8" w:tplc="0C09001B" w:tentative="1">
      <w:start w:val="1"/>
      <w:numFmt w:val="bullet"/>
      <w:lvlText w:val=""/>
      <w:lvlJc w:val="left"/>
      <w:pPr>
        <w:ind w:left="6763" w:hanging="360"/>
      </w:pPr>
      <w:rPr>
        <w:rFonts w:ascii="Wingdings" w:hAnsi="Wingdings" w:hint="default"/>
      </w:rPr>
    </w:lvl>
  </w:abstractNum>
  <w:abstractNum w:abstractNumId="28" w15:restartNumberingAfterBreak="0">
    <w:nsid w:val="71052EFE"/>
    <w:multiLevelType w:val="hybridMultilevel"/>
    <w:tmpl w:val="638C8810"/>
    <w:lvl w:ilvl="0" w:tplc="E1922DFC">
      <w:start w:val="1"/>
      <w:numFmt w:val="lowerRoman"/>
      <w:pStyle w:val="ListLegal3"/>
      <w:lvlText w:val="%1."/>
      <w:lvlJc w:val="right"/>
      <w:pPr>
        <w:ind w:left="1361" w:hanging="341"/>
      </w:pPr>
      <w:rPr>
        <w:rFonts w:hint="default"/>
      </w:rPr>
    </w:lvl>
    <w:lvl w:ilvl="1" w:tplc="0C090019">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29" w15:restartNumberingAfterBreak="0">
    <w:nsid w:val="73F84B72"/>
    <w:multiLevelType w:val="hybridMultilevel"/>
    <w:tmpl w:val="CDC0D9C4"/>
    <w:lvl w:ilvl="0" w:tplc="6C5C8C5A">
      <w:start w:val="1"/>
      <w:numFmt w:val="lowerLetter"/>
      <w:pStyle w:val="Listalphabet5"/>
      <w:lvlText w:val="(%1)"/>
      <w:lvlJc w:val="left"/>
      <w:pPr>
        <w:ind w:left="1701" w:hanging="341"/>
      </w:pPr>
      <w:rPr>
        <w:rFonts w:hint="default"/>
      </w:r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30" w15:restartNumberingAfterBreak="0">
    <w:nsid w:val="760C7082"/>
    <w:multiLevelType w:val="hybridMultilevel"/>
    <w:tmpl w:val="C9D6B284"/>
    <w:lvl w:ilvl="0" w:tplc="A9080AEA">
      <w:start w:val="1"/>
      <w:numFmt w:val="lowerRoman"/>
      <w:pStyle w:val="ListLegal4"/>
      <w:lvlText w:val="%1."/>
      <w:lvlJc w:val="right"/>
      <w:pPr>
        <w:ind w:left="1701" w:hanging="340"/>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31" w15:restartNumberingAfterBreak="0">
    <w:nsid w:val="7ACB7F6B"/>
    <w:multiLevelType w:val="hybridMultilevel"/>
    <w:tmpl w:val="0F2A3F9A"/>
    <w:lvl w:ilvl="0" w:tplc="1038B32C">
      <w:start w:val="1"/>
      <w:numFmt w:val="lowerRoman"/>
      <w:pStyle w:val="ListLegal2"/>
      <w:lvlText w:val="%1."/>
      <w:lvlJc w:val="righ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32" w15:restartNumberingAfterBreak="0">
    <w:nsid w:val="7E2819EC"/>
    <w:multiLevelType w:val="multilevel"/>
    <w:tmpl w:val="1250F310"/>
    <w:lvl w:ilvl="0">
      <w:start w:val="1"/>
      <w:numFmt w:val="bullet"/>
      <w:pStyle w:val="Bulletpoin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32"/>
  </w:num>
  <w:num w:numId="3">
    <w:abstractNumId w:val="7"/>
  </w:num>
  <w:num w:numId="4">
    <w:abstractNumId w:val="6"/>
  </w:num>
  <w:num w:numId="5">
    <w:abstractNumId w:val="5"/>
  </w:num>
  <w:num w:numId="6">
    <w:abstractNumId w:val="4"/>
  </w:num>
  <w:num w:numId="7">
    <w:abstractNumId w:val="1"/>
  </w:num>
  <w:num w:numId="8">
    <w:abstractNumId w:val="0"/>
  </w:num>
  <w:num w:numId="9">
    <w:abstractNumId w:val="27"/>
  </w:num>
  <w:num w:numId="10">
    <w:abstractNumId w:val="18"/>
  </w:num>
  <w:num w:numId="11">
    <w:abstractNumId w:val="10"/>
  </w:num>
  <w:num w:numId="12">
    <w:abstractNumId w:val="13"/>
  </w:num>
  <w:num w:numId="13">
    <w:abstractNumId w:val="17"/>
  </w:num>
  <w:num w:numId="14">
    <w:abstractNumId w:val="2"/>
  </w:num>
  <w:num w:numId="15">
    <w:abstractNumId w:val="28"/>
  </w:num>
  <w:num w:numId="16">
    <w:abstractNumId w:val="31"/>
  </w:num>
  <w:num w:numId="17">
    <w:abstractNumId w:val="30"/>
  </w:num>
  <w:num w:numId="18">
    <w:abstractNumId w:val="24"/>
  </w:num>
  <w:num w:numId="19">
    <w:abstractNumId w:val="16"/>
  </w:num>
  <w:num w:numId="20">
    <w:abstractNumId w:val="21"/>
  </w:num>
  <w:num w:numId="21">
    <w:abstractNumId w:val="29"/>
  </w:num>
  <w:num w:numId="22">
    <w:abstractNumId w:val="25"/>
  </w:num>
  <w:num w:numId="23">
    <w:abstractNumId w:val="8"/>
  </w:num>
  <w:num w:numId="24">
    <w:abstractNumId w:val="3"/>
  </w:num>
  <w:num w:numId="25">
    <w:abstractNumId w:val="22"/>
  </w:num>
  <w:num w:numId="26">
    <w:abstractNumId w:val="12"/>
  </w:num>
  <w:num w:numId="27">
    <w:abstractNumId w:val="26"/>
  </w:num>
  <w:num w:numId="28">
    <w:abstractNumId w:val="9"/>
  </w:num>
  <w:num w:numId="29">
    <w:abstractNumId w:val="23"/>
  </w:num>
  <w:num w:numId="30">
    <w:abstractNumId w:val="20"/>
  </w:num>
  <w:num w:numId="31">
    <w:abstractNumId w:val="14"/>
  </w:num>
  <w:num w:numId="32">
    <w:abstractNumId w:val="19"/>
  </w:num>
  <w:num w:numId="33">
    <w:abstractNumId w:val="15"/>
  </w:num>
  <w:num w:numId="34">
    <w:abstractNumId w:val="32"/>
  </w:num>
  <w:num w:numId="35">
    <w:abstractNumId w:val="32"/>
  </w:num>
  <w:num w:numId="36">
    <w:abstractNumId w:val="32"/>
  </w:num>
  <w:num w:numId="37">
    <w:abstractNumId w:val="32"/>
  </w:num>
  <w:num w:numId="38">
    <w:abstractNumId w:val="32"/>
  </w:num>
  <w:num w:numId="39">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34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name" w:val="H:\trimdata\TRIM\TEMP\HPTRIM.6816\D16 65147  CPS - SP - Hoverboards - Executive Minute 47 2016 - Recommending second extension to the interim ban on hoverboards.DOCX"/>
  </w:docVars>
  <w:rsids>
    <w:rsidRoot w:val="008E56E6"/>
    <w:rsid w:val="00002267"/>
    <w:rsid w:val="0002115F"/>
    <w:rsid w:val="00021202"/>
    <w:rsid w:val="000225C4"/>
    <w:rsid w:val="0003069D"/>
    <w:rsid w:val="0003578C"/>
    <w:rsid w:val="00052F7E"/>
    <w:rsid w:val="00063247"/>
    <w:rsid w:val="00070F9F"/>
    <w:rsid w:val="0007137B"/>
    <w:rsid w:val="00072473"/>
    <w:rsid w:val="00085663"/>
    <w:rsid w:val="00085EBF"/>
    <w:rsid w:val="000861DB"/>
    <w:rsid w:val="000D122C"/>
    <w:rsid w:val="000D3123"/>
    <w:rsid w:val="000E1819"/>
    <w:rsid w:val="000E19AA"/>
    <w:rsid w:val="000E6C72"/>
    <w:rsid w:val="000E7828"/>
    <w:rsid w:val="000F2368"/>
    <w:rsid w:val="00102C41"/>
    <w:rsid w:val="00112BB9"/>
    <w:rsid w:val="00116EB2"/>
    <w:rsid w:val="0012387C"/>
    <w:rsid w:val="00124609"/>
    <w:rsid w:val="00137208"/>
    <w:rsid w:val="00152E54"/>
    <w:rsid w:val="001546E7"/>
    <w:rsid w:val="0015695B"/>
    <w:rsid w:val="001573E4"/>
    <w:rsid w:val="00160756"/>
    <w:rsid w:val="001650E7"/>
    <w:rsid w:val="0017232E"/>
    <w:rsid w:val="00173327"/>
    <w:rsid w:val="00174102"/>
    <w:rsid w:val="00180157"/>
    <w:rsid w:val="00181223"/>
    <w:rsid w:val="00186F77"/>
    <w:rsid w:val="001926A4"/>
    <w:rsid w:val="001A3A19"/>
    <w:rsid w:val="001B246B"/>
    <w:rsid w:val="001B45A0"/>
    <w:rsid w:val="001B7258"/>
    <w:rsid w:val="001C18EE"/>
    <w:rsid w:val="001C600A"/>
    <w:rsid w:val="001D055E"/>
    <w:rsid w:val="001D7F1F"/>
    <w:rsid w:val="001E4062"/>
    <w:rsid w:val="001F2318"/>
    <w:rsid w:val="001F492E"/>
    <w:rsid w:val="001F6DA3"/>
    <w:rsid w:val="0021167F"/>
    <w:rsid w:val="00212737"/>
    <w:rsid w:val="00224DB9"/>
    <w:rsid w:val="00251745"/>
    <w:rsid w:val="00255E32"/>
    <w:rsid w:val="00257F48"/>
    <w:rsid w:val="00263AC0"/>
    <w:rsid w:val="002659EF"/>
    <w:rsid w:val="0026772D"/>
    <w:rsid w:val="00286874"/>
    <w:rsid w:val="00296B65"/>
    <w:rsid w:val="002A7DEF"/>
    <w:rsid w:val="002B5D7D"/>
    <w:rsid w:val="002C2FCD"/>
    <w:rsid w:val="002D395B"/>
    <w:rsid w:val="002E1346"/>
    <w:rsid w:val="002E40D4"/>
    <w:rsid w:val="002F49FD"/>
    <w:rsid w:val="002F7986"/>
    <w:rsid w:val="00303C4A"/>
    <w:rsid w:val="00307F6D"/>
    <w:rsid w:val="003177A2"/>
    <w:rsid w:val="003271B5"/>
    <w:rsid w:val="003301BA"/>
    <w:rsid w:val="00330CA0"/>
    <w:rsid w:val="00331264"/>
    <w:rsid w:val="00334C8D"/>
    <w:rsid w:val="00340655"/>
    <w:rsid w:val="003459E6"/>
    <w:rsid w:val="003518B3"/>
    <w:rsid w:val="00357A9C"/>
    <w:rsid w:val="00357ED3"/>
    <w:rsid w:val="00363D88"/>
    <w:rsid w:val="00371641"/>
    <w:rsid w:val="003749BE"/>
    <w:rsid w:val="003846F1"/>
    <w:rsid w:val="003961C6"/>
    <w:rsid w:val="00397134"/>
    <w:rsid w:val="003A673F"/>
    <w:rsid w:val="003B5A70"/>
    <w:rsid w:val="003C3FFF"/>
    <w:rsid w:val="003C649E"/>
    <w:rsid w:val="003E5A98"/>
    <w:rsid w:val="003F49DF"/>
    <w:rsid w:val="003F710C"/>
    <w:rsid w:val="00426BF3"/>
    <w:rsid w:val="00475DDE"/>
    <w:rsid w:val="00480B4B"/>
    <w:rsid w:val="004827DA"/>
    <w:rsid w:val="00485DC4"/>
    <w:rsid w:val="00490376"/>
    <w:rsid w:val="004B4412"/>
    <w:rsid w:val="004C348C"/>
    <w:rsid w:val="004D55BA"/>
    <w:rsid w:val="004F2398"/>
    <w:rsid w:val="004F2ADF"/>
    <w:rsid w:val="004F443B"/>
    <w:rsid w:val="005038DB"/>
    <w:rsid w:val="00503F99"/>
    <w:rsid w:val="00512CF7"/>
    <w:rsid w:val="0052379B"/>
    <w:rsid w:val="00530128"/>
    <w:rsid w:val="00532467"/>
    <w:rsid w:val="005369A2"/>
    <w:rsid w:val="005423AD"/>
    <w:rsid w:val="00542782"/>
    <w:rsid w:val="00547BA2"/>
    <w:rsid w:val="00547CCF"/>
    <w:rsid w:val="00560366"/>
    <w:rsid w:val="0056134E"/>
    <w:rsid w:val="00564080"/>
    <w:rsid w:val="00564A4D"/>
    <w:rsid w:val="00566E01"/>
    <w:rsid w:val="00571B35"/>
    <w:rsid w:val="00571C9F"/>
    <w:rsid w:val="00577A09"/>
    <w:rsid w:val="00580B78"/>
    <w:rsid w:val="0058274B"/>
    <w:rsid w:val="0058497C"/>
    <w:rsid w:val="00584D8F"/>
    <w:rsid w:val="00596D42"/>
    <w:rsid w:val="005A0191"/>
    <w:rsid w:val="005A327A"/>
    <w:rsid w:val="005A404D"/>
    <w:rsid w:val="005B1E3C"/>
    <w:rsid w:val="005C24AC"/>
    <w:rsid w:val="005C26CC"/>
    <w:rsid w:val="005E1473"/>
    <w:rsid w:val="005E6C0E"/>
    <w:rsid w:val="00607EB7"/>
    <w:rsid w:val="00611041"/>
    <w:rsid w:val="00615504"/>
    <w:rsid w:val="00615C6B"/>
    <w:rsid w:val="00621305"/>
    <w:rsid w:val="00632D6D"/>
    <w:rsid w:val="00642C3E"/>
    <w:rsid w:val="00646025"/>
    <w:rsid w:val="006532CD"/>
    <w:rsid w:val="00663DAD"/>
    <w:rsid w:val="00670463"/>
    <w:rsid w:val="00676679"/>
    <w:rsid w:val="006843A1"/>
    <w:rsid w:val="00690734"/>
    <w:rsid w:val="00691616"/>
    <w:rsid w:val="00694E1C"/>
    <w:rsid w:val="006A504C"/>
    <w:rsid w:val="006B4CF9"/>
    <w:rsid w:val="006B65ED"/>
    <w:rsid w:val="006B7AC8"/>
    <w:rsid w:val="006D088A"/>
    <w:rsid w:val="006D550F"/>
    <w:rsid w:val="006D77F3"/>
    <w:rsid w:val="006E63EA"/>
    <w:rsid w:val="00701CAB"/>
    <w:rsid w:val="00707563"/>
    <w:rsid w:val="0072348C"/>
    <w:rsid w:val="00724A37"/>
    <w:rsid w:val="007303C3"/>
    <w:rsid w:val="007329F5"/>
    <w:rsid w:val="00743223"/>
    <w:rsid w:val="00746E01"/>
    <w:rsid w:val="00757312"/>
    <w:rsid w:val="00763E5D"/>
    <w:rsid w:val="00767740"/>
    <w:rsid w:val="00775D9B"/>
    <w:rsid w:val="00777EE6"/>
    <w:rsid w:val="00782EEA"/>
    <w:rsid w:val="00793209"/>
    <w:rsid w:val="007A59BD"/>
    <w:rsid w:val="007B2C72"/>
    <w:rsid w:val="007C1C53"/>
    <w:rsid w:val="007C6DA7"/>
    <w:rsid w:val="007E26A9"/>
    <w:rsid w:val="007E4904"/>
    <w:rsid w:val="007E4CB5"/>
    <w:rsid w:val="007F066B"/>
    <w:rsid w:val="008033C4"/>
    <w:rsid w:val="00806C88"/>
    <w:rsid w:val="0081034E"/>
    <w:rsid w:val="008344F6"/>
    <w:rsid w:val="0083510F"/>
    <w:rsid w:val="0083563B"/>
    <w:rsid w:val="00851209"/>
    <w:rsid w:val="0088007E"/>
    <w:rsid w:val="008837AC"/>
    <w:rsid w:val="0088388F"/>
    <w:rsid w:val="008945B4"/>
    <w:rsid w:val="008A1174"/>
    <w:rsid w:val="008A587D"/>
    <w:rsid w:val="008C1C58"/>
    <w:rsid w:val="008C5486"/>
    <w:rsid w:val="008D3010"/>
    <w:rsid w:val="008E22E0"/>
    <w:rsid w:val="008E56E6"/>
    <w:rsid w:val="008E7031"/>
    <w:rsid w:val="008F144C"/>
    <w:rsid w:val="008F5C3B"/>
    <w:rsid w:val="00901E2D"/>
    <w:rsid w:val="00922C95"/>
    <w:rsid w:val="009233EE"/>
    <w:rsid w:val="009237F3"/>
    <w:rsid w:val="009268B5"/>
    <w:rsid w:val="00945ECA"/>
    <w:rsid w:val="009661DE"/>
    <w:rsid w:val="009856B7"/>
    <w:rsid w:val="0098602B"/>
    <w:rsid w:val="009873AB"/>
    <w:rsid w:val="00991B3B"/>
    <w:rsid w:val="0099554C"/>
    <w:rsid w:val="009962BA"/>
    <w:rsid w:val="009B74B0"/>
    <w:rsid w:val="009D3E71"/>
    <w:rsid w:val="009D4414"/>
    <w:rsid w:val="009D6B46"/>
    <w:rsid w:val="009D6C8B"/>
    <w:rsid w:val="009F4432"/>
    <w:rsid w:val="009F4940"/>
    <w:rsid w:val="00A15D05"/>
    <w:rsid w:val="00A1665B"/>
    <w:rsid w:val="00A26EDE"/>
    <w:rsid w:val="00A306F8"/>
    <w:rsid w:val="00A37269"/>
    <w:rsid w:val="00A4478A"/>
    <w:rsid w:val="00A44852"/>
    <w:rsid w:val="00A57D04"/>
    <w:rsid w:val="00A60A26"/>
    <w:rsid w:val="00A61598"/>
    <w:rsid w:val="00A74769"/>
    <w:rsid w:val="00A75CB8"/>
    <w:rsid w:val="00A84F46"/>
    <w:rsid w:val="00A871F4"/>
    <w:rsid w:val="00A92ECE"/>
    <w:rsid w:val="00AC1B2C"/>
    <w:rsid w:val="00AC3264"/>
    <w:rsid w:val="00AC5F2B"/>
    <w:rsid w:val="00AC6F01"/>
    <w:rsid w:val="00AD269D"/>
    <w:rsid w:val="00AE0FE2"/>
    <w:rsid w:val="00AE1BF1"/>
    <w:rsid w:val="00AE79AC"/>
    <w:rsid w:val="00AF0DD2"/>
    <w:rsid w:val="00B056C2"/>
    <w:rsid w:val="00B10314"/>
    <w:rsid w:val="00B13048"/>
    <w:rsid w:val="00B15998"/>
    <w:rsid w:val="00B1716D"/>
    <w:rsid w:val="00B179A7"/>
    <w:rsid w:val="00B17A1D"/>
    <w:rsid w:val="00B207A0"/>
    <w:rsid w:val="00B226F6"/>
    <w:rsid w:val="00B36B37"/>
    <w:rsid w:val="00B43664"/>
    <w:rsid w:val="00B527C6"/>
    <w:rsid w:val="00B56E03"/>
    <w:rsid w:val="00B60285"/>
    <w:rsid w:val="00B60F5D"/>
    <w:rsid w:val="00B67E91"/>
    <w:rsid w:val="00B7149B"/>
    <w:rsid w:val="00B8080B"/>
    <w:rsid w:val="00B87C39"/>
    <w:rsid w:val="00B95095"/>
    <w:rsid w:val="00BA4665"/>
    <w:rsid w:val="00BA5AA1"/>
    <w:rsid w:val="00BB2FB2"/>
    <w:rsid w:val="00BB3304"/>
    <w:rsid w:val="00BB6E6A"/>
    <w:rsid w:val="00BC5C2C"/>
    <w:rsid w:val="00BD3446"/>
    <w:rsid w:val="00BD733D"/>
    <w:rsid w:val="00BE1F1B"/>
    <w:rsid w:val="00BE47B5"/>
    <w:rsid w:val="00BE4C99"/>
    <w:rsid w:val="00BE66B9"/>
    <w:rsid w:val="00C014D0"/>
    <w:rsid w:val="00C058AB"/>
    <w:rsid w:val="00C06739"/>
    <w:rsid w:val="00C21D23"/>
    <w:rsid w:val="00C53006"/>
    <w:rsid w:val="00C538A9"/>
    <w:rsid w:val="00C53B5A"/>
    <w:rsid w:val="00C54F5A"/>
    <w:rsid w:val="00C73617"/>
    <w:rsid w:val="00C755AD"/>
    <w:rsid w:val="00C758E5"/>
    <w:rsid w:val="00C86679"/>
    <w:rsid w:val="00C94033"/>
    <w:rsid w:val="00CB3BD9"/>
    <w:rsid w:val="00CB666B"/>
    <w:rsid w:val="00CC3CB8"/>
    <w:rsid w:val="00CC3FB4"/>
    <w:rsid w:val="00CF799E"/>
    <w:rsid w:val="00CF7DF3"/>
    <w:rsid w:val="00D01CF0"/>
    <w:rsid w:val="00D0442A"/>
    <w:rsid w:val="00D159FD"/>
    <w:rsid w:val="00D203E1"/>
    <w:rsid w:val="00D22596"/>
    <w:rsid w:val="00D256FC"/>
    <w:rsid w:val="00D53FD1"/>
    <w:rsid w:val="00D544B8"/>
    <w:rsid w:val="00D61388"/>
    <w:rsid w:val="00D61A54"/>
    <w:rsid w:val="00D64DEA"/>
    <w:rsid w:val="00D80893"/>
    <w:rsid w:val="00D862FA"/>
    <w:rsid w:val="00D92CF1"/>
    <w:rsid w:val="00D92D38"/>
    <w:rsid w:val="00D950F5"/>
    <w:rsid w:val="00DA67D1"/>
    <w:rsid w:val="00DB0F93"/>
    <w:rsid w:val="00DC24B3"/>
    <w:rsid w:val="00DC542F"/>
    <w:rsid w:val="00DC7981"/>
    <w:rsid w:val="00DE3498"/>
    <w:rsid w:val="00DE4EFA"/>
    <w:rsid w:val="00DE5520"/>
    <w:rsid w:val="00E04818"/>
    <w:rsid w:val="00E06442"/>
    <w:rsid w:val="00E23993"/>
    <w:rsid w:val="00E25B8C"/>
    <w:rsid w:val="00E4674F"/>
    <w:rsid w:val="00E63E28"/>
    <w:rsid w:val="00E65C85"/>
    <w:rsid w:val="00E66199"/>
    <w:rsid w:val="00E755EC"/>
    <w:rsid w:val="00E7624D"/>
    <w:rsid w:val="00E829CB"/>
    <w:rsid w:val="00E92FCF"/>
    <w:rsid w:val="00EA3D42"/>
    <w:rsid w:val="00EA6B1B"/>
    <w:rsid w:val="00EB070F"/>
    <w:rsid w:val="00EC0979"/>
    <w:rsid w:val="00EC4CB9"/>
    <w:rsid w:val="00EC63FE"/>
    <w:rsid w:val="00ED0AEE"/>
    <w:rsid w:val="00EE28F3"/>
    <w:rsid w:val="00EF5110"/>
    <w:rsid w:val="00EF5CBD"/>
    <w:rsid w:val="00EF7028"/>
    <w:rsid w:val="00F15882"/>
    <w:rsid w:val="00F20BD3"/>
    <w:rsid w:val="00F25672"/>
    <w:rsid w:val="00F373A5"/>
    <w:rsid w:val="00F45320"/>
    <w:rsid w:val="00F47559"/>
    <w:rsid w:val="00F60BE4"/>
    <w:rsid w:val="00F61B84"/>
    <w:rsid w:val="00F64C7B"/>
    <w:rsid w:val="00F676DD"/>
    <w:rsid w:val="00F75A26"/>
    <w:rsid w:val="00F83ECB"/>
    <w:rsid w:val="00F83FAD"/>
    <w:rsid w:val="00F91DC6"/>
    <w:rsid w:val="00F952A0"/>
    <w:rsid w:val="00FA3C7F"/>
    <w:rsid w:val="00FB52D7"/>
    <w:rsid w:val="00FB72FD"/>
    <w:rsid w:val="00FB74E2"/>
    <w:rsid w:val="00FC01DF"/>
    <w:rsid w:val="00FD5614"/>
    <w:rsid w:val="00FD7163"/>
    <w:rsid w:val="00FE0BE1"/>
    <w:rsid w:val="00FE1DE9"/>
    <w:rsid w:val="00FE30ED"/>
    <w:rsid w:val="00FE39C2"/>
    <w:rsid w:val="00FE64AE"/>
    <w:rsid w:val="00FE69B0"/>
    <w:rsid w:val="00FF498D"/>
    <w:rsid w:val="00FF5B47"/>
    <w:rsid w:val="00FF6D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5C3A1"/>
  <w15:docId w15:val="{25B60618-BE6B-46DC-B8A2-0DA6048A5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0ED"/>
    <w:rPr>
      <w:rFonts w:ascii="Arial" w:hAnsi="Arial"/>
    </w:rPr>
  </w:style>
  <w:style w:type="paragraph" w:styleId="Heading1">
    <w:name w:val="heading 1"/>
    <w:basedOn w:val="Normal"/>
    <w:next w:val="Normal"/>
    <w:link w:val="Heading1Char"/>
    <w:qFormat/>
    <w:rsid w:val="009D6B46"/>
    <w:pPr>
      <w:spacing w:before="240"/>
      <w:outlineLvl w:val="0"/>
    </w:pPr>
    <w:rPr>
      <w:rFonts w:ascii="Lucida Fax" w:eastAsiaTheme="majorEastAsia" w:hAnsi="Lucida Fax" w:cstheme="majorBidi"/>
      <w:bCs/>
      <w:color w:val="51626F"/>
      <w:sz w:val="32"/>
      <w:szCs w:val="28"/>
    </w:rPr>
  </w:style>
  <w:style w:type="paragraph" w:styleId="Heading2">
    <w:name w:val="heading 2"/>
    <w:next w:val="Normal"/>
    <w:link w:val="Heading2Char"/>
    <w:qFormat/>
    <w:rsid w:val="009D6B46"/>
    <w:pPr>
      <w:spacing w:line="240" w:lineRule="atLeast"/>
      <w:outlineLvl w:val="1"/>
    </w:pPr>
    <w:rPr>
      <w:rFonts w:ascii="Arial" w:eastAsiaTheme="majorEastAsia" w:hAnsi="Arial" w:cstheme="majorBidi"/>
      <w:b/>
      <w:bCs/>
      <w:color w:val="51626F"/>
      <w:sz w:val="28"/>
      <w:szCs w:val="26"/>
    </w:rPr>
  </w:style>
  <w:style w:type="paragraph" w:styleId="Heading3">
    <w:name w:val="heading 3"/>
    <w:basedOn w:val="Normal"/>
    <w:next w:val="Normal"/>
    <w:link w:val="Heading3Char"/>
    <w:qFormat/>
    <w:rsid w:val="009D6B46"/>
    <w:pPr>
      <w:spacing w:before="240"/>
      <w:outlineLvl w:val="2"/>
    </w:pPr>
    <w:rPr>
      <w:rFonts w:eastAsiaTheme="majorEastAsia" w:cstheme="majorBidi"/>
      <w:b/>
      <w:bCs/>
      <w:color w:val="000000" w:themeColor="text1" w:themeShade="BF"/>
      <w:sz w:val="24"/>
    </w:rPr>
  </w:style>
  <w:style w:type="paragraph" w:styleId="Heading4">
    <w:name w:val="heading 4"/>
    <w:basedOn w:val="Normal"/>
    <w:next w:val="Normal"/>
    <w:link w:val="Heading4Char"/>
    <w:qFormat/>
    <w:rsid w:val="009D6B46"/>
    <w:pPr>
      <w:spacing w:before="240"/>
      <w:outlineLvl w:val="3"/>
    </w:pPr>
    <w:rPr>
      <w:rFonts w:eastAsiaTheme="majorEastAsia" w:cstheme="majorBidi"/>
      <w:b/>
      <w:bCs/>
      <w:i/>
      <w:iCs/>
      <w:color w:val="51626F"/>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283037"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51626F" w:themeColor="accent1"/>
      <w:szCs w:val="20"/>
    </w:rPr>
  </w:style>
  <w:style w:type="paragraph" w:styleId="Heading9">
    <w:name w:val="heading 9"/>
    <w:aliases w:val="Numbered Table"/>
    <w:basedOn w:val="Normal"/>
    <w:next w:val="Normal"/>
    <w:link w:val="Heading9Char"/>
    <w:uiPriority w:val="2"/>
    <w:qFormat/>
    <w:rsid w:val="00646025"/>
    <w:pPr>
      <w:numPr>
        <w:numId w:val="27"/>
      </w:numPr>
      <w:tabs>
        <w:tab w:val="left" w:pos="340"/>
      </w:tabs>
      <w:spacing w:before="240" w:after="120"/>
      <w:outlineLvl w:val="8"/>
    </w:pPr>
    <w:rPr>
      <w:rFonts w:eastAsiaTheme="majorEastAsia"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B46"/>
    <w:rPr>
      <w:rFonts w:ascii="Lucida Fax" w:eastAsiaTheme="majorEastAsia" w:hAnsi="Lucida Fax" w:cstheme="majorBidi"/>
      <w:bCs/>
      <w:color w:val="51626F"/>
      <w:sz w:val="32"/>
      <w:szCs w:val="28"/>
    </w:rPr>
  </w:style>
  <w:style w:type="character" w:customStyle="1" w:styleId="Heading2Char">
    <w:name w:val="Heading 2 Char"/>
    <w:basedOn w:val="DefaultParagraphFont"/>
    <w:link w:val="Heading2"/>
    <w:rsid w:val="009D6B46"/>
    <w:rPr>
      <w:rFonts w:ascii="Arial" w:eastAsiaTheme="majorEastAsia" w:hAnsi="Arial" w:cstheme="majorBidi"/>
      <w:b/>
      <w:bCs/>
      <w:color w:val="51626F"/>
      <w:sz w:val="28"/>
      <w:szCs w:val="26"/>
    </w:rPr>
  </w:style>
  <w:style w:type="character" w:customStyle="1" w:styleId="Heading3Char">
    <w:name w:val="Heading 3 Char"/>
    <w:basedOn w:val="DefaultParagraphFont"/>
    <w:link w:val="Heading3"/>
    <w:rsid w:val="009D6B46"/>
    <w:rPr>
      <w:rFonts w:ascii="Arial" w:eastAsiaTheme="majorEastAsia" w:hAnsi="Arial" w:cstheme="majorBidi"/>
      <w:b/>
      <w:bCs/>
      <w:color w:val="000000" w:themeColor="text1" w:themeShade="BF"/>
      <w:sz w:val="24"/>
    </w:rPr>
  </w:style>
  <w:style w:type="character" w:customStyle="1" w:styleId="Heading4Char">
    <w:name w:val="Heading 4 Char"/>
    <w:basedOn w:val="DefaultParagraphFont"/>
    <w:link w:val="Heading4"/>
    <w:rsid w:val="009D6B46"/>
    <w:rPr>
      <w:rFonts w:ascii="Arial" w:eastAsiaTheme="majorEastAsia" w:hAnsi="Arial" w:cstheme="majorBidi"/>
      <w:b/>
      <w:bCs/>
      <w:i/>
      <w:iCs/>
      <w:color w:val="51626F"/>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283037"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88007E"/>
    <w:pPr>
      <w:spacing w:before="520" w:after="120"/>
    </w:pPr>
    <w:rPr>
      <w:rFonts w:ascii="Lucida Fax" w:hAnsi="Lucida Fax"/>
      <w:color w:val="4F2D7F"/>
      <w:sz w:val="52"/>
      <w:szCs w:val="52"/>
    </w:rPr>
  </w:style>
  <w:style w:type="character" w:customStyle="1" w:styleId="ChaptertitleChar">
    <w:name w:val="Chapter title Char"/>
    <w:basedOn w:val="DefaultParagraphFont"/>
    <w:link w:val="Chaptertitle"/>
    <w:rsid w:val="0088007E"/>
    <w:rPr>
      <w:rFonts w:ascii="Lucida Fax" w:hAnsi="Lucida Fax"/>
      <w:color w:val="4F2D7F"/>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customStyle="1" w:styleId="Copyrighttext">
    <w:name w:val="Copyright text"/>
    <w:basedOn w:val="Normal"/>
    <w:link w:val="CopyrighttextChar"/>
    <w:uiPriority w:val="2"/>
    <w:qFormat/>
    <w:rsid w:val="00F952A0"/>
    <w:pPr>
      <w:spacing w:line="360" w:lineRule="auto"/>
      <w:contextualSpacing/>
    </w:pPr>
    <w:rPr>
      <w:color w:val="51626F" w:themeColor="accent1"/>
      <w:sz w:val="16"/>
      <w:szCs w:val="16"/>
    </w:rPr>
  </w:style>
  <w:style w:type="character" w:customStyle="1" w:styleId="CopyrighttextChar">
    <w:name w:val="Copyright text Char"/>
    <w:basedOn w:val="DefaultParagraphFont"/>
    <w:link w:val="Copyrighttext"/>
    <w:uiPriority w:val="2"/>
    <w:rsid w:val="00724A37"/>
    <w:rPr>
      <w:rFonts w:ascii="Arial" w:hAnsi="Arial"/>
      <w:color w:val="51626F" w:themeColor="accent1"/>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F61B84"/>
    <w:pPr>
      <w:numPr>
        <w:numId w:val="12"/>
      </w:numPr>
      <w:tabs>
        <w:tab w:val="left" w:pos="680"/>
      </w:tabs>
      <w:ind w:left="680" w:hanging="680"/>
    </w:pPr>
  </w:style>
  <w:style w:type="paragraph" w:customStyle="1" w:styleId="Numbered11">
    <w:name w:val="Numbered 1.1"/>
    <w:basedOn w:val="Heading2"/>
    <w:next w:val="Normal"/>
    <w:qFormat/>
    <w:rsid w:val="00F61B84"/>
    <w:pPr>
      <w:numPr>
        <w:ilvl w:val="1"/>
        <w:numId w:val="12"/>
      </w:numPr>
      <w:tabs>
        <w:tab w:val="left" w:pos="1021"/>
      </w:tabs>
      <w:ind w:left="1021" w:hanging="1021"/>
    </w:pPr>
    <w:rPr>
      <w:rFonts w:cs="Arial"/>
      <w:b w:val="0"/>
    </w:rPr>
  </w:style>
  <w:style w:type="paragraph" w:customStyle="1" w:styleId="Numbered111">
    <w:name w:val="Numbered 1.1.1"/>
    <w:basedOn w:val="Heading3"/>
    <w:next w:val="Normal"/>
    <w:qFormat/>
    <w:rsid w:val="00F61B84"/>
    <w:pPr>
      <w:numPr>
        <w:ilvl w:val="2"/>
        <w:numId w:val="12"/>
      </w:numPr>
      <w:tabs>
        <w:tab w:val="left" w:pos="1361"/>
      </w:tabs>
      <w:ind w:left="1361" w:hanging="1361"/>
      <w:contextualSpacing/>
    </w:pPr>
  </w:style>
  <w:style w:type="paragraph" w:customStyle="1" w:styleId="Numbered1111">
    <w:name w:val="Numbered 1.1.1.1"/>
    <w:basedOn w:val="Heading4"/>
    <w:next w:val="Normal"/>
    <w:rsid w:val="00F61B84"/>
    <w:pPr>
      <w:numPr>
        <w:ilvl w:val="3"/>
        <w:numId w:val="12"/>
      </w:numPr>
      <w:tabs>
        <w:tab w:val="left" w:pos="1361"/>
      </w:tabs>
      <w:ind w:left="1361" w:hanging="1361"/>
    </w:pPr>
  </w:style>
  <w:style w:type="paragraph" w:customStyle="1" w:styleId="Numbered11111">
    <w:name w:val="Numbered 1.1.1.1.1"/>
    <w:basedOn w:val="Heading5"/>
    <w:next w:val="Normal"/>
    <w:uiPriority w:val="2"/>
    <w:rsid w:val="00F61B84"/>
    <w:pPr>
      <w:numPr>
        <w:ilvl w:val="4"/>
        <w:numId w:val="12"/>
      </w:numPr>
      <w:tabs>
        <w:tab w:val="left" w:pos="1701"/>
      </w:tabs>
      <w:ind w:left="1701" w:hanging="1701"/>
    </w:pPr>
  </w:style>
  <w:style w:type="paragraph" w:customStyle="1" w:styleId="Numbered111111">
    <w:name w:val="Numbered 1.1.1.1.1.1"/>
    <w:basedOn w:val="Heading6"/>
    <w:next w:val="Normal"/>
    <w:uiPriority w:val="2"/>
    <w:rsid w:val="00F61B84"/>
    <w:pPr>
      <w:numPr>
        <w:ilvl w:val="5"/>
        <w:numId w:val="12"/>
      </w:numPr>
      <w:tabs>
        <w:tab w:val="left" w:pos="1701"/>
      </w:tabs>
      <w:ind w:left="1701" w:hanging="1701"/>
    </w:pPr>
  </w:style>
  <w:style w:type="paragraph" w:styleId="Header">
    <w:name w:val="header"/>
    <w:basedOn w:val="Normal"/>
    <w:link w:val="HeaderChar"/>
    <w:uiPriority w:val="99"/>
    <w:unhideWhenUsed/>
    <w:qFormat/>
    <w:rsid w:val="008344F6"/>
    <w:pPr>
      <w:tabs>
        <w:tab w:val="center" w:pos="4513"/>
        <w:tab w:val="right" w:pos="9026"/>
      </w:tabs>
      <w:spacing w:after="120"/>
    </w:pPr>
    <w:rPr>
      <w:color w:val="51626F" w:themeColor="accent1"/>
      <w:sz w:val="18"/>
    </w:rPr>
  </w:style>
  <w:style w:type="character" w:customStyle="1" w:styleId="HeaderChar">
    <w:name w:val="Header Char"/>
    <w:basedOn w:val="DefaultParagraphFont"/>
    <w:link w:val="Header"/>
    <w:uiPriority w:val="99"/>
    <w:rsid w:val="008344F6"/>
    <w:rPr>
      <w:rFonts w:ascii="Arial" w:hAnsi="Arial"/>
      <w:color w:val="51626F" w:themeColor="accent1"/>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pPr>
      <w:spacing w:before="0"/>
    </w:pPr>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EA3D42"/>
    <w:pPr>
      <w:spacing w:after="120"/>
      <w:contextualSpacing/>
    </w:pPr>
    <w:rPr>
      <w:rFonts w:ascii="Lucida Fax" w:hAnsi="Lucida Fax"/>
      <w:b/>
      <w:color w:val="DC5034"/>
      <w:sz w:val="24"/>
      <w:szCs w:val="24"/>
    </w:rPr>
  </w:style>
  <w:style w:type="character" w:customStyle="1" w:styleId="PullquoteheadingChar">
    <w:name w:val="Pull quote heading Char"/>
    <w:basedOn w:val="DefaultParagraphFont"/>
    <w:link w:val="Pullquoteheading"/>
    <w:uiPriority w:val="1"/>
    <w:rsid w:val="00AE1BF1"/>
    <w:rPr>
      <w:rFonts w:ascii="Lucida Fax" w:hAnsi="Lucida Fax"/>
      <w:b/>
      <w:color w:val="DC5034"/>
      <w:sz w:val="24"/>
      <w:szCs w:val="24"/>
    </w:rPr>
  </w:style>
  <w:style w:type="paragraph" w:customStyle="1" w:styleId="Pullquotetext">
    <w:name w:val="Pull quote text"/>
    <w:link w:val="PullquotetextChar"/>
    <w:uiPriority w:val="1"/>
    <w:rsid w:val="00AF0DD2"/>
    <w:pPr>
      <w:spacing w:before="120"/>
    </w:pPr>
    <w:rPr>
      <w:rFonts w:ascii="Lucida Fax" w:hAnsi="Lucida Fax"/>
      <w:color w:val="DC5034"/>
      <w:szCs w:val="24"/>
    </w:rPr>
  </w:style>
  <w:style w:type="character" w:customStyle="1" w:styleId="PullquotetextChar">
    <w:name w:val="Pull quote text Char"/>
    <w:basedOn w:val="PullquoteheadingChar"/>
    <w:link w:val="Pullquotetext"/>
    <w:uiPriority w:val="1"/>
    <w:rsid w:val="00AE1BF1"/>
    <w:rPr>
      <w:rFonts w:ascii="Lucida Fax" w:hAnsi="Lucida Fax"/>
      <w:b w:val="0"/>
      <w:color w:val="DC5034"/>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B8080B"/>
  </w:style>
  <w:style w:type="character" w:customStyle="1" w:styleId="FootnotesChar">
    <w:name w:val="Footnotes Char"/>
    <w:basedOn w:val="DefaultParagraphFont"/>
    <w:link w:val="Footnotes"/>
    <w:uiPriority w:val="4"/>
    <w:semiHidden/>
    <w:rsid w:val="00FE39C2"/>
    <w:rPr>
      <w:rFonts w:ascii="Arial" w:hAnsi="Arial"/>
      <w:sz w:val="20"/>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2"/>
      </w:numPr>
    </w:pPr>
    <w:rPr>
      <w:rFonts w:cs="Times New Roman"/>
    </w:rPr>
  </w:style>
  <w:style w:type="paragraph" w:styleId="ListBullet">
    <w:name w:val="List Bullet"/>
    <w:basedOn w:val="Normal"/>
    <w:uiPriority w:val="99"/>
    <w:rsid w:val="00DC542F"/>
    <w:pPr>
      <w:numPr>
        <w:numId w:val="10"/>
      </w:numPr>
      <w:tabs>
        <w:tab w:val="left" w:pos="340"/>
      </w:tabs>
      <w:spacing w:before="120"/>
      <w:ind w:left="340" w:hanging="340"/>
    </w:pPr>
  </w:style>
  <w:style w:type="paragraph" w:customStyle="1" w:styleId="Bulletpoint2">
    <w:name w:val="Bullet point 2"/>
    <w:basedOn w:val="ListBullet2"/>
    <w:uiPriority w:val="1"/>
    <w:qFormat/>
    <w:rsid w:val="00E4674F"/>
    <w:pPr>
      <w:numPr>
        <w:numId w:val="9"/>
      </w:numPr>
      <w:tabs>
        <w:tab w:val="left" w:pos="680"/>
      </w:tabs>
      <w:ind w:left="680" w:hanging="340"/>
    </w:pPr>
  </w:style>
  <w:style w:type="paragraph" w:styleId="ListNumber">
    <w:name w:val="List Number"/>
    <w:basedOn w:val="Normal"/>
    <w:uiPriority w:val="99"/>
    <w:rsid w:val="000F2368"/>
    <w:pPr>
      <w:numPr>
        <w:numId w:val="23"/>
      </w:numPr>
      <w:spacing w:before="120"/>
    </w:pPr>
    <w:rPr>
      <w:color w:val="000000" w:themeColor="text1" w:themeShade="BF"/>
    </w:rPr>
  </w:style>
  <w:style w:type="paragraph" w:styleId="ListBullet2">
    <w:name w:val="List Bullet 2"/>
    <w:basedOn w:val="Normal"/>
    <w:uiPriority w:val="99"/>
    <w:rsid w:val="00DC542F"/>
    <w:pPr>
      <w:numPr>
        <w:numId w:val="3"/>
      </w:numPr>
      <w:tabs>
        <w:tab w:val="clear" w:pos="643"/>
        <w:tab w:val="num" w:pos="680"/>
      </w:tabs>
      <w:spacing w:before="120"/>
      <w:ind w:left="680" w:hanging="340"/>
    </w:pPr>
  </w:style>
  <w:style w:type="paragraph" w:styleId="TOCHeading">
    <w:name w:val="TOC Heading"/>
    <w:basedOn w:val="Normal"/>
    <w:next w:val="Normal"/>
    <w:uiPriority w:val="39"/>
    <w:qFormat/>
    <w:rsid w:val="00E04818"/>
    <w:pPr>
      <w:spacing w:before="480" w:after="120" w:line="276" w:lineRule="auto"/>
    </w:pPr>
    <w:rPr>
      <w:rFonts w:ascii="Lucida Fax" w:eastAsiaTheme="majorEastAsia" w:hAnsi="Lucida Fax" w:cstheme="majorBidi"/>
      <w:bCs/>
      <w:color w:val="51626F"/>
      <w:sz w:val="32"/>
      <w:szCs w:val="28"/>
      <w:lang w:val="en-US" w:eastAsia="ja-JP"/>
    </w:rPr>
  </w:style>
  <w:style w:type="paragraph" w:styleId="ListNumber2">
    <w:name w:val="List Number 2"/>
    <w:next w:val="Normal"/>
    <w:uiPriority w:val="99"/>
    <w:rsid w:val="00BE4C99"/>
    <w:pPr>
      <w:numPr>
        <w:numId w:val="24"/>
      </w:numPr>
      <w:tabs>
        <w:tab w:val="left" w:pos="680"/>
      </w:tabs>
      <w:spacing w:before="120"/>
    </w:pPr>
    <w:rPr>
      <w:rFonts w:ascii="Arial" w:hAnsi="Arial"/>
    </w:r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A57D04"/>
    <w:pPr>
      <w:tabs>
        <w:tab w:val="center" w:pos="4513"/>
        <w:tab w:val="right" w:pos="9026"/>
      </w:tabs>
      <w:spacing w:after="120"/>
    </w:pPr>
    <w:rPr>
      <w:color w:val="51626F" w:themeColor="accent1"/>
      <w:sz w:val="18"/>
    </w:rPr>
  </w:style>
  <w:style w:type="character" w:customStyle="1" w:styleId="FooterChar">
    <w:name w:val="Footer Char"/>
    <w:basedOn w:val="DefaultParagraphFont"/>
    <w:link w:val="Footer"/>
    <w:uiPriority w:val="99"/>
    <w:rsid w:val="00A57D04"/>
    <w:rPr>
      <w:rFonts w:ascii="Arial" w:hAnsi="Arial"/>
      <w:color w:val="51626F" w:themeColor="accent1"/>
      <w:sz w:val="18"/>
    </w:rPr>
  </w:style>
  <w:style w:type="paragraph" w:styleId="ListParagraph">
    <w:name w:val="List Paragraph"/>
    <w:basedOn w:val="Normal"/>
    <w:uiPriority w:val="34"/>
    <w:qFormat/>
    <w:rsid w:val="00F61B84"/>
    <w:pPr>
      <w:numPr>
        <w:numId w:val="11"/>
      </w:numPr>
      <w:tabs>
        <w:tab w:val="left" w:pos="340"/>
      </w:tabs>
      <w:spacing w:before="120"/>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51626F" w:themeColor="accent1"/>
      <w:szCs w:val="20"/>
    </w:rPr>
  </w:style>
  <w:style w:type="character" w:customStyle="1" w:styleId="Heading9Char">
    <w:name w:val="Heading 9 Char"/>
    <w:aliases w:val="Numbered Table Char"/>
    <w:basedOn w:val="DefaultParagraphFont"/>
    <w:link w:val="Heading9"/>
    <w:uiPriority w:val="2"/>
    <w:rsid w:val="00646025"/>
    <w:rPr>
      <w:rFonts w:ascii="Arial" w:eastAsiaTheme="majorEastAsia" w:hAnsi="Arial" w:cstheme="majorBidi"/>
      <w:b/>
      <w:iCs/>
      <w:color w:val="000000" w:themeColor="text1"/>
      <w:sz w:val="24"/>
      <w:szCs w:val="20"/>
    </w:rPr>
  </w:style>
  <w:style w:type="paragraph" w:customStyle="1" w:styleId="Numbered1111111">
    <w:name w:val="Numbered 1.1.1.1.1.1.1"/>
    <w:basedOn w:val="Heading7"/>
    <w:next w:val="Normal"/>
    <w:uiPriority w:val="2"/>
    <w:rsid w:val="00F61B84"/>
    <w:pPr>
      <w:numPr>
        <w:ilvl w:val="6"/>
        <w:numId w:val="12"/>
      </w:numPr>
      <w:tabs>
        <w:tab w:val="left" w:pos="2041"/>
      </w:tabs>
      <w:ind w:left="2041" w:hanging="2041"/>
    </w:pPr>
  </w:style>
  <w:style w:type="paragraph" w:customStyle="1" w:styleId="Numbered11111111">
    <w:name w:val="Numbered 1.1.1.1.1.1.1.1"/>
    <w:basedOn w:val="Heading8"/>
    <w:next w:val="Normal"/>
    <w:uiPriority w:val="2"/>
    <w:rsid w:val="00F61B84"/>
    <w:pPr>
      <w:numPr>
        <w:ilvl w:val="7"/>
        <w:numId w:val="12"/>
      </w:numPr>
      <w:tabs>
        <w:tab w:val="left" w:pos="2041"/>
      </w:tabs>
      <w:ind w:left="2041" w:hanging="2041"/>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3C4953" w:themeColor="accent1" w:themeShade="BF"/>
    </w:rPr>
    <w:tblPr>
      <w:tblStyleRowBandSize w:val="1"/>
      <w:tblStyleColBandSize w:val="1"/>
      <w:tblBorders>
        <w:top w:val="single" w:sz="8" w:space="0" w:color="51626F" w:themeColor="accent1"/>
        <w:bottom w:val="single" w:sz="8" w:space="0" w:color="51626F" w:themeColor="accent1"/>
      </w:tblBorders>
    </w:tblPr>
    <w:tblStylePr w:type="fir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la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DD" w:themeFill="accent1" w:themeFillTint="3F"/>
      </w:tcPr>
    </w:tblStylePr>
    <w:tblStylePr w:type="band1Horz">
      <w:tblPr/>
      <w:tcPr>
        <w:tcBorders>
          <w:left w:val="nil"/>
          <w:right w:val="nil"/>
          <w:insideH w:val="nil"/>
          <w:insideV w:val="nil"/>
        </w:tcBorders>
        <w:shd w:val="clear" w:color="auto" w:fill="D1D8DD"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blBorders>
    </w:tblPr>
    <w:tcPr>
      <w:vAlign w:val="center"/>
    </w:tcPr>
    <w:tblStylePr w:type="fir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l2br w:val="nil"/>
          <w:tr2bl w:val="nil"/>
        </w:tcBorders>
      </w:tcPr>
    </w:tblStylePr>
    <w:tblStylePr w:type="la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007192" w:themeColor="accent3" w:themeShade="BF"/>
    </w:rPr>
    <w:tblPr>
      <w:tblStyleRowBandSize w:val="1"/>
      <w:tblStyleColBandSize w:val="1"/>
      <w:tblBorders>
        <w:top w:val="single" w:sz="8" w:space="0" w:color="0098C3" w:themeColor="accent3"/>
        <w:bottom w:val="single" w:sz="8" w:space="0" w:color="0098C3" w:themeColor="accent3"/>
      </w:tblBorders>
    </w:tblPr>
    <w:tblStylePr w:type="fir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la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DFF" w:themeFill="accent3" w:themeFillTint="3F"/>
      </w:tcPr>
    </w:tblStylePr>
    <w:tblStylePr w:type="band1Horz">
      <w:tblPr/>
      <w:tcPr>
        <w:tcBorders>
          <w:left w:val="nil"/>
          <w:right w:val="nil"/>
          <w:insideH w:val="nil"/>
          <w:insideV w:val="nil"/>
        </w:tcBorders>
        <w:shd w:val="clear" w:color="auto" w:fill="B1EDFF"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insideH w:val="single" w:sz="8" w:space="0" w:color="DC5034" w:themeColor="accent6"/>
        <w:insideV w:val="single" w:sz="8" w:space="0" w:color="DC503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18" w:space="0" w:color="DC5034" w:themeColor="accent6"/>
          <w:right w:val="single" w:sz="8" w:space="0" w:color="DC5034" w:themeColor="accent6"/>
          <w:insideH w:val="nil"/>
          <w:insideV w:val="single" w:sz="8" w:space="0" w:color="DC503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insideH w:val="nil"/>
          <w:insideV w:val="single" w:sz="8" w:space="0" w:color="DC503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shd w:val="clear" w:color="auto" w:fill="F6D3CC" w:themeFill="accent6" w:themeFillTint="3F"/>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shd w:val="clear" w:color="auto" w:fill="F6D3CC" w:themeFill="accent6" w:themeFillTint="3F"/>
      </w:tcPr>
    </w:tblStylePr>
    <w:tblStylePr w:type="band2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single" w:sz="8" w:space="0" w:color="758A9A" w:themeColor="accent1" w:themeTint="BF"/>
      </w:tblBorders>
    </w:tblPr>
    <w:tblStylePr w:type="firstRow">
      <w:pPr>
        <w:spacing w:before="0" w:after="0" w:line="240" w:lineRule="auto"/>
      </w:pPr>
      <w:rPr>
        <w:b/>
        <w:bCs/>
        <w:color w:val="FFFFFF" w:themeColor="background1"/>
      </w:rPr>
      <w:tblPr/>
      <w:tcPr>
        <w:tc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shd w:val="clear" w:color="auto" w:fill="51626F" w:themeFill="accent1"/>
      </w:tcPr>
    </w:tblStylePr>
    <w:tblStylePr w:type="lastRow">
      <w:pPr>
        <w:spacing w:before="0" w:after="0" w:line="240" w:lineRule="auto"/>
      </w:pPr>
      <w:rPr>
        <w:b/>
        <w:bCs/>
      </w:rPr>
      <w:tblPr/>
      <w:tcPr>
        <w:tcBorders>
          <w:top w:val="double" w:sz="6"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DD" w:themeFill="accent1" w:themeFillTint="3F"/>
      </w:tcPr>
    </w:tblStylePr>
    <w:tblStylePr w:type="band1Horz">
      <w:tblPr/>
      <w:tcPr>
        <w:tcBorders>
          <w:insideH w:val="nil"/>
          <w:insideV w:val="nil"/>
        </w:tcBorders>
        <w:shd w:val="clear" w:color="auto" w:fill="D1D8D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single" w:sz="8" w:space="0" w:color="7643BB" w:themeColor="accent2" w:themeTint="BF"/>
      </w:tblBorders>
    </w:tblPr>
    <w:tblStylePr w:type="firstRow">
      <w:pPr>
        <w:spacing w:before="0" w:after="0" w:line="240" w:lineRule="auto"/>
      </w:pPr>
      <w:rPr>
        <w:b/>
        <w:bCs/>
        <w:color w:val="FFFFFF" w:themeColor="background1"/>
      </w:rPr>
      <w:tblPr/>
      <w:tcPr>
        <w:tc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shd w:val="clear" w:color="auto" w:fill="4F2D7D" w:themeFill="accent2"/>
      </w:tcPr>
    </w:tblStylePr>
    <w:tblStylePr w:type="lastRow">
      <w:pPr>
        <w:spacing w:before="0" w:after="0" w:line="240" w:lineRule="auto"/>
      </w:pPr>
      <w:rPr>
        <w:b/>
        <w:bCs/>
      </w:rPr>
      <w:tblPr/>
      <w:tcPr>
        <w:tcBorders>
          <w:top w:val="double" w:sz="6"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1C1E8" w:themeFill="accent2" w:themeFillTint="3F"/>
      </w:tcPr>
    </w:tblStylePr>
    <w:tblStylePr w:type="band1Horz">
      <w:tblPr/>
      <w:tcPr>
        <w:tcBorders>
          <w:insideH w:val="nil"/>
          <w:insideV w:val="nil"/>
        </w:tcBorders>
        <w:shd w:val="clear" w:color="auto" w:fill="D1C1E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single" w:sz="8" w:space="0" w:color="13CAFF" w:themeColor="accent3" w:themeTint="BF"/>
      </w:tblBorders>
    </w:tblPr>
    <w:tblStylePr w:type="firstRow">
      <w:pPr>
        <w:spacing w:before="0" w:after="0" w:line="240" w:lineRule="auto"/>
      </w:pPr>
      <w:rPr>
        <w:b/>
        <w:bCs/>
        <w:color w:val="FFFFFF" w:themeColor="background1"/>
      </w:rPr>
      <w:tblPr/>
      <w:tcPr>
        <w:tc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shd w:val="clear" w:color="auto" w:fill="0098C3" w:themeFill="accent3"/>
      </w:tcPr>
    </w:tblStylePr>
    <w:tblStylePr w:type="lastRow">
      <w:pPr>
        <w:spacing w:before="0" w:after="0" w:line="240" w:lineRule="auto"/>
      </w:pPr>
      <w:rPr>
        <w:b/>
        <w:bCs/>
      </w:rPr>
      <w:tblPr/>
      <w:tcPr>
        <w:tcBorders>
          <w:top w:val="double" w:sz="6"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1EDFF" w:themeFill="accent3" w:themeFillTint="3F"/>
      </w:tcPr>
    </w:tblStylePr>
    <w:tblStylePr w:type="band1Horz">
      <w:tblPr/>
      <w:tcPr>
        <w:tcBorders>
          <w:insideH w:val="nil"/>
          <w:insideV w:val="nil"/>
        </w:tcBorders>
        <w:shd w:val="clear" w:color="auto" w:fill="B1E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single" w:sz="8" w:space="0" w:color="B7DAF0" w:themeColor="accent4" w:themeTint="BF"/>
      </w:tblBorders>
    </w:tblPr>
    <w:tblStylePr w:type="firstRow">
      <w:pPr>
        <w:spacing w:before="0" w:after="0" w:line="240" w:lineRule="auto"/>
      </w:pPr>
      <w:rPr>
        <w:b/>
        <w:bCs/>
        <w:color w:val="FFFFFF" w:themeColor="background1"/>
      </w:rPr>
      <w:tblPr/>
      <w:tcPr>
        <w:tc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shd w:val="clear" w:color="auto" w:fill="A0CFEB" w:themeFill="accent4"/>
      </w:tcPr>
    </w:tblStylePr>
    <w:tblStylePr w:type="lastRow">
      <w:pPr>
        <w:spacing w:before="0" w:after="0" w:line="240" w:lineRule="auto"/>
      </w:pPr>
      <w:rPr>
        <w:b/>
        <w:bCs/>
      </w:rPr>
      <w:tblPr/>
      <w:tcPr>
        <w:tcBorders>
          <w:top w:val="double" w:sz="6"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F3FA" w:themeFill="accent4" w:themeFillTint="3F"/>
      </w:tcPr>
    </w:tblStylePr>
    <w:tblStylePr w:type="band1Horz">
      <w:tblPr/>
      <w:tcPr>
        <w:tcBorders>
          <w:insideH w:val="nil"/>
          <w:insideV w:val="nil"/>
        </w:tcBorders>
        <w:shd w:val="clear" w:color="auto" w:fill="E7F3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single" w:sz="8" w:space="0" w:color="FC220E" w:themeColor="accent5" w:themeTint="BF"/>
      </w:tblBorders>
    </w:tblPr>
    <w:tblStylePr w:type="firstRow">
      <w:pPr>
        <w:spacing w:before="0" w:after="0" w:line="240" w:lineRule="auto"/>
      </w:pPr>
      <w:rPr>
        <w:b/>
        <w:bCs/>
        <w:color w:val="FFFFFF" w:themeColor="background1"/>
      </w:rPr>
      <w:tblPr/>
      <w:tcPr>
        <w:tc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shd w:val="clear" w:color="auto" w:fill="B71202" w:themeFill="accent5"/>
      </w:tcPr>
    </w:tblStylePr>
    <w:tblStylePr w:type="lastRow">
      <w:pPr>
        <w:spacing w:before="0" w:after="0" w:line="240" w:lineRule="auto"/>
      </w:pPr>
      <w:rPr>
        <w:b/>
        <w:bCs/>
      </w:rPr>
      <w:tblPr/>
      <w:tcPr>
        <w:tcBorders>
          <w:top w:val="double" w:sz="6"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B6AF" w:themeFill="accent5" w:themeFillTint="3F"/>
      </w:tcPr>
    </w:tblStylePr>
    <w:tblStylePr w:type="band1Horz">
      <w:tblPr/>
      <w:tcPr>
        <w:tcBorders>
          <w:insideH w:val="nil"/>
          <w:insideV w:val="nil"/>
        </w:tcBorders>
        <w:shd w:val="clear" w:color="auto" w:fill="FEB6AF"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880D01" w:themeColor="accent5" w:themeShade="BF"/>
    </w:rPr>
    <w:tblPr>
      <w:tblStyleRowBandSize w:val="1"/>
      <w:tblStyleColBandSize w:val="1"/>
      <w:tblBorders>
        <w:top w:val="single" w:sz="8" w:space="0" w:color="B71202" w:themeColor="accent5"/>
        <w:bottom w:val="single" w:sz="8" w:space="0" w:color="B71202" w:themeColor="accent5"/>
      </w:tblBorders>
    </w:tblPr>
    <w:tblStylePr w:type="fir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la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6AF" w:themeFill="accent5" w:themeFillTint="3F"/>
      </w:tcPr>
    </w:tblStylePr>
    <w:tblStylePr w:type="band1Horz">
      <w:tblPr/>
      <w:tcPr>
        <w:tcBorders>
          <w:left w:val="nil"/>
          <w:right w:val="nil"/>
          <w:insideH w:val="nil"/>
          <w:insideV w:val="nil"/>
        </w:tcBorders>
        <w:shd w:val="clear" w:color="auto" w:fill="FEB6AF"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insideH w:val="single" w:sz="8" w:space="0" w:color="0098C3" w:themeColor="accent3"/>
        <w:insideV w:val="single" w:sz="8" w:space="0" w:color="0098C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18" w:space="0" w:color="0098C3" w:themeColor="accent3"/>
          <w:right w:val="single" w:sz="8" w:space="0" w:color="0098C3" w:themeColor="accent3"/>
          <w:insideH w:val="nil"/>
          <w:insideV w:val="single" w:sz="8" w:space="0" w:color="0098C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insideH w:val="nil"/>
          <w:insideV w:val="single" w:sz="8" w:space="0" w:color="0098C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shd w:val="clear" w:color="auto" w:fill="B1EDFF" w:themeFill="accent3" w:themeFillTint="3F"/>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shd w:val="clear" w:color="auto" w:fill="B1EDFF" w:themeFill="accent3" w:themeFillTint="3F"/>
      </w:tcPr>
    </w:tblStylePr>
    <w:tblStylePr w:type="band2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174102"/>
    <w:pPr>
      <w:spacing w:before="720" w:after="120"/>
      <w:contextualSpacing/>
      <w:outlineLvl w:val="0"/>
    </w:pPr>
    <w:rPr>
      <w:rFonts w:asciiTheme="majorHAnsi" w:eastAsiaTheme="majorEastAsia" w:hAnsiTheme="majorHAnsi" w:cstheme="majorBidi"/>
      <w:color w:val="4F2D7D" w:themeColor="accent2"/>
      <w:spacing w:val="5"/>
      <w:kern w:val="28"/>
      <w:sz w:val="72"/>
      <w:szCs w:val="52"/>
    </w:rPr>
  </w:style>
  <w:style w:type="character" w:customStyle="1" w:styleId="TitleChar">
    <w:name w:val="Title Char"/>
    <w:basedOn w:val="DefaultParagraphFont"/>
    <w:link w:val="Title"/>
    <w:uiPriority w:val="10"/>
    <w:rsid w:val="00174102"/>
    <w:rPr>
      <w:rFonts w:asciiTheme="majorHAnsi" w:eastAsiaTheme="majorEastAsia" w:hAnsiTheme="majorHAnsi" w:cstheme="majorBidi"/>
      <w:color w:val="4F2D7D" w:themeColor="accent2"/>
      <w:spacing w:val="5"/>
      <w:kern w:val="28"/>
      <w:sz w:val="72"/>
      <w:szCs w:val="52"/>
    </w:rPr>
  </w:style>
  <w:style w:type="paragraph" w:customStyle="1" w:styleId="CoverDate">
    <w:name w:val="Cover Date"/>
    <w:rsid w:val="00E4674F"/>
    <w:rPr>
      <w:rFonts w:ascii="Lucida Fax" w:hAnsi="Lucida Fax"/>
      <w:color w:val="DC5034"/>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tblBorders>
    </w:tblPr>
    <w:tblStylePr w:type="firstRow">
      <w:pPr>
        <w:spacing w:before="0" w:after="0" w:line="240" w:lineRule="auto"/>
      </w:pPr>
      <w:rPr>
        <w:b/>
        <w:bCs/>
        <w:color w:val="FFFFFF" w:themeColor="background1"/>
      </w:rPr>
      <w:tblPr/>
      <w:tcPr>
        <w:shd w:val="clear" w:color="auto" w:fill="51626F" w:themeFill="accent1"/>
      </w:tcPr>
    </w:tblStylePr>
    <w:tblStylePr w:type="lastRow">
      <w:pPr>
        <w:spacing w:before="0" w:after="0" w:line="240" w:lineRule="auto"/>
      </w:pPr>
      <w:rPr>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tcBorders>
      </w:tcPr>
    </w:tblStylePr>
    <w:tblStylePr w:type="firstCol">
      <w:rPr>
        <w:b/>
        <w:bCs/>
      </w:rPr>
    </w:tblStylePr>
    <w:tblStylePr w:type="lastCol">
      <w:rPr>
        <w:b/>
        <w:bCs/>
      </w:r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tblBorders>
    </w:tblPr>
    <w:tblStylePr w:type="firstRow">
      <w:pPr>
        <w:spacing w:before="0" w:after="0" w:line="240" w:lineRule="auto"/>
      </w:pPr>
      <w:rPr>
        <w:b/>
        <w:bCs/>
        <w:color w:val="FFFFFF" w:themeColor="background1"/>
      </w:rPr>
      <w:tblPr/>
      <w:tcPr>
        <w:shd w:val="clear" w:color="auto" w:fill="0098C3" w:themeFill="accent3"/>
      </w:tcPr>
    </w:tblStylePr>
    <w:tblStylePr w:type="lastRow">
      <w:pPr>
        <w:spacing w:before="0" w:after="0" w:line="240" w:lineRule="auto"/>
      </w:pPr>
      <w:rPr>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tcBorders>
      </w:tcPr>
    </w:tblStylePr>
    <w:tblStylePr w:type="firstCol">
      <w:rPr>
        <w:b/>
        <w:bCs/>
      </w:rPr>
    </w:tblStylePr>
    <w:tblStylePr w:type="lastCol">
      <w:rPr>
        <w:b/>
        <w:bCs/>
      </w:r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tblBorders>
    </w:tblPr>
    <w:tblStylePr w:type="firstRow">
      <w:pPr>
        <w:spacing w:before="0" w:after="0" w:line="240" w:lineRule="auto"/>
      </w:pPr>
      <w:rPr>
        <w:b/>
        <w:bCs/>
        <w:color w:val="auto"/>
      </w:rPr>
      <w:tblPr/>
      <w:tcPr>
        <w:shd w:val="clear" w:color="auto" w:fill="B71202" w:themeFill="accent5"/>
      </w:tcPr>
    </w:tblStylePr>
    <w:tblStylePr w:type="lastRow">
      <w:pPr>
        <w:spacing w:before="0" w:after="0" w:line="240" w:lineRule="auto"/>
      </w:pPr>
      <w:rPr>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tcBorders>
      </w:tcPr>
    </w:tblStylePr>
    <w:tblStylePr w:type="firstCol">
      <w:rPr>
        <w:b/>
        <w:bCs/>
      </w:rPr>
    </w:tblStylePr>
    <w:tblStylePr w:type="lastCol">
      <w:rPr>
        <w:b/>
        <w:bCs/>
      </w:r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uiPriority w:val="2"/>
    <w:rsid w:val="003A673F"/>
    <w:pPr>
      <w:tabs>
        <w:tab w:val="left" w:pos="340"/>
      </w:tabs>
      <w:spacing w:before="60"/>
      <w:ind w:left="340" w:hanging="340"/>
    </w:pPr>
    <w:rPr>
      <w:sz w:val="16"/>
      <w:szCs w:val="20"/>
    </w:rPr>
  </w:style>
  <w:style w:type="character" w:customStyle="1" w:styleId="FootnoteTextChar">
    <w:name w:val="Footnote Text Char"/>
    <w:basedOn w:val="DefaultParagraphFont"/>
    <w:link w:val="FootnoteText"/>
    <w:uiPriority w:val="2"/>
    <w:rsid w:val="003A673F"/>
    <w:rPr>
      <w:rFonts w:ascii="Arial" w:hAnsi="Arial"/>
      <w:sz w:val="16"/>
      <w:szCs w:val="20"/>
    </w:rPr>
  </w:style>
  <w:style w:type="character" w:styleId="FootnoteReference">
    <w:name w:val="footnote reference"/>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8344F6"/>
    <w:pPr>
      <w:spacing w:before="360" w:after="120"/>
    </w:pPr>
    <w:rPr>
      <w:rFonts w:ascii="Lucida Fax" w:hAnsi="Lucida Fax"/>
      <w:color w:val="4F2D7F"/>
      <w:sz w:val="52"/>
      <w:szCs w:val="52"/>
    </w:rPr>
  </w:style>
  <w:style w:type="character" w:customStyle="1" w:styleId="SubtitleChar">
    <w:name w:val="Subtitle Char"/>
    <w:basedOn w:val="DefaultParagraphFont"/>
    <w:link w:val="Subtitle"/>
    <w:uiPriority w:val="11"/>
    <w:rsid w:val="008344F6"/>
    <w:rPr>
      <w:rFonts w:ascii="Lucida Fax" w:hAnsi="Lucida Fax"/>
      <w:color w:val="4F2D7F"/>
      <w:sz w:val="52"/>
      <w:szCs w:val="52"/>
    </w:rPr>
  </w:style>
  <w:style w:type="table" w:styleId="LightShading-Accent4">
    <w:name w:val="Light Shading Accent 4"/>
    <w:basedOn w:val="TableNormal"/>
    <w:uiPriority w:val="60"/>
    <w:rsid w:val="00746E01"/>
    <w:pPr>
      <w:spacing w:before="0"/>
    </w:pPr>
    <w:rPr>
      <w:color w:val="4DA5D9" w:themeColor="accent4" w:themeShade="BF"/>
    </w:rPr>
    <w:tblPr>
      <w:tblStyleRowBandSize w:val="1"/>
      <w:tblStyleColBandSize w:val="1"/>
      <w:tblBorders>
        <w:top w:val="single" w:sz="8" w:space="0" w:color="A0CFEB" w:themeColor="accent4"/>
        <w:bottom w:val="single" w:sz="8" w:space="0" w:color="A0CFEB" w:themeColor="accent4"/>
      </w:tblBorders>
    </w:tblPr>
    <w:tblStylePr w:type="fir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la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3FA" w:themeFill="accent4" w:themeFillTint="3F"/>
      </w:tcPr>
    </w:tblStylePr>
    <w:tblStylePr w:type="band1Horz">
      <w:tblPr/>
      <w:tcPr>
        <w:tcBorders>
          <w:left w:val="nil"/>
          <w:right w:val="nil"/>
          <w:insideH w:val="nil"/>
          <w:insideV w:val="nil"/>
        </w:tcBorders>
        <w:shd w:val="clear" w:color="auto" w:fill="E7F3FA" w:themeFill="accent4" w:themeFillTint="3F"/>
      </w:tcPr>
    </w:tblStylePr>
  </w:style>
  <w:style w:type="table" w:styleId="LightShading-Accent6">
    <w:name w:val="Light Shading Accent 6"/>
    <w:basedOn w:val="TableNormal"/>
    <w:uiPriority w:val="60"/>
    <w:rsid w:val="00746E01"/>
    <w:pPr>
      <w:spacing w:before="0"/>
    </w:pPr>
    <w:rPr>
      <w:color w:val="AD351E" w:themeColor="accent6" w:themeShade="BF"/>
    </w:rPr>
    <w:tblPr>
      <w:tblStyleRowBandSize w:val="1"/>
      <w:tblStyleColBandSize w:val="1"/>
      <w:tblBorders>
        <w:top w:val="single" w:sz="8" w:space="0" w:color="DC5034" w:themeColor="accent6"/>
        <w:bottom w:val="single" w:sz="8" w:space="0" w:color="DC5034" w:themeColor="accent6"/>
      </w:tblBorders>
    </w:tblPr>
    <w:tblStylePr w:type="fir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la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3CC" w:themeFill="accent6" w:themeFillTint="3F"/>
      </w:tcPr>
    </w:tblStylePr>
    <w:tblStylePr w:type="band1Horz">
      <w:tblPr/>
      <w:tcPr>
        <w:tcBorders>
          <w:left w:val="nil"/>
          <w:right w:val="nil"/>
          <w:insideH w:val="nil"/>
          <w:insideV w:val="nil"/>
        </w:tcBorders>
        <w:shd w:val="clear" w:color="auto" w:fill="F6D3CC"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tblBorders>
    </w:tblPr>
    <w:tblStylePr w:type="firstRow">
      <w:pPr>
        <w:spacing w:before="0" w:after="0" w:line="240" w:lineRule="auto"/>
      </w:pPr>
      <w:rPr>
        <w:b/>
        <w:bCs/>
        <w:color w:val="FFFFFF" w:themeColor="background1"/>
      </w:rPr>
      <w:tblPr/>
      <w:tcPr>
        <w:shd w:val="clear" w:color="auto" w:fill="4F2D7D" w:themeFill="accent2"/>
      </w:tcPr>
    </w:tblStylePr>
    <w:tblStylePr w:type="lastRow">
      <w:pPr>
        <w:spacing w:before="0" w:after="0" w:line="240" w:lineRule="auto"/>
      </w:pPr>
      <w:rPr>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tcBorders>
      </w:tcPr>
    </w:tblStylePr>
    <w:tblStylePr w:type="firstCol">
      <w:rPr>
        <w:b/>
        <w:bCs/>
      </w:rPr>
    </w:tblStylePr>
    <w:tblStylePr w:type="lastCol">
      <w:rPr>
        <w:b/>
        <w:bCs/>
      </w:r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tblBorders>
    </w:tblPr>
    <w:tblStylePr w:type="firstRow">
      <w:pPr>
        <w:spacing w:before="0" w:after="0" w:line="240" w:lineRule="auto"/>
      </w:pPr>
      <w:rPr>
        <w:b/>
        <w:bCs/>
        <w:color w:val="FFFFFF" w:themeColor="background1"/>
      </w:rPr>
      <w:tblPr/>
      <w:tcPr>
        <w:shd w:val="clear" w:color="auto" w:fill="A0CFEB" w:themeFill="accent4"/>
      </w:tcPr>
    </w:tblStylePr>
    <w:tblStylePr w:type="lastRow">
      <w:pPr>
        <w:spacing w:before="0" w:after="0" w:line="240" w:lineRule="auto"/>
      </w:pPr>
      <w:rPr>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tcBorders>
      </w:tcPr>
    </w:tblStylePr>
    <w:tblStylePr w:type="firstCol">
      <w:rPr>
        <w:b/>
        <w:bCs/>
      </w:rPr>
    </w:tblStylePr>
    <w:tblStylePr w:type="lastCol">
      <w:rPr>
        <w:b/>
        <w:bCs/>
      </w:r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tblBorders>
    </w:tblPr>
    <w:tblStylePr w:type="firstRow">
      <w:pPr>
        <w:spacing w:before="0" w:after="0" w:line="240" w:lineRule="auto"/>
      </w:pPr>
      <w:rPr>
        <w:b/>
        <w:bCs/>
        <w:color w:val="FFFFFF" w:themeColor="background1"/>
      </w:rPr>
      <w:tblPr/>
      <w:tcPr>
        <w:shd w:val="clear" w:color="auto" w:fill="DC5034" w:themeFill="accent6"/>
      </w:tcPr>
    </w:tblStylePr>
    <w:tblStylePr w:type="lastRow">
      <w:pPr>
        <w:spacing w:before="0" w:after="0" w:line="240" w:lineRule="auto"/>
      </w:pPr>
      <w:rPr>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tcBorders>
      </w:tcPr>
    </w:tblStylePr>
    <w:tblStylePr w:type="firstCol">
      <w:rPr>
        <w:b/>
        <w:bCs/>
      </w:rPr>
    </w:tblStylePr>
    <w:tblStylePr w:type="lastCol">
      <w:rPr>
        <w:b/>
        <w:bCs/>
      </w:r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insideH w:val="single" w:sz="8" w:space="0" w:color="51626F" w:themeColor="accent1"/>
        <w:insideV w:val="single" w:sz="8" w:space="0" w:color="51626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18" w:space="0" w:color="51626F" w:themeColor="accent1"/>
          <w:right w:val="single" w:sz="8" w:space="0" w:color="51626F" w:themeColor="accent1"/>
          <w:insideH w:val="nil"/>
          <w:insideV w:val="single" w:sz="8" w:space="0" w:color="51626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insideH w:val="nil"/>
          <w:insideV w:val="single" w:sz="8" w:space="0" w:color="51626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shd w:val="clear" w:color="auto" w:fill="D1D8DD" w:themeFill="accent1" w:themeFillTint="3F"/>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shd w:val="clear" w:color="auto" w:fill="D1D8DD" w:themeFill="accent1" w:themeFillTint="3F"/>
      </w:tcPr>
    </w:tblStylePr>
    <w:tblStylePr w:type="band2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insideH w:val="single" w:sz="8" w:space="0" w:color="4F2D7D" w:themeColor="accent2"/>
        <w:insideV w:val="single" w:sz="8" w:space="0" w:color="4F2D7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18" w:space="0" w:color="4F2D7D" w:themeColor="accent2"/>
          <w:right w:val="single" w:sz="8" w:space="0" w:color="4F2D7D" w:themeColor="accent2"/>
          <w:insideH w:val="nil"/>
          <w:insideV w:val="single" w:sz="8" w:space="0" w:color="4F2D7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insideH w:val="nil"/>
          <w:insideV w:val="single" w:sz="8" w:space="0" w:color="4F2D7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shd w:val="clear" w:color="auto" w:fill="D1C1E8" w:themeFill="accent2" w:themeFillTint="3F"/>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shd w:val="clear" w:color="auto" w:fill="D1C1E8" w:themeFill="accent2" w:themeFillTint="3F"/>
      </w:tcPr>
    </w:tblStylePr>
    <w:tblStylePr w:type="band2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insideH w:val="single" w:sz="8" w:space="0" w:color="A0CFEB" w:themeColor="accent4"/>
        <w:insideV w:val="single" w:sz="8" w:space="0" w:color="A0CFE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18" w:space="0" w:color="A0CFEB" w:themeColor="accent4"/>
          <w:right w:val="single" w:sz="8" w:space="0" w:color="A0CFEB" w:themeColor="accent4"/>
          <w:insideH w:val="nil"/>
          <w:insideV w:val="single" w:sz="8" w:space="0" w:color="A0CFE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insideH w:val="nil"/>
          <w:insideV w:val="single" w:sz="8" w:space="0" w:color="A0CFE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shd w:val="clear" w:color="auto" w:fill="E7F3FA" w:themeFill="accent4" w:themeFillTint="3F"/>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shd w:val="clear" w:color="auto" w:fill="E7F3FA" w:themeFill="accent4" w:themeFillTint="3F"/>
      </w:tcPr>
    </w:tblStylePr>
    <w:tblStylePr w:type="band2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insideH w:val="single" w:sz="8" w:space="0" w:color="B71202" w:themeColor="accent5"/>
        <w:insideV w:val="single" w:sz="8" w:space="0" w:color="B712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18" w:space="0" w:color="B71202" w:themeColor="accent5"/>
          <w:right w:val="single" w:sz="8" w:space="0" w:color="B71202" w:themeColor="accent5"/>
          <w:insideH w:val="nil"/>
          <w:insideV w:val="single" w:sz="8" w:space="0" w:color="B712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insideH w:val="nil"/>
          <w:insideV w:val="single" w:sz="8" w:space="0" w:color="B712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shd w:val="clear" w:color="auto" w:fill="FEB6AF" w:themeFill="accent5" w:themeFillTint="3F"/>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shd w:val="clear" w:color="auto" w:fill="FEB6AF" w:themeFill="accent5" w:themeFillTint="3F"/>
      </w:tcPr>
    </w:tblStylePr>
    <w:tblStylePr w:type="band2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before="0" w:after="200"/>
      <w:jc w:val="right"/>
    </w:pPr>
    <w:rPr>
      <w:rFonts w:asciiTheme="minorHAnsi" w:hAnsiTheme="minorHAnsi" w:cs="Times New Roman"/>
      <w:szCs w:val="20"/>
      <w:lang w:val="en-US" w:eastAsia="ja-JP"/>
    </w:rPr>
  </w:style>
  <w:style w:type="paragraph" w:customStyle="1" w:styleId="Numbered111111111">
    <w:name w:val="Numbered 1.1.1.1.1.1.1.1.1"/>
    <w:basedOn w:val="Heading9"/>
    <w:next w:val="Normal"/>
    <w:uiPriority w:val="2"/>
    <w:rsid w:val="00B60F5D"/>
    <w:pPr>
      <w:numPr>
        <w:ilvl w:val="8"/>
        <w:numId w:val="12"/>
      </w:numPr>
      <w:tabs>
        <w:tab w:val="left" w:pos="2381"/>
      </w:tabs>
      <w:ind w:left="2381" w:hanging="2381"/>
    </w:p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4"/>
      </w:numPr>
      <w:tabs>
        <w:tab w:val="clear" w:pos="926"/>
        <w:tab w:val="num" w:pos="1021"/>
      </w:tabs>
      <w:spacing w:before="120"/>
      <w:ind w:left="1020" w:hanging="340"/>
    </w:pPr>
  </w:style>
  <w:style w:type="paragraph" w:styleId="ListBullet4">
    <w:name w:val="List Bullet 4"/>
    <w:basedOn w:val="Normal"/>
    <w:uiPriority w:val="99"/>
    <w:rsid w:val="00547CCF"/>
    <w:pPr>
      <w:numPr>
        <w:numId w:val="5"/>
      </w:numPr>
      <w:tabs>
        <w:tab w:val="clear" w:pos="1209"/>
        <w:tab w:val="num" w:pos="1361"/>
      </w:tabs>
      <w:spacing w:before="120"/>
      <w:ind w:left="1361" w:hanging="340"/>
    </w:pPr>
  </w:style>
  <w:style w:type="paragraph" w:styleId="ListBullet5">
    <w:name w:val="List Bullet 5"/>
    <w:basedOn w:val="Normal"/>
    <w:uiPriority w:val="99"/>
    <w:rsid w:val="00547CCF"/>
    <w:pPr>
      <w:numPr>
        <w:numId w:val="6"/>
      </w:numPr>
      <w:tabs>
        <w:tab w:val="clear" w:pos="1492"/>
        <w:tab w:val="num" w:pos="1701"/>
      </w:tabs>
      <w:spacing w:before="120"/>
      <w:ind w:left="1701" w:hanging="340"/>
    </w:p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4"/>
      </w:numPr>
      <w:tabs>
        <w:tab w:val="left" w:pos="1021"/>
      </w:tabs>
      <w:spacing w:before="120"/>
    </w:pPr>
  </w:style>
  <w:style w:type="paragraph" w:styleId="ListNumber4">
    <w:name w:val="List Number 4"/>
    <w:basedOn w:val="Normal"/>
    <w:uiPriority w:val="99"/>
    <w:rsid w:val="00BE4C99"/>
    <w:pPr>
      <w:numPr>
        <w:numId w:val="7"/>
      </w:numPr>
      <w:tabs>
        <w:tab w:val="left" w:pos="1701"/>
      </w:tabs>
      <w:spacing w:before="120"/>
    </w:pPr>
  </w:style>
  <w:style w:type="paragraph" w:styleId="ListNumber5">
    <w:name w:val="List Number 5"/>
    <w:basedOn w:val="Normal"/>
    <w:uiPriority w:val="99"/>
    <w:rsid w:val="00BE4C99"/>
    <w:pPr>
      <w:numPr>
        <w:numId w:val="8"/>
      </w:numPr>
      <w:spacing w:before="120"/>
    </w:pPr>
  </w:style>
  <w:style w:type="paragraph" w:customStyle="1" w:styleId="TableHeading">
    <w:name w:val="Table Heading"/>
    <w:basedOn w:val="Tabletext"/>
    <w:link w:val="TableHeadingChar"/>
    <w:qFormat/>
    <w:rsid w:val="00584D8F"/>
    <w:pPr>
      <w:spacing w:before="60"/>
    </w:pPr>
    <w:rPr>
      <w:b/>
      <w:sz w:val="22"/>
    </w:r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TableHeading"/>
    <w:link w:val="TableHeading-rightChar"/>
    <w:rsid w:val="00584D8F"/>
    <w:pPr>
      <w:jc w:val="right"/>
    </w:pPr>
    <w:rPr>
      <w:rFonts w:eastAsia="Times New Roman" w:cs="Times New Roman"/>
      <w:bCs/>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Char">
    <w:name w:val="Table Heading Char"/>
    <w:basedOn w:val="TabletextChar"/>
    <w:link w:val="TableHeading"/>
    <w:rsid w:val="00584D8F"/>
    <w:rPr>
      <w:rFonts w:ascii="Arial" w:hAnsi="Arial"/>
      <w:b/>
      <w:sz w:val="20"/>
    </w:rPr>
  </w:style>
  <w:style w:type="character" w:customStyle="1" w:styleId="TableHeading-rightChar">
    <w:name w:val="Table Heading - right Char"/>
    <w:basedOn w:val="TableHeadingChar"/>
    <w:link w:val="TableHeading-right"/>
    <w:rsid w:val="00584D8F"/>
    <w:rPr>
      <w:rFonts w:ascii="Arial" w:eastAsia="Times New Roman" w:hAnsi="Arial" w:cs="Times New Roman"/>
      <w:b/>
      <w:bCs/>
      <w:sz w:val="20"/>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TableHeading"/>
    <w:rsid w:val="00584D8F"/>
    <w:pPr>
      <w:jc w:val="center"/>
    </w:pPr>
    <w:rPr>
      <w:rFonts w:eastAsia="Times New Roman" w:cs="Times New Roman"/>
      <w:bCs/>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E4674F"/>
    <w:rPr>
      <w:rFonts w:ascii="Arial" w:hAnsi="Arial"/>
      <w:sz w:val="16"/>
      <w:vertAlign w:val="superscript"/>
    </w:rPr>
  </w:style>
  <w:style w:type="paragraph" w:customStyle="1" w:styleId="Numberedparagraph11">
    <w:name w:val="Numbered paragraph 1.1"/>
    <w:basedOn w:val="Numbered11"/>
    <w:qFormat/>
    <w:rsid w:val="00340655"/>
    <w:pPr>
      <w:ind w:left="680" w:hanging="680"/>
      <w:outlineLvl w:val="9"/>
    </w:pPr>
    <w:rPr>
      <w:bCs w:val="0"/>
      <w:color w:val="auto"/>
      <w:sz w:val="22"/>
    </w:rPr>
  </w:style>
  <w:style w:type="character" w:customStyle="1" w:styleId="Numbered1Char">
    <w:name w:val="Numbered 1 Char"/>
    <w:basedOn w:val="Heading1Char"/>
    <w:link w:val="Numbered1"/>
    <w:rsid w:val="00F61B84"/>
    <w:rPr>
      <w:rFonts w:ascii="Lucida Fax" w:eastAsiaTheme="majorEastAsia" w:hAnsi="Lucida Fax" w:cstheme="majorBidi"/>
      <w:bCs/>
      <w:color w:val="51626F"/>
      <w:sz w:val="32"/>
      <w:szCs w:val="28"/>
    </w:rPr>
  </w:style>
  <w:style w:type="paragraph" w:customStyle="1" w:styleId="Numberedparagraph">
    <w:name w:val="Numbered paragraph"/>
    <w:basedOn w:val="Normal"/>
    <w:rsid w:val="00B60F5D"/>
    <w:pPr>
      <w:numPr>
        <w:numId w:val="1"/>
      </w:numPr>
      <w:ind w:left="680" w:hanging="680"/>
    </w:pPr>
    <w:rPr>
      <w:rFonts w:eastAsia="Times New Roman" w:cs="Times New Roman"/>
      <w:color w:val="000000" w:themeColor="text1" w:themeShade="BF"/>
      <w:szCs w:val="20"/>
    </w:rPr>
  </w:style>
  <w:style w:type="paragraph" w:customStyle="1" w:styleId="Listalphabet2">
    <w:name w:val="List alphabet 2"/>
    <w:rsid w:val="00CF799E"/>
    <w:pPr>
      <w:numPr>
        <w:numId w:val="13"/>
      </w:numPr>
      <w:tabs>
        <w:tab w:val="left" w:pos="680"/>
      </w:tabs>
      <w:spacing w:before="120"/>
    </w:pPr>
    <w:rPr>
      <w:rFonts w:ascii="Arial" w:hAnsi="Arial"/>
    </w:rPr>
  </w:style>
  <w:style w:type="paragraph" w:customStyle="1" w:styleId="Listalphabet3">
    <w:name w:val="List alphabet 3"/>
    <w:rsid w:val="00CF799E"/>
    <w:pPr>
      <w:numPr>
        <w:numId w:val="19"/>
      </w:numPr>
      <w:tabs>
        <w:tab w:val="left" w:pos="1021"/>
      </w:tabs>
      <w:spacing w:before="120"/>
    </w:pPr>
    <w:rPr>
      <w:rFonts w:ascii="Arial" w:hAnsi="Arial"/>
    </w:rPr>
  </w:style>
  <w:style w:type="paragraph" w:customStyle="1" w:styleId="Listalphabet4">
    <w:name w:val="List alphabet 4"/>
    <w:rsid w:val="00CF799E"/>
    <w:pPr>
      <w:numPr>
        <w:numId w:val="20"/>
      </w:numPr>
      <w:tabs>
        <w:tab w:val="left" w:pos="1361"/>
      </w:tabs>
      <w:spacing w:before="120"/>
    </w:pPr>
    <w:rPr>
      <w:rFonts w:ascii="Arial" w:hAnsi="Arial"/>
    </w:rPr>
  </w:style>
  <w:style w:type="paragraph" w:customStyle="1" w:styleId="Listalphabet5">
    <w:name w:val="List alphabet 5"/>
    <w:rsid w:val="00CF799E"/>
    <w:pPr>
      <w:numPr>
        <w:numId w:val="21"/>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2"/>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pPr>
      <w:spacing w:before="0"/>
    </w:p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B60F5D"/>
    <w:rPr>
      <w:smallCaps/>
      <w:color w:val="4F2D7D" w:themeColor="accent2"/>
      <w:u w:val="single"/>
    </w:rPr>
  </w:style>
  <w:style w:type="paragraph" w:customStyle="1" w:styleId="ListLegal">
    <w:name w:val="List Legal"/>
    <w:basedOn w:val="ListParagraph"/>
    <w:rsid w:val="00CF799E"/>
    <w:pPr>
      <w:numPr>
        <w:numId w:val="25"/>
      </w:numPr>
      <w:tabs>
        <w:tab w:val="clear" w:pos="340"/>
        <w:tab w:val="left" w:pos="680"/>
      </w:tabs>
    </w:pPr>
  </w:style>
  <w:style w:type="paragraph" w:customStyle="1" w:styleId="ListLegal2">
    <w:name w:val="List Legal 2"/>
    <w:basedOn w:val="ListLegal"/>
    <w:rsid w:val="00C06739"/>
    <w:pPr>
      <w:numPr>
        <w:numId w:val="16"/>
      </w:numPr>
      <w:tabs>
        <w:tab w:val="clear" w:pos="680"/>
        <w:tab w:val="left" w:pos="1021"/>
      </w:tabs>
    </w:pPr>
  </w:style>
  <w:style w:type="paragraph" w:customStyle="1" w:styleId="ListLegal3">
    <w:name w:val="List Legal 3"/>
    <w:basedOn w:val="ListNumber3"/>
    <w:rsid w:val="00CF799E"/>
    <w:pPr>
      <w:numPr>
        <w:numId w:val="15"/>
      </w:numPr>
      <w:tabs>
        <w:tab w:val="clear" w:pos="1021"/>
        <w:tab w:val="left" w:pos="1361"/>
      </w:tabs>
    </w:pPr>
  </w:style>
  <w:style w:type="paragraph" w:customStyle="1" w:styleId="ListLegal4">
    <w:name w:val="List Legal 4"/>
    <w:basedOn w:val="ListLegal3"/>
    <w:rsid w:val="00CF799E"/>
    <w:pPr>
      <w:numPr>
        <w:numId w:val="17"/>
      </w:numPr>
      <w:tabs>
        <w:tab w:val="clear" w:pos="1361"/>
        <w:tab w:val="left" w:pos="1701"/>
      </w:tabs>
    </w:pPr>
  </w:style>
  <w:style w:type="paragraph" w:customStyle="1" w:styleId="ListLegal5">
    <w:name w:val="List Legal 5"/>
    <w:basedOn w:val="ListLegal4"/>
    <w:rsid w:val="000F2368"/>
    <w:pPr>
      <w:numPr>
        <w:numId w:val="26"/>
      </w:numPr>
      <w:tabs>
        <w:tab w:val="clear" w:pos="1701"/>
        <w:tab w:val="left" w:pos="2041"/>
      </w:tabs>
    </w:pPr>
  </w:style>
  <w:style w:type="paragraph" w:customStyle="1" w:styleId="LegalNumbering">
    <w:name w:val="Legal Numbering"/>
    <w:basedOn w:val="Normal"/>
    <w:qFormat/>
    <w:rsid w:val="0002115F"/>
    <w:pPr>
      <w:numPr>
        <w:numId w:val="18"/>
      </w:numPr>
      <w:tabs>
        <w:tab w:val="left" w:pos="340"/>
        <w:tab w:val="left" w:pos="680"/>
        <w:tab w:val="left" w:pos="1021"/>
        <w:tab w:val="left" w:pos="1361"/>
      </w:tabs>
    </w:pPr>
  </w:style>
  <w:style w:type="table" w:customStyle="1" w:styleId="LightShading2">
    <w:name w:val="Light Shading2"/>
    <w:basedOn w:val="TableNormal"/>
    <w:next w:val="LightShading"/>
    <w:uiPriority w:val="60"/>
    <w:rsid w:val="008E56E6"/>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character" w:styleId="CommentReference">
    <w:name w:val="annotation reference"/>
    <w:basedOn w:val="DefaultParagraphFont"/>
    <w:uiPriority w:val="99"/>
    <w:semiHidden/>
    <w:unhideWhenUsed/>
    <w:rsid w:val="00FB72FD"/>
    <w:rPr>
      <w:sz w:val="16"/>
      <w:szCs w:val="16"/>
    </w:rPr>
  </w:style>
  <w:style w:type="paragraph" w:styleId="CommentText">
    <w:name w:val="annotation text"/>
    <w:basedOn w:val="Normal"/>
    <w:link w:val="CommentTextChar"/>
    <w:uiPriority w:val="99"/>
    <w:semiHidden/>
    <w:unhideWhenUsed/>
    <w:rsid w:val="00FB72FD"/>
    <w:rPr>
      <w:sz w:val="20"/>
      <w:szCs w:val="20"/>
    </w:rPr>
  </w:style>
  <w:style w:type="character" w:customStyle="1" w:styleId="CommentTextChar">
    <w:name w:val="Comment Text Char"/>
    <w:basedOn w:val="DefaultParagraphFont"/>
    <w:link w:val="CommentText"/>
    <w:uiPriority w:val="99"/>
    <w:semiHidden/>
    <w:rsid w:val="00FB72F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B72FD"/>
    <w:rPr>
      <w:b/>
      <w:bCs/>
    </w:rPr>
  </w:style>
  <w:style w:type="character" w:customStyle="1" w:styleId="CommentSubjectChar">
    <w:name w:val="Comment Subject Char"/>
    <w:basedOn w:val="CommentTextChar"/>
    <w:link w:val="CommentSubject"/>
    <w:uiPriority w:val="99"/>
    <w:semiHidden/>
    <w:rsid w:val="00FB72FD"/>
    <w:rPr>
      <w:rFonts w:ascii="Arial" w:hAnsi="Arial"/>
      <w:b/>
      <w:bCs/>
      <w:sz w:val="20"/>
      <w:szCs w:val="20"/>
    </w:rPr>
  </w:style>
  <w:style w:type="paragraph" w:styleId="Revision">
    <w:name w:val="Revision"/>
    <w:hidden/>
    <w:uiPriority w:val="99"/>
    <w:semiHidden/>
    <w:rsid w:val="00152E54"/>
    <w:pPr>
      <w:spacing w:before="0"/>
    </w:pPr>
    <w:rPr>
      <w:rFonts w:ascii="Arial" w:hAnsi="Arial"/>
    </w:rPr>
  </w:style>
  <w:style w:type="character" w:styleId="FollowedHyperlink">
    <w:name w:val="FollowedHyperlink"/>
    <w:basedOn w:val="DefaultParagraphFont"/>
    <w:uiPriority w:val="99"/>
    <w:semiHidden/>
    <w:unhideWhenUsed/>
    <w:rsid w:val="00A306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712882">
      <w:bodyDiv w:val="1"/>
      <w:marLeft w:val="0"/>
      <w:marRight w:val="0"/>
      <w:marTop w:val="0"/>
      <w:marBottom w:val="0"/>
      <w:divBdr>
        <w:top w:val="none" w:sz="0" w:space="0" w:color="auto"/>
        <w:left w:val="none" w:sz="0" w:space="0" w:color="auto"/>
        <w:bottom w:val="none" w:sz="0" w:space="0" w:color="auto"/>
        <w:right w:val="none" w:sz="0" w:space="0" w:color="auto"/>
      </w:divBdr>
      <w:divsChild>
        <w:div w:id="994380594">
          <w:marLeft w:val="0"/>
          <w:marRight w:val="0"/>
          <w:marTop w:val="0"/>
          <w:marBottom w:val="0"/>
          <w:divBdr>
            <w:top w:val="none" w:sz="0" w:space="0" w:color="auto"/>
            <w:left w:val="none" w:sz="0" w:space="0" w:color="auto"/>
            <w:bottom w:val="none" w:sz="0" w:space="0" w:color="auto"/>
            <w:right w:val="none" w:sz="0" w:space="0" w:color="auto"/>
          </w:divBdr>
          <w:divsChild>
            <w:div w:id="1044256424">
              <w:marLeft w:val="0"/>
              <w:marRight w:val="0"/>
              <w:marTop w:val="0"/>
              <w:marBottom w:val="0"/>
              <w:divBdr>
                <w:top w:val="none" w:sz="0" w:space="0" w:color="auto"/>
                <w:left w:val="none" w:sz="0" w:space="0" w:color="auto"/>
                <w:bottom w:val="none" w:sz="0" w:space="0" w:color="auto"/>
                <w:right w:val="none" w:sz="0" w:space="0" w:color="auto"/>
              </w:divBdr>
              <w:divsChild>
                <w:div w:id="616644664">
                  <w:marLeft w:val="0"/>
                  <w:marRight w:val="0"/>
                  <w:marTop w:val="0"/>
                  <w:marBottom w:val="0"/>
                  <w:divBdr>
                    <w:top w:val="none" w:sz="0" w:space="0" w:color="auto"/>
                    <w:left w:val="none" w:sz="0" w:space="0" w:color="auto"/>
                    <w:bottom w:val="none" w:sz="0" w:space="0" w:color="auto"/>
                    <w:right w:val="none" w:sz="0" w:space="0" w:color="auto"/>
                  </w:divBdr>
                  <w:divsChild>
                    <w:div w:id="308441721">
                      <w:marLeft w:val="0"/>
                      <w:marRight w:val="0"/>
                      <w:marTop w:val="0"/>
                      <w:marBottom w:val="0"/>
                      <w:divBdr>
                        <w:top w:val="none" w:sz="0" w:space="0" w:color="auto"/>
                        <w:left w:val="none" w:sz="0" w:space="0" w:color="auto"/>
                        <w:bottom w:val="none" w:sz="0" w:space="0" w:color="auto"/>
                        <w:right w:val="none" w:sz="0" w:space="0" w:color="auto"/>
                      </w:divBdr>
                      <w:divsChild>
                        <w:div w:id="1530530430">
                          <w:marLeft w:val="0"/>
                          <w:marRight w:val="0"/>
                          <w:marTop w:val="0"/>
                          <w:marBottom w:val="0"/>
                          <w:divBdr>
                            <w:top w:val="none" w:sz="0" w:space="0" w:color="auto"/>
                            <w:left w:val="none" w:sz="0" w:space="0" w:color="auto"/>
                            <w:bottom w:val="none" w:sz="0" w:space="0" w:color="auto"/>
                            <w:right w:val="none" w:sz="0" w:space="0" w:color="auto"/>
                          </w:divBdr>
                          <w:divsChild>
                            <w:div w:id="1010521520">
                              <w:marLeft w:val="0"/>
                              <w:marRight w:val="0"/>
                              <w:marTop w:val="0"/>
                              <w:marBottom w:val="0"/>
                              <w:divBdr>
                                <w:top w:val="none" w:sz="0" w:space="0" w:color="auto"/>
                                <w:left w:val="none" w:sz="0" w:space="0" w:color="auto"/>
                                <w:bottom w:val="none" w:sz="0" w:space="0" w:color="auto"/>
                                <w:right w:val="none" w:sz="0" w:space="0" w:color="auto"/>
                              </w:divBdr>
                              <w:divsChild>
                                <w:div w:id="692534414">
                                  <w:marLeft w:val="0"/>
                                  <w:marRight w:val="0"/>
                                  <w:marTop w:val="0"/>
                                  <w:marBottom w:val="0"/>
                                  <w:divBdr>
                                    <w:top w:val="none" w:sz="0" w:space="0" w:color="auto"/>
                                    <w:left w:val="none" w:sz="0" w:space="0" w:color="auto"/>
                                    <w:bottom w:val="none" w:sz="0" w:space="0" w:color="auto"/>
                                    <w:right w:val="none" w:sz="0" w:space="0" w:color="auto"/>
                                  </w:divBdr>
                                  <w:divsChild>
                                    <w:div w:id="459884587">
                                      <w:marLeft w:val="0"/>
                                      <w:marRight w:val="0"/>
                                      <w:marTop w:val="0"/>
                                      <w:marBottom w:val="0"/>
                                      <w:divBdr>
                                        <w:top w:val="none" w:sz="0" w:space="0" w:color="auto"/>
                                        <w:left w:val="none" w:sz="0" w:space="0" w:color="auto"/>
                                        <w:bottom w:val="none" w:sz="0" w:space="0" w:color="auto"/>
                                        <w:right w:val="none" w:sz="0" w:space="0" w:color="auto"/>
                                      </w:divBdr>
                                      <w:divsChild>
                                        <w:div w:id="224993950">
                                          <w:marLeft w:val="0"/>
                                          <w:marRight w:val="0"/>
                                          <w:marTop w:val="0"/>
                                          <w:marBottom w:val="0"/>
                                          <w:divBdr>
                                            <w:top w:val="none" w:sz="0" w:space="0" w:color="auto"/>
                                            <w:left w:val="none" w:sz="0" w:space="0" w:color="auto"/>
                                            <w:bottom w:val="none" w:sz="0" w:space="0" w:color="auto"/>
                                            <w:right w:val="none" w:sz="0" w:space="0" w:color="auto"/>
                                          </w:divBdr>
                                          <w:divsChild>
                                            <w:div w:id="96169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1234179">
      <w:bodyDiv w:val="1"/>
      <w:marLeft w:val="0"/>
      <w:marRight w:val="0"/>
      <w:marTop w:val="0"/>
      <w:marBottom w:val="0"/>
      <w:divBdr>
        <w:top w:val="none" w:sz="0" w:space="0" w:color="auto"/>
        <w:left w:val="none" w:sz="0" w:space="0" w:color="auto"/>
        <w:bottom w:val="none" w:sz="0" w:space="0" w:color="auto"/>
        <w:right w:val="none" w:sz="0" w:space="0" w:color="auto"/>
      </w:divBdr>
      <w:divsChild>
        <w:div w:id="508444334">
          <w:marLeft w:val="0"/>
          <w:marRight w:val="0"/>
          <w:marTop w:val="0"/>
          <w:marBottom w:val="0"/>
          <w:divBdr>
            <w:top w:val="none" w:sz="0" w:space="0" w:color="auto"/>
            <w:left w:val="none" w:sz="0" w:space="0" w:color="auto"/>
            <w:bottom w:val="none" w:sz="0" w:space="0" w:color="auto"/>
            <w:right w:val="none" w:sz="0" w:space="0" w:color="auto"/>
          </w:divBdr>
          <w:divsChild>
            <w:div w:id="800733562">
              <w:marLeft w:val="0"/>
              <w:marRight w:val="0"/>
              <w:marTop w:val="0"/>
              <w:marBottom w:val="0"/>
              <w:divBdr>
                <w:top w:val="none" w:sz="0" w:space="0" w:color="auto"/>
                <w:left w:val="none" w:sz="0" w:space="0" w:color="auto"/>
                <w:bottom w:val="none" w:sz="0" w:space="0" w:color="auto"/>
                <w:right w:val="none" w:sz="0" w:space="0" w:color="auto"/>
              </w:divBdr>
              <w:divsChild>
                <w:div w:id="1379431840">
                  <w:marLeft w:val="0"/>
                  <w:marRight w:val="0"/>
                  <w:marTop w:val="0"/>
                  <w:marBottom w:val="0"/>
                  <w:divBdr>
                    <w:top w:val="none" w:sz="0" w:space="0" w:color="auto"/>
                    <w:left w:val="none" w:sz="0" w:space="0" w:color="auto"/>
                    <w:bottom w:val="none" w:sz="0" w:space="0" w:color="auto"/>
                    <w:right w:val="none" w:sz="0" w:space="0" w:color="auto"/>
                  </w:divBdr>
                  <w:divsChild>
                    <w:div w:id="2096246452">
                      <w:marLeft w:val="0"/>
                      <w:marRight w:val="0"/>
                      <w:marTop w:val="0"/>
                      <w:marBottom w:val="0"/>
                      <w:divBdr>
                        <w:top w:val="none" w:sz="0" w:space="0" w:color="auto"/>
                        <w:left w:val="none" w:sz="0" w:space="0" w:color="auto"/>
                        <w:bottom w:val="none" w:sz="0" w:space="0" w:color="auto"/>
                        <w:right w:val="none" w:sz="0" w:space="0" w:color="auto"/>
                      </w:divBdr>
                      <w:divsChild>
                        <w:div w:id="1886404115">
                          <w:marLeft w:val="0"/>
                          <w:marRight w:val="0"/>
                          <w:marTop w:val="0"/>
                          <w:marBottom w:val="0"/>
                          <w:divBdr>
                            <w:top w:val="none" w:sz="0" w:space="0" w:color="auto"/>
                            <w:left w:val="none" w:sz="0" w:space="0" w:color="auto"/>
                            <w:bottom w:val="none" w:sz="0" w:space="0" w:color="auto"/>
                            <w:right w:val="none" w:sz="0" w:space="0" w:color="auto"/>
                          </w:divBdr>
                          <w:divsChild>
                            <w:div w:id="1386878510">
                              <w:marLeft w:val="0"/>
                              <w:marRight w:val="0"/>
                              <w:marTop w:val="0"/>
                              <w:marBottom w:val="0"/>
                              <w:divBdr>
                                <w:top w:val="none" w:sz="0" w:space="0" w:color="auto"/>
                                <w:left w:val="none" w:sz="0" w:space="0" w:color="auto"/>
                                <w:bottom w:val="none" w:sz="0" w:space="0" w:color="auto"/>
                                <w:right w:val="none" w:sz="0" w:space="0" w:color="auto"/>
                              </w:divBdr>
                              <w:divsChild>
                                <w:div w:id="1422992665">
                                  <w:marLeft w:val="0"/>
                                  <w:marRight w:val="0"/>
                                  <w:marTop w:val="0"/>
                                  <w:marBottom w:val="0"/>
                                  <w:divBdr>
                                    <w:top w:val="none" w:sz="0" w:space="0" w:color="auto"/>
                                    <w:left w:val="none" w:sz="0" w:space="0" w:color="auto"/>
                                    <w:bottom w:val="none" w:sz="0" w:space="0" w:color="auto"/>
                                    <w:right w:val="none" w:sz="0" w:space="0" w:color="auto"/>
                                  </w:divBdr>
                                  <w:divsChild>
                                    <w:div w:id="1552615757">
                                      <w:marLeft w:val="0"/>
                                      <w:marRight w:val="0"/>
                                      <w:marTop w:val="0"/>
                                      <w:marBottom w:val="0"/>
                                      <w:divBdr>
                                        <w:top w:val="none" w:sz="0" w:space="0" w:color="auto"/>
                                        <w:left w:val="none" w:sz="0" w:space="0" w:color="auto"/>
                                        <w:bottom w:val="none" w:sz="0" w:space="0" w:color="auto"/>
                                        <w:right w:val="none" w:sz="0" w:space="0" w:color="auto"/>
                                      </w:divBdr>
                                      <w:divsChild>
                                        <w:div w:id="935669152">
                                          <w:marLeft w:val="0"/>
                                          <w:marRight w:val="0"/>
                                          <w:marTop w:val="0"/>
                                          <w:marBottom w:val="0"/>
                                          <w:divBdr>
                                            <w:top w:val="none" w:sz="0" w:space="0" w:color="auto"/>
                                            <w:left w:val="none" w:sz="0" w:space="0" w:color="auto"/>
                                            <w:bottom w:val="none" w:sz="0" w:space="0" w:color="auto"/>
                                            <w:right w:val="none" w:sz="0" w:space="0" w:color="auto"/>
                                          </w:divBdr>
                                          <w:divsChild>
                                            <w:div w:id="1346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5834519">
      <w:bodyDiv w:val="1"/>
      <w:marLeft w:val="0"/>
      <w:marRight w:val="0"/>
      <w:marTop w:val="0"/>
      <w:marBottom w:val="0"/>
      <w:divBdr>
        <w:top w:val="none" w:sz="0" w:space="0" w:color="auto"/>
        <w:left w:val="none" w:sz="0" w:space="0" w:color="auto"/>
        <w:bottom w:val="none" w:sz="0" w:space="0" w:color="auto"/>
        <w:right w:val="none" w:sz="0" w:space="0" w:color="auto"/>
      </w:divBdr>
    </w:div>
    <w:div w:id="1502237887">
      <w:bodyDiv w:val="1"/>
      <w:marLeft w:val="0"/>
      <w:marRight w:val="0"/>
      <w:marTop w:val="0"/>
      <w:marBottom w:val="0"/>
      <w:divBdr>
        <w:top w:val="none" w:sz="0" w:space="0" w:color="auto"/>
        <w:left w:val="none" w:sz="0" w:space="0" w:color="auto"/>
        <w:bottom w:val="none" w:sz="0" w:space="0" w:color="auto"/>
        <w:right w:val="none" w:sz="0" w:space="0" w:color="auto"/>
      </w:divBdr>
      <w:divsChild>
        <w:div w:id="308555214">
          <w:marLeft w:val="0"/>
          <w:marRight w:val="0"/>
          <w:marTop w:val="0"/>
          <w:marBottom w:val="0"/>
          <w:divBdr>
            <w:top w:val="none" w:sz="0" w:space="0" w:color="auto"/>
            <w:left w:val="none" w:sz="0" w:space="0" w:color="auto"/>
            <w:bottom w:val="none" w:sz="0" w:space="0" w:color="auto"/>
            <w:right w:val="none" w:sz="0" w:space="0" w:color="auto"/>
          </w:divBdr>
          <w:divsChild>
            <w:div w:id="1584758596">
              <w:marLeft w:val="0"/>
              <w:marRight w:val="0"/>
              <w:marTop w:val="0"/>
              <w:marBottom w:val="0"/>
              <w:divBdr>
                <w:top w:val="none" w:sz="0" w:space="0" w:color="auto"/>
                <w:left w:val="none" w:sz="0" w:space="0" w:color="auto"/>
                <w:bottom w:val="none" w:sz="0" w:space="0" w:color="auto"/>
                <w:right w:val="none" w:sz="0" w:space="0" w:color="auto"/>
              </w:divBdr>
              <w:divsChild>
                <w:div w:id="68232380">
                  <w:marLeft w:val="0"/>
                  <w:marRight w:val="0"/>
                  <w:marTop w:val="0"/>
                  <w:marBottom w:val="0"/>
                  <w:divBdr>
                    <w:top w:val="none" w:sz="0" w:space="0" w:color="auto"/>
                    <w:left w:val="none" w:sz="0" w:space="0" w:color="auto"/>
                    <w:bottom w:val="none" w:sz="0" w:space="0" w:color="auto"/>
                    <w:right w:val="none" w:sz="0" w:space="0" w:color="auto"/>
                  </w:divBdr>
                  <w:divsChild>
                    <w:div w:id="1304120702">
                      <w:marLeft w:val="0"/>
                      <w:marRight w:val="0"/>
                      <w:marTop w:val="0"/>
                      <w:marBottom w:val="0"/>
                      <w:divBdr>
                        <w:top w:val="none" w:sz="0" w:space="0" w:color="auto"/>
                        <w:left w:val="none" w:sz="0" w:space="0" w:color="auto"/>
                        <w:bottom w:val="none" w:sz="0" w:space="0" w:color="auto"/>
                        <w:right w:val="none" w:sz="0" w:space="0" w:color="auto"/>
                      </w:divBdr>
                      <w:divsChild>
                        <w:div w:id="926038339">
                          <w:marLeft w:val="0"/>
                          <w:marRight w:val="0"/>
                          <w:marTop w:val="0"/>
                          <w:marBottom w:val="0"/>
                          <w:divBdr>
                            <w:top w:val="none" w:sz="0" w:space="0" w:color="auto"/>
                            <w:left w:val="none" w:sz="0" w:space="0" w:color="auto"/>
                            <w:bottom w:val="none" w:sz="0" w:space="0" w:color="auto"/>
                            <w:right w:val="none" w:sz="0" w:space="0" w:color="auto"/>
                          </w:divBdr>
                          <w:divsChild>
                            <w:div w:id="1442727992">
                              <w:marLeft w:val="0"/>
                              <w:marRight w:val="0"/>
                              <w:marTop w:val="0"/>
                              <w:marBottom w:val="0"/>
                              <w:divBdr>
                                <w:top w:val="none" w:sz="0" w:space="0" w:color="auto"/>
                                <w:left w:val="none" w:sz="0" w:space="0" w:color="auto"/>
                                <w:bottom w:val="none" w:sz="0" w:space="0" w:color="auto"/>
                                <w:right w:val="none" w:sz="0" w:space="0" w:color="auto"/>
                              </w:divBdr>
                              <w:divsChild>
                                <w:div w:id="592468877">
                                  <w:marLeft w:val="0"/>
                                  <w:marRight w:val="0"/>
                                  <w:marTop w:val="0"/>
                                  <w:marBottom w:val="0"/>
                                  <w:divBdr>
                                    <w:top w:val="none" w:sz="0" w:space="0" w:color="auto"/>
                                    <w:left w:val="none" w:sz="0" w:space="0" w:color="auto"/>
                                    <w:bottom w:val="none" w:sz="0" w:space="0" w:color="auto"/>
                                    <w:right w:val="none" w:sz="0" w:space="0" w:color="auto"/>
                                  </w:divBdr>
                                  <w:divsChild>
                                    <w:div w:id="1415737486">
                                      <w:marLeft w:val="0"/>
                                      <w:marRight w:val="0"/>
                                      <w:marTop w:val="0"/>
                                      <w:marBottom w:val="0"/>
                                      <w:divBdr>
                                        <w:top w:val="none" w:sz="0" w:space="0" w:color="auto"/>
                                        <w:left w:val="none" w:sz="0" w:space="0" w:color="auto"/>
                                        <w:bottom w:val="none" w:sz="0" w:space="0" w:color="auto"/>
                                        <w:right w:val="none" w:sz="0" w:space="0" w:color="auto"/>
                                      </w:divBdr>
                                      <w:divsChild>
                                        <w:div w:id="1069160181">
                                          <w:marLeft w:val="0"/>
                                          <w:marRight w:val="0"/>
                                          <w:marTop w:val="0"/>
                                          <w:marBottom w:val="0"/>
                                          <w:divBdr>
                                            <w:top w:val="none" w:sz="0" w:space="0" w:color="auto"/>
                                            <w:left w:val="none" w:sz="0" w:space="0" w:color="auto"/>
                                            <w:bottom w:val="none" w:sz="0" w:space="0" w:color="auto"/>
                                            <w:right w:val="none" w:sz="0" w:space="0" w:color="auto"/>
                                          </w:divBdr>
                                          <w:divsChild>
                                            <w:div w:id="9660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6837789">
      <w:bodyDiv w:val="1"/>
      <w:marLeft w:val="0"/>
      <w:marRight w:val="0"/>
      <w:marTop w:val="0"/>
      <w:marBottom w:val="0"/>
      <w:divBdr>
        <w:top w:val="none" w:sz="0" w:space="0" w:color="auto"/>
        <w:left w:val="none" w:sz="0" w:space="0" w:color="auto"/>
        <w:bottom w:val="none" w:sz="0" w:space="0" w:color="auto"/>
        <w:right w:val="none" w:sz="0" w:space="0" w:color="auto"/>
      </w:divBdr>
      <w:divsChild>
        <w:div w:id="80297217">
          <w:marLeft w:val="0"/>
          <w:marRight w:val="0"/>
          <w:marTop w:val="0"/>
          <w:marBottom w:val="0"/>
          <w:divBdr>
            <w:top w:val="none" w:sz="0" w:space="0" w:color="auto"/>
            <w:left w:val="none" w:sz="0" w:space="0" w:color="auto"/>
            <w:bottom w:val="none" w:sz="0" w:space="0" w:color="auto"/>
            <w:right w:val="none" w:sz="0" w:space="0" w:color="auto"/>
          </w:divBdr>
          <w:divsChild>
            <w:div w:id="1557857310">
              <w:marLeft w:val="0"/>
              <w:marRight w:val="0"/>
              <w:marTop w:val="0"/>
              <w:marBottom w:val="0"/>
              <w:divBdr>
                <w:top w:val="none" w:sz="0" w:space="0" w:color="auto"/>
                <w:left w:val="none" w:sz="0" w:space="0" w:color="auto"/>
                <w:bottom w:val="none" w:sz="0" w:space="0" w:color="auto"/>
                <w:right w:val="none" w:sz="0" w:space="0" w:color="auto"/>
              </w:divBdr>
              <w:divsChild>
                <w:div w:id="1736926794">
                  <w:marLeft w:val="0"/>
                  <w:marRight w:val="0"/>
                  <w:marTop w:val="0"/>
                  <w:marBottom w:val="0"/>
                  <w:divBdr>
                    <w:top w:val="none" w:sz="0" w:space="0" w:color="auto"/>
                    <w:left w:val="none" w:sz="0" w:space="0" w:color="auto"/>
                    <w:bottom w:val="none" w:sz="0" w:space="0" w:color="auto"/>
                    <w:right w:val="none" w:sz="0" w:space="0" w:color="auto"/>
                  </w:divBdr>
                  <w:divsChild>
                    <w:div w:id="847477194">
                      <w:marLeft w:val="0"/>
                      <w:marRight w:val="0"/>
                      <w:marTop w:val="0"/>
                      <w:marBottom w:val="0"/>
                      <w:divBdr>
                        <w:top w:val="none" w:sz="0" w:space="0" w:color="auto"/>
                        <w:left w:val="none" w:sz="0" w:space="0" w:color="auto"/>
                        <w:bottom w:val="none" w:sz="0" w:space="0" w:color="auto"/>
                        <w:right w:val="none" w:sz="0" w:space="0" w:color="auto"/>
                      </w:divBdr>
                      <w:divsChild>
                        <w:div w:id="1204059523">
                          <w:marLeft w:val="0"/>
                          <w:marRight w:val="0"/>
                          <w:marTop w:val="0"/>
                          <w:marBottom w:val="0"/>
                          <w:divBdr>
                            <w:top w:val="none" w:sz="0" w:space="0" w:color="auto"/>
                            <w:left w:val="none" w:sz="0" w:space="0" w:color="auto"/>
                            <w:bottom w:val="none" w:sz="0" w:space="0" w:color="auto"/>
                            <w:right w:val="none" w:sz="0" w:space="0" w:color="auto"/>
                          </w:divBdr>
                          <w:divsChild>
                            <w:div w:id="170141063">
                              <w:marLeft w:val="0"/>
                              <w:marRight w:val="0"/>
                              <w:marTop w:val="0"/>
                              <w:marBottom w:val="0"/>
                              <w:divBdr>
                                <w:top w:val="none" w:sz="0" w:space="0" w:color="auto"/>
                                <w:left w:val="none" w:sz="0" w:space="0" w:color="auto"/>
                                <w:bottom w:val="none" w:sz="0" w:space="0" w:color="auto"/>
                                <w:right w:val="none" w:sz="0" w:space="0" w:color="auto"/>
                              </w:divBdr>
                              <w:divsChild>
                                <w:div w:id="1443576649">
                                  <w:marLeft w:val="0"/>
                                  <w:marRight w:val="0"/>
                                  <w:marTop w:val="0"/>
                                  <w:marBottom w:val="0"/>
                                  <w:divBdr>
                                    <w:top w:val="none" w:sz="0" w:space="0" w:color="auto"/>
                                    <w:left w:val="none" w:sz="0" w:space="0" w:color="auto"/>
                                    <w:bottom w:val="none" w:sz="0" w:space="0" w:color="auto"/>
                                    <w:right w:val="none" w:sz="0" w:space="0" w:color="auto"/>
                                  </w:divBdr>
                                  <w:divsChild>
                                    <w:div w:id="1434789793">
                                      <w:marLeft w:val="0"/>
                                      <w:marRight w:val="0"/>
                                      <w:marTop w:val="0"/>
                                      <w:marBottom w:val="0"/>
                                      <w:divBdr>
                                        <w:top w:val="none" w:sz="0" w:space="0" w:color="auto"/>
                                        <w:left w:val="none" w:sz="0" w:space="0" w:color="auto"/>
                                        <w:bottom w:val="none" w:sz="0" w:space="0" w:color="auto"/>
                                        <w:right w:val="none" w:sz="0" w:space="0" w:color="auto"/>
                                      </w:divBdr>
                                      <w:divsChild>
                                        <w:div w:id="252663356">
                                          <w:marLeft w:val="0"/>
                                          <w:marRight w:val="0"/>
                                          <w:marTop w:val="0"/>
                                          <w:marBottom w:val="0"/>
                                          <w:divBdr>
                                            <w:top w:val="none" w:sz="0" w:space="0" w:color="auto"/>
                                            <w:left w:val="none" w:sz="0" w:space="0" w:color="auto"/>
                                            <w:bottom w:val="none" w:sz="0" w:space="0" w:color="auto"/>
                                            <w:right w:val="none" w:sz="0" w:space="0" w:color="auto"/>
                                          </w:divBdr>
                                          <w:divsChild>
                                            <w:div w:id="1069577021">
                                              <w:marLeft w:val="0"/>
                                              <w:marRight w:val="0"/>
                                              <w:marTop w:val="0"/>
                                              <w:marBottom w:val="0"/>
                                              <w:divBdr>
                                                <w:top w:val="none" w:sz="0" w:space="0" w:color="auto"/>
                                                <w:left w:val="none" w:sz="0" w:space="0" w:color="auto"/>
                                                <w:bottom w:val="none" w:sz="0" w:space="0" w:color="auto"/>
                                                <w:right w:val="none" w:sz="0" w:space="0" w:color="auto"/>
                                              </w:divBdr>
                                              <w:divsChild>
                                                <w:div w:id="1403336776">
                                                  <w:marLeft w:val="0"/>
                                                  <w:marRight w:val="0"/>
                                                  <w:marTop w:val="0"/>
                                                  <w:marBottom w:val="0"/>
                                                  <w:divBdr>
                                                    <w:top w:val="none" w:sz="0" w:space="0" w:color="auto"/>
                                                    <w:left w:val="none" w:sz="0" w:space="0" w:color="auto"/>
                                                    <w:bottom w:val="none" w:sz="0" w:space="0" w:color="auto"/>
                                                    <w:right w:val="none" w:sz="0" w:space="0" w:color="auto"/>
                                                  </w:divBdr>
                                                  <w:divsChild>
                                                    <w:div w:id="546727105">
                                                      <w:marLeft w:val="0"/>
                                                      <w:marRight w:val="0"/>
                                                      <w:marTop w:val="0"/>
                                                      <w:marBottom w:val="0"/>
                                                      <w:divBdr>
                                                        <w:top w:val="none" w:sz="0" w:space="0" w:color="auto"/>
                                                        <w:left w:val="none" w:sz="0" w:space="0" w:color="auto"/>
                                                        <w:bottom w:val="none" w:sz="0" w:space="0" w:color="auto"/>
                                                        <w:right w:val="none" w:sz="0" w:space="0" w:color="auto"/>
                                                      </w:divBdr>
                                                      <w:divsChild>
                                                        <w:div w:id="7503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fostore.saiglobal.com/store/default.aspx"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iso.org/iso/store.ht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fostore.saiglobal.com/store/" TargetMode="External"/><Relationship Id="rId5" Type="http://schemas.openxmlformats.org/officeDocument/2006/relationships/settings" Target="settings.xml"/><Relationship Id="rId15" Type="http://schemas.openxmlformats.org/officeDocument/2006/relationships/hyperlink" Target="http://www.legislation.gov.au/Details/F2016L00797" TargetMode="External"/><Relationship Id="rId23" Type="http://schemas.openxmlformats.org/officeDocument/2006/relationships/theme" Target="theme/theme1.xml"/><Relationship Id="rId10" Type="http://schemas.openxmlformats.org/officeDocument/2006/relationships/hyperlink" Target="file:///\\cdchnas-evs02\home$\sbell\trimdata\TRIM\TEMP\HPTRIM.6816\webstore.iec.ch\"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legislation.gov.au/Details/F2016L00357" TargetMode="External"/><Relationship Id="rId14" Type="http://schemas.openxmlformats.org/officeDocument/2006/relationships/hyperlink" Target="http://www.comm-2000.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3591"/>
      </a:dk2>
      <a:lt2>
        <a:srgbClr val="D5D6D2"/>
      </a:lt2>
      <a:accent1>
        <a:srgbClr val="51626F"/>
      </a:accent1>
      <a:accent2>
        <a:srgbClr val="4F2D7D"/>
      </a:accent2>
      <a:accent3>
        <a:srgbClr val="0098C3"/>
      </a:accent3>
      <a:accent4>
        <a:srgbClr val="A0CFEB"/>
      </a:accent4>
      <a:accent5>
        <a:srgbClr val="B71202"/>
      </a:accent5>
      <a:accent6>
        <a:srgbClr val="DC5034"/>
      </a:accent6>
      <a:hlink>
        <a:srgbClr val="0000FF"/>
      </a:hlink>
      <a:folHlink>
        <a:srgbClr val="800080"/>
      </a:folHlink>
    </a:clrScheme>
    <a:fontScheme name="ACCC">
      <a:majorFont>
        <a:latin typeface="Lucida Fax"/>
        <a:ea typeface=""/>
        <a:cs typeface=""/>
      </a:majorFont>
      <a:minorFont>
        <a:latin typeface="Arial"/>
        <a:ea typeface=""/>
        <a:cs typeface=""/>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[pick the 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FB0EB0-8EC1-4FC5-8609-E9BC5597B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1208</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[Document title]</vt:lpstr>
    </vt:vector>
  </TitlesOfParts>
  <Company>ACCC</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[subtitle]</dc:subject>
  <dc:creator>Burela, Kathryn</dc:creator>
  <cp:lastModifiedBy>Loiacono, Elizabeth</cp:lastModifiedBy>
  <cp:revision>3</cp:revision>
  <cp:lastPrinted>2016-06-02T02:38:00Z</cp:lastPrinted>
  <dcterms:created xsi:type="dcterms:W3CDTF">2017-12-15T04:02:00Z</dcterms:created>
  <dcterms:modified xsi:type="dcterms:W3CDTF">2018-10-10T01:31:00Z</dcterms:modified>
</cp:coreProperties>
</file>