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64A50" w14:textId="77777777" w:rsidR="005C3B05" w:rsidRDefault="003E5135">
      <w:pPr>
        <w:jc w:val="center"/>
        <w:rPr>
          <w:b/>
          <w:u w:val="single"/>
        </w:rPr>
      </w:pPr>
      <w:r>
        <w:rPr>
          <w:b/>
          <w:u w:val="single"/>
        </w:rPr>
        <w:t>EXPLANATORY STATEMENT</w:t>
      </w:r>
    </w:p>
    <w:p w14:paraId="306DB083" w14:textId="77777777" w:rsidR="005C3B05" w:rsidRDefault="005C3B05">
      <w:pPr>
        <w:jc w:val="both"/>
        <w:rPr>
          <w:u w:val="single"/>
        </w:rPr>
      </w:pPr>
    </w:p>
    <w:p w14:paraId="7B195612" w14:textId="77777777" w:rsidR="0097445F" w:rsidRPr="0031091C" w:rsidRDefault="00CF7F7B" w:rsidP="005712F5">
      <w:pPr>
        <w:contextualSpacing/>
        <w:jc w:val="center"/>
        <w:rPr>
          <w:b/>
          <w:bCs/>
        </w:rPr>
      </w:pPr>
      <w:sdt>
        <w:sdtPr>
          <w:rPr>
            <w:u w:val="single"/>
          </w:rPr>
          <w:id w:val="962787087"/>
          <w:lock w:val="contentLocked"/>
          <w:placeholder>
            <w:docPart w:val="27FEE176C7D04743A38B702368F1A689"/>
          </w:placeholder>
          <w:group/>
        </w:sdtPr>
        <w:sdtEndPr/>
        <w:sdtContent>
          <w:r w:rsidR="0097445F" w:rsidRPr="00096B91">
            <w:rPr>
              <w:u w:val="single"/>
            </w:rPr>
            <w:t>Issued by Authority of the</w:t>
          </w:r>
        </w:sdtContent>
      </w:sdt>
      <w:r w:rsidR="0097445F" w:rsidRPr="00096B91">
        <w:rPr>
          <w:u w:val="single"/>
        </w:rPr>
        <w:t xml:space="preserve"> </w:t>
      </w:r>
      <w:r w:rsidR="00613722">
        <w:rPr>
          <w:bCs/>
          <w:u w:val="single"/>
        </w:rPr>
        <w:t>Director of Biosecurity</w:t>
      </w:r>
    </w:p>
    <w:p w14:paraId="1607F17E" w14:textId="77777777" w:rsidR="0097445F" w:rsidRDefault="0097445F" w:rsidP="001A14DE">
      <w:pPr>
        <w:tabs>
          <w:tab w:val="center" w:pos="4649"/>
          <w:tab w:val="left" w:pos="6630"/>
        </w:tabs>
        <w:rPr>
          <w:i/>
          <w:iCs/>
        </w:rPr>
      </w:pPr>
    </w:p>
    <w:p w14:paraId="49C8397A" w14:textId="77777777" w:rsidR="005C3B05" w:rsidRDefault="00512A13">
      <w:pPr>
        <w:tabs>
          <w:tab w:val="center" w:pos="4649"/>
          <w:tab w:val="left" w:pos="6630"/>
        </w:tabs>
        <w:jc w:val="center"/>
        <w:rPr>
          <w:i/>
          <w:iCs/>
        </w:rPr>
      </w:pPr>
      <w:r>
        <w:rPr>
          <w:i/>
          <w:iCs/>
        </w:rPr>
        <w:t>Biosecurity Act 2015</w:t>
      </w:r>
    </w:p>
    <w:p w14:paraId="2151DAD5" w14:textId="77777777" w:rsidR="005C3B05" w:rsidRDefault="005C3B05">
      <w:pPr>
        <w:ind w:left="720" w:firstLine="720"/>
        <w:jc w:val="center"/>
        <w:rPr>
          <w:i/>
          <w:lang w:val="en-GB"/>
        </w:rPr>
      </w:pPr>
    </w:p>
    <w:p w14:paraId="5C44EB3A" w14:textId="77777777" w:rsidR="005C3B05" w:rsidRDefault="00512A13" w:rsidP="00512A13">
      <w:pPr>
        <w:ind w:left="720" w:firstLine="720"/>
        <w:jc w:val="center"/>
        <w:rPr>
          <w:i/>
          <w:lang w:val="en-GB"/>
        </w:rPr>
      </w:pPr>
      <w:r>
        <w:rPr>
          <w:i/>
          <w:lang w:val="en-GB"/>
        </w:rPr>
        <w:t>Biosecurity (Exposed Conveyances–Exceptions from Biosecurity Control) Determination 2016</w:t>
      </w:r>
    </w:p>
    <w:p w14:paraId="5B0105B5" w14:textId="77777777" w:rsidR="005C3B05" w:rsidRDefault="005C3B05">
      <w:pPr>
        <w:jc w:val="center"/>
        <w:rPr>
          <w:i/>
          <w:lang w:val="en-GB"/>
        </w:rPr>
      </w:pPr>
    </w:p>
    <w:p w14:paraId="5144D156" w14:textId="77777777" w:rsidR="003C460D" w:rsidRDefault="003C460D">
      <w:pPr>
        <w:rPr>
          <w:rFonts w:eastAsia="Calibri"/>
          <w:b/>
          <w:u w:val="single"/>
        </w:rPr>
      </w:pPr>
    </w:p>
    <w:p w14:paraId="581FAF40" w14:textId="77777777" w:rsidR="008F11CC" w:rsidRDefault="008F11CC" w:rsidP="008F11CC">
      <w:pPr>
        <w:tabs>
          <w:tab w:val="left" w:pos="1701"/>
          <w:tab w:val="right" w:pos="9072"/>
        </w:tabs>
      </w:pPr>
      <w:r>
        <w:rPr>
          <w:b/>
        </w:rPr>
        <w:t>Legislative Authority</w:t>
      </w:r>
    </w:p>
    <w:p w14:paraId="52931060" w14:textId="77777777" w:rsidR="008C34A5" w:rsidRDefault="008C34A5" w:rsidP="008C34A5">
      <w:pPr>
        <w:autoSpaceDE w:val="0"/>
        <w:autoSpaceDN w:val="0"/>
        <w:adjustRightInd w:val="0"/>
      </w:pPr>
    </w:p>
    <w:p w14:paraId="6EE822D1" w14:textId="77777777" w:rsidR="00C57074" w:rsidRPr="00896442" w:rsidRDefault="00C57074" w:rsidP="00C57074">
      <w:pPr>
        <w:contextualSpacing/>
      </w:pPr>
      <w:r w:rsidRPr="00896442">
        <w:t xml:space="preserve">The </w:t>
      </w:r>
      <w:r w:rsidRPr="00896442">
        <w:rPr>
          <w:i/>
        </w:rPr>
        <w:t xml:space="preserve">Biosecurity Act 2015 </w:t>
      </w:r>
      <w:r w:rsidRPr="00896442">
        <w:t>(the Biosecurity Act) provides the Commonwealth with powers to assess and manage the risk of pests and diseases entering Australian territory and causing harm to animal, plant and human health, the environment and the economy.</w:t>
      </w:r>
    </w:p>
    <w:p w14:paraId="5A8C9400" w14:textId="77777777" w:rsidR="00C57074" w:rsidRDefault="00C57074" w:rsidP="008C34A5">
      <w:pPr>
        <w:autoSpaceDE w:val="0"/>
        <w:autoSpaceDN w:val="0"/>
        <w:adjustRightInd w:val="0"/>
      </w:pPr>
    </w:p>
    <w:p w14:paraId="5E16A960" w14:textId="77777777" w:rsidR="008F11CC" w:rsidRDefault="008F11CC" w:rsidP="008C34A5">
      <w:pPr>
        <w:autoSpaceDE w:val="0"/>
        <w:autoSpaceDN w:val="0"/>
        <w:adjustRightInd w:val="0"/>
      </w:pPr>
      <w:r>
        <w:t xml:space="preserve">Section 192 of the </w:t>
      </w:r>
      <w:r w:rsidR="000A56CE">
        <w:t xml:space="preserve">Biosecurity </w:t>
      </w:r>
      <w:r w:rsidR="00C57074">
        <w:t>Act</w:t>
      </w:r>
      <w:r>
        <w:t xml:space="preserve"> provides that when a conveyance that is not already subject to biosecurity control is exposed to another conveyance (including an installation) that is subject to biosecurity control or that is outside Australian territory, it becomes subject to biosecurity control when it is in, or when it enters Australian territory. Subsection 192(6) provides that the Director of Biosecurity may, by legislative instrument, determine that section 192 does not apply to specified conveyances or specified conveyances in specified circumstances.</w:t>
      </w:r>
    </w:p>
    <w:p w14:paraId="266CBEDD" w14:textId="77777777" w:rsidR="008F11CC" w:rsidRDefault="008F11CC" w:rsidP="008F11CC">
      <w:pPr>
        <w:pStyle w:val="paragraph"/>
        <w:tabs>
          <w:tab w:val="clear" w:pos="1531"/>
          <w:tab w:val="right" w:pos="0"/>
        </w:tabs>
        <w:ind w:left="0" w:firstLine="0"/>
        <w:rPr>
          <w:sz w:val="24"/>
          <w:szCs w:val="24"/>
        </w:rPr>
      </w:pPr>
    </w:p>
    <w:p w14:paraId="34E2E8D8" w14:textId="77777777" w:rsidR="008F11CC" w:rsidRPr="00196FBF" w:rsidRDefault="008F11CC" w:rsidP="008F11CC">
      <w:pPr>
        <w:tabs>
          <w:tab w:val="left" w:pos="1701"/>
          <w:tab w:val="right" w:pos="9072"/>
        </w:tabs>
        <w:rPr>
          <w:b/>
        </w:rPr>
      </w:pPr>
      <w:r w:rsidRPr="00196FBF">
        <w:rPr>
          <w:b/>
        </w:rPr>
        <w:t>Purpose</w:t>
      </w:r>
    </w:p>
    <w:p w14:paraId="000B8808" w14:textId="77777777" w:rsidR="008C34A5" w:rsidRDefault="008C34A5" w:rsidP="008F11CC">
      <w:pPr>
        <w:rPr>
          <w:lang w:eastAsia="en-AU"/>
        </w:rPr>
      </w:pPr>
    </w:p>
    <w:p w14:paraId="556E3B0D" w14:textId="77777777" w:rsidR="008F11CC" w:rsidRPr="00512A13" w:rsidRDefault="008F11CC" w:rsidP="008F11CC">
      <w:pPr>
        <w:rPr>
          <w:i/>
          <w:lang w:val="en-GB"/>
        </w:rPr>
      </w:pPr>
      <w:r w:rsidRPr="00196FBF">
        <w:rPr>
          <w:lang w:eastAsia="en-AU"/>
        </w:rPr>
        <w:t xml:space="preserve">The purpose of the </w:t>
      </w:r>
      <w:r w:rsidRPr="00196FBF">
        <w:rPr>
          <w:i/>
          <w:lang w:val="en-GB"/>
        </w:rPr>
        <w:t xml:space="preserve">Biosecurity (Exposed Conveyances–Exceptions from Biosecurity Control) Determination 2016 </w:t>
      </w:r>
      <w:r w:rsidRPr="00196FBF">
        <w:rPr>
          <w:lang w:eastAsia="en-AU"/>
        </w:rPr>
        <w:t xml:space="preserve">(Determination) is to </w:t>
      </w:r>
      <w:r w:rsidRPr="00196FBF">
        <w:rPr>
          <w:lang w:val="en-GB"/>
        </w:rPr>
        <w:t xml:space="preserve">provide exceptions </w:t>
      </w:r>
      <w:r w:rsidR="006A2764">
        <w:rPr>
          <w:lang w:val="en-GB"/>
        </w:rPr>
        <w:t xml:space="preserve">from biosecurity control </w:t>
      </w:r>
      <w:r w:rsidRPr="00196FBF">
        <w:rPr>
          <w:lang w:val="en-GB"/>
        </w:rPr>
        <w:t xml:space="preserve">for conveyances that are exposed to acceptable levels of biosecurity risk. This includes aircraft and vessels that are </w:t>
      </w:r>
      <w:r>
        <w:rPr>
          <w:lang w:val="en-GB"/>
        </w:rPr>
        <w:t>interacting with</w:t>
      </w:r>
      <w:r w:rsidRPr="00196FBF">
        <w:rPr>
          <w:lang w:val="en-GB"/>
        </w:rPr>
        <w:t xml:space="preserve"> installations or petroleum industry vessels outside Australian territory, if they are able to meet spec</w:t>
      </w:r>
      <w:r w:rsidR="00494C05">
        <w:rPr>
          <w:lang w:val="en-GB"/>
        </w:rPr>
        <w:t>ified circumstances that provides</w:t>
      </w:r>
      <w:r w:rsidRPr="00196FBF">
        <w:rPr>
          <w:lang w:val="en-GB"/>
        </w:rPr>
        <w:t xml:space="preserve"> that</w:t>
      </w:r>
      <w:r w:rsidRPr="00196FBF">
        <w:t xml:space="preserve"> biosecurity risk is acceptable or is being managed to an acceptable level.</w:t>
      </w:r>
    </w:p>
    <w:p w14:paraId="00DC38A5" w14:textId="77777777" w:rsidR="008F11CC" w:rsidRDefault="008F11CC" w:rsidP="008F11CC">
      <w:pPr>
        <w:rPr>
          <w:lang w:eastAsia="en-AU"/>
        </w:rPr>
      </w:pPr>
    </w:p>
    <w:p w14:paraId="1B75C7AB" w14:textId="77777777" w:rsidR="008F11CC" w:rsidRDefault="008F11CC" w:rsidP="008F11CC">
      <w:pPr>
        <w:tabs>
          <w:tab w:val="left" w:pos="1701"/>
          <w:tab w:val="right" w:pos="9072"/>
        </w:tabs>
        <w:rPr>
          <w:b/>
        </w:rPr>
      </w:pPr>
      <w:r>
        <w:rPr>
          <w:b/>
        </w:rPr>
        <w:t>Background</w:t>
      </w:r>
    </w:p>
    <w:p w14:paraId="1079A7AB" w14:textId="77777777" w:rsidR="00494C05" w:rsidRDefault="00494C05" w:rsidP="008F11CC">
      <w:pPr>
        <w:tabs>
          <w:tab w:val="left" w:pos="426"/>
          <w:tab w:val="left" w:pos="851"/>
        </w:tabs>
      </w:pPr>
    </w:p>
    <w:p w14:paraId="2622011C" w14:textId="77777777" w:rsidR="008F11CC" w:rsidRDefault="008F11CC" w:rsidP="008F11CC">
      <w:pPr>
        <w:tabs>
          <w:tab w:val="left" w:pos="426"/>
          <w:tab w:val="left" w:pos="851"/>
        </w:tabs>
      </w:pPr>
      <w:r>
        <w:t xml:space="preserve">The </w:t>
      </w:r>
      <w:r w:rsidR="000A56CE">
        <w:t xml:space="preserve">Biosecurity </w:t>
      </w:r>
      <w:r>
        <w:t>Act regulates conveyances and goods from outside Australian territory (</w:t>
      </w:r>
      <w:r w:rsidR="007A1FC0">
        <w:t xml:space="preserve">outside </w:t>
      </w:r>
      <w:r>
        <w:t xml:space="preserve">12 nautical miles) that enter into Australian territory. The change in jurisdiction from 200 nautical miles (under the </w:t>
      </w:r>
      <w:r w:rsidRPr="000D2C70">
        <w:rPr>
          <w:i/>
        </w:rPr>
        <w:t>Quarantine Act 1908</w:t>
      </w:r>
      <w:r>
        <w:t xml:space="preserve">) to 12 nautical miles under the </w:t>
      </w:r>
      <w:r w:rsidR="00C404FF">
        <w:t xml:space="preserve">Biosecurity </w:t>
      </w:r>
      <w:r>
        <w:t>Act means that a conveyance that leaves Australian territory and is exposed to another conveyance, including an installation, will be</w:t>
      </w:r>
      <w:r w:rsidR="00C404FF">
        <w:t>come</w:t>
      </w:r>
      <w:r>
        <w:t xml:space="preserve"> subject to biosecurity control when it re-enters Australian territory. Goods that are carried on board these conveyances are considered exposed goods under paragraph 158(1)(b) </w:t>
      </w:r>
      <w:r w:rsidR="00C404FF">
        <w:t xml:space="preserve">of the Biosecurity Act </w:t>
      </w:r>
      <w:r>
        <w:t xml:space="preserve">because they have been exposed to a conveyance that is subject to biosecurity </w:t>
      </w:r>
      <w:r w:rsidR="00C404FF">
        <w:t>control.</w:t>
      </w:r>
    </w:p>
    <w:p w14:paraId="019150ED" w14:textId="77777777" w:rsidR="008F11CC" w:rsidRDefault="008F11CC" w:rsidP="008F11CC">
      <w:pPr>
        <w:tabs>
          <w:tab w:val="left" w:pos="426"/>
          <w:tab w:val="left" w:pos="851"/>
        </w:tabs>
      </w:pPr>
    </w:p>
    <w:p w14:paraId="3EDA4357" w14:textId="2C4929F7" w:rsidR="005712F5" w:rsidRDefault="008F11CC" w:rsidP="008F11CC">
      <w:pPr>
        <w:tabs>
          <w:tab w:val="left" w:pos="426"/>
          <w:tab w:val="left" w:pos="851"/>
        </w:tabs>
      </w:pPr>
      <w:r>
        <w:t xml:space="preserve">These exposed conveyances will also be subject to </w:t>
      </w:r>
      <w:r w:rsidR="005712F5">
        <w:t>providing</w:t>
      </w:r>
      <w:r>
        <w:t xml:space="preserve"> a pre-arrival report under section 193 of the </w:t>
      </w:r>
      <w:r w:rsidR="000A56CE">
        <w:t xml:space="preserve">Biosecurity </w:t>
      </w:r>
      <w:r>
        <w:t>Act, and</w:t>
      </w:r>
      <w:r w:rsidR="005712F5">
        <w:t>,</w:t>
      </w:r>
      <w:r w:rsidR="00494C05">
        <w:t xml:space="preserve"> if there are goods on board that did not originate in Australian territory and are to be unloaded in Australian territory,</w:t>
      </w:r>
      <w:r>
        <w:t xml:space="preserve"> a notice of g</w:t>
      </w:r>
      <w:r w:rsidR="00494C05">
        <w:t xml:space="preserve">oods </w:t>
      </w:r>
      <w:r>
        <w:t xml:space="preserve">under section 120 of the </w:t>
      </w:r>
      <w:r w:rsidR="000A56CE">
        <w:t xml:space="preserve">Biosecurity </w:t>
      </w:r>
      <w:r>
        <w:t>Act.</w:t>
      </w:r>
    </w:p>
    <w:p w14:paraId="56563B62" w14:textId="77777777" w:rsidR="005712F5" w:rsidRDefault="005712F5" w:rsidP="008F11CC">
      <w:pPr>
        <w:tabs>
          <w:tab w:val="left" w:pos="426"/>
          <w:tab w:val="left" w:pos="851"/>
        </w:tabs>
      </w:pPr>
    </w:p>
    <w:p w14:paraId="6FEDD893" w14:textId="5F1B469E" w:rsidR="008F11CC" w:rsidRDefault="008F11CC" w:rsidP="008F11CC">
      <w:pPr>
        <w:tabs>
          <w:tab w:val="left" w:pos="426"/>
          <w:tab w:val="left" w:pos="851"/>
        </w:tabs>
      </w:pPr>
      <w:r>
        <w:t>Some industry members, in particular those in the shipping and offshore installation industries</w:t>
      </w:r>
      <w:r w:rsidR="005712F5">
        <w:t>,</w:t>
      </w:r>
      <w:r>
        <w:t xml:space="preserve"> have raised concerns about the increase in regulatory burden associated with the reduction in </w:t>
      </w:r>
      <w:r>
        <w:lastRenderedPageBreak/>
        <w:t xml:space="preserve">jurisdiction to 12 nautical miles. </w:t>
      </w:r>
      <w:r w:rsidR="005712F5">
        <w:t xml:space="preserve">As </w:t>
      </w:r>
      <w:r>
        <w:t>certain interactions between a conveyance that is not subject to biosecurity control and another conveyance that is subject to biosecurity control or that is outside Australian territory, do not present an unacceptable level of biosecurity risk</w:t>
      </w:r>
      <w:r w:rsidR="005712F5">
        <w:t xml:space="preserve">, </w:t>
      </w:r>
      <w:r>
        <w:t xml:space="preserve">exposed conveyance should not </w:t>
      </w:r>
      <w:r w:rsidR="005712F5">
        <w:t xml:space="preserve">always </w:t>
      </w:r>
      <w:r>
        <w:t>be</w:t>
      </w:r>
      <w:r w:rsidR="00C404FF">
        <w:t>come</w:t>
      </w:r>
      <w:r>
        <w:t xml:space="preserve"> subject to biosecurity control. </w:t>
      </w:r>
    </w:p>
    <w:p w14:paraId="129A7F03" w14:textId="77777777" w:rsidR="008F11CC" w:rsidRDefault="008F11CC" w:rsidP="008F11CC">
      <w:pPr>
        <w:tabs>
          <w:tab w:val="left" w:pos="426"/>
          <w:tab w:val="left" w:pos="851"/>
        </w:tabs>
      </w:pPr>
    </w:p>
    <w:p w14:paraId="4C074705" w14:textId="77777777" w:rsidR="008F11CC" w:rsidRDefault="008F11CC" w:rsidP="008F11CC">
      <w:pPr>
        <w:tabs>
          <w:tab w:val="left" w:pos="426"/>
          <w:tab w:val="left" w:pos="851"/>
        </w:tabs>
      </w:pPr>
      <w:r>
        <w:t xml:space="preserve">This Determination </w:t>
      </w:r>
      <w:r w:rsidR="005712F5">
        <w:t xml:space="preserve">works </w:t>
      </w:r>
      <w:r>
        <w:t xml:space="preserve">in conjunction with the </w:t>
      </w:r>
      <w:r w:rsidRPr="006E37AA">
        <w:rPr>
          <w:i/>
        </w:rPr>
        <w:t>Biosecurity Regulation 2016</w:t>
      </w:r>
      <w:r>
        <w:t>, which include</w:t>
      </w:r>
      <w:r w:rsidR="005712F5">
        <w:t>s</w:t>
      </w:r>
      <w:r>
        <w:t xml:space="preserve"> exceptions for notice of goods to be unloaded </w:t>
      </w:r>
      <w:r w:rsidR="007F1DA9">
        <w:t xml:space="preserve">and pre-arrival reporting </w:t>
      </w:r>
      <w:r>
        <w:t xml:space="preserve">under sections 120 </w:t>
      </w:r>
      <w:r w:rsidR="007F1DA9">
        <w:t xml:space="preserve">and 193 </w:t>
      </w:r>
      <w:r>
        <w:t xml:space="preserve">of the </w:t>
      </w:r>
      <w:r w:rsidR="000A56CE">
        <w:t xml:space="preserve">Biosecurity </w:t>
      </w:r>
      <w:r>
        <w:t xml:space="preserve">Act, </w:t>
      </w:r>
      <w:r w:rsidR="005D1F0E">
        <w:t xml:space="preserve">respectively, </w:t>
      </w:r>
      <w:r>
        <w:t xml:space="preserve">in order to reduce unnecessary </w:t>
      </w:r>
      <w:r w:rsidR="000A56CE">
        <w:t>regulatory burden on industry.</w:t>
      </w:r>
    </w:p>
    <w:p w14:paraId="4E3C55BF" w14:textId="77777777" w:rsidR="008F11CC" w:rsidRDefault="008F11CC" w:rsidP="008F11CC">
      <w:pPr>
        <w:shd w:val="clear" w:color="auto" w:fill="FFFFFF"/>
        <w:tabs>
          <w:tab w:val="left" w:pos="1701"/>
          <w:tab w:val="right" w:pos="9072"/>
        </w:tabs>
        <w:rPr>
          <w:rFonts w:eastAsia="Calibri"/>
        </w:rPr>
      </w:pPr>
    </w:p>
    <w:p w14:paraId="7BB24C70" w14:textId="77777777" w:rsidR="008F11CC" w:rsidRDefault="008F11CC" w:rsidP="008F11CC">
      <w:pPr>
        <w:shd w:val="clear" w:color="auto" w:fill="FFFFFF"/>
        <w:tabs>
          <w:tab w:val="left" w:pos="1701"/>
          <w:tab w:val="right" w:pos="9072"/>
        </w:tabs>
        <w:rPr>
          <w:rFonts w:eastAsia="Calibri"/>
        </w:rPr>
      </w:pPr>
      <w:r>
        <w:rPr>
          <w:b/>
        </w:rPr>
        <w:t>Impact and Effect</w:t>
      </w:r>
      <w:r>
        <w:t xml:space="preserve"> </w:t>
      </w:r>
    </w:p>
    <w:p w14:paraId="022B4C8B" w14:textId="77777777" w:rsidR="005D1F0E" w:rsidRDefault="005D1F0E" w:rsidP="008F11CC"/>
    <w:p w14:paraId="52241AAE" w14:textId="77777777" w:rsidR="008F11CC" w:rsidRPr="00512A13" w:rsidRDefault="008F11CC" w:rsidP="008F11CC">
      <w:pPr>
        <w:rPr>
          <w:i/>
          <w:lang w:val="en-GB"/>
        </w:rPr>
      </w:pPr>
      <w:r>
        <w:t>This Determination will minimise the unnecessary regulatory burden</w:t>
      </w:r>
      <w:r w:rsidRPr="00CE7EC5">
        <w:t xml:space="preserve"> </w:t>
      </w:r>
      <w:r>
        <w:t>on the operator or person in charge of conveyances which have not been exposed to unacceptable levels of biosecurity risk.</w:t>
      </w:r>
    </w:p>
    <w:p w14:paraId="4E20692B" w14:textId="77777777" w:rsidR="008F11CC" w:rsidRDefault="008F11CC" w:rsidP="008F11CC">
      <w:pPr>
        <w:autoSpaceDE w:val="0"/>
        <w:autoSpaceDN w:val="0"/>
        <w:rPr>
          <w:b/>
        </w:rPr>
      </w:pPr>
    </w:p>
    <w:p w14:paraId="4C6F6CF0" w14:textId="77777777" w:rsidR="008F11CC" w:rsidRDefault="008F11CC" w:rsidP="008F11CC">
      <w:pPr>
        <w:autoSpaceDE w:val="0"/>
        <w:autoSpaceDN w:val="0"/>
        <w:rPr>
          <w:b/>
        </w:rPr>
      </w:pPr>
      <w:r>
        <w:rPr>
          <w:b/>
        </w:rPr>
        <w:t>Consultation</w:t>
      </w:r>
    </w:p>
    <w:p w14:paraId="69B3169D" w14:textId="77777777" w:rsidR="008F11CC" w:rsidRDefault="008F11CC" w:rsidP="008F11CC">
      <w:pPr>
        <w:pStyle w:val="Normal-em"/>
        <w:shd w:val="clear" w:color="auto" w:fill="FFFFFF" w:themeFill="background1"/>
        <w:rPr>
          <w:b/>
          <w:caps/>
          <w:szCs w:val="24"/>
          <w:u w:val="single"/>
        </w:rPr>
      </w:pPr>
    </w:p>
    <w:p w14:paraId="167786AA" w14:textId="4D9174C1" w:rsidR="008C34A5" w:rsidRPr="00896442" w:rsidRDefault="008C34A5" w:rsidP="008C34A5">
      <w:pPr>
        <w:tabs>
          <w:tab w:val="left" w:pos="8080"/>
        </w:tabs>
        <w:ind w:right="-410"/>
      </w:pPr>
      <w:r w:rsidRPr="00896442">
        <w:t xml:space="preserve">During the 2015–16 implementation of the </w:t>
      </w:r>
      <w:r w:rsidRPr="002E37E7">
        <w:t>Biosecurity Act</w:t>
      </w:r>
      <w:r w:rsidRPr="00896442">
        <w:rPr>
          <w:i/>
        </w:rPr>
        <w:t>,</w:t>
      </w:r>
      <w:r w:rsidR="001028B5">
        <w:t xml:space="preserve"> the D</w:t>
      </w:r>
      <w:r w:rsidRPr="00896442">
        <w:t>epartment</w:t>
      </w:r>
      <w:r w:rsidR="001028B5">
        <w:t xml:space="preserve"> of Agriculture and Water Resources</w:t>
      </w:r>
      <w:r w:rsidRPr="00896442">
        <w:t xml:space="preserve"> actively raised awareness among clients, stakeholders and the general public that</w:t>
      </w:r>
      <w:r w:rsidR="000A56CE">
        <w:t xml:space="preserve"> new legislation commence on 16 </w:t>
      </w:r>
      <w:r w:rsidRPr="00896442">
        <w:t>June 2016.</w:t>
      </w:r>
    </w:p>
    <w:p w14:paraId="0275E461" w14:textId="77777777" w:rsidR="008C34A5" w:rsidRPr="00896442" w:rsidRDefault="008C34A5" w:rsidP="008C34A5">
      <w:pPr>
        <w:tabs>
          <w:tab w:val="left" w:pos="8080"/>
        </w:tabs>
        <w:ind w:right="-410"/>
      </w:pPr>
    </w:p>
    <w:p w14:paraId="7FC70EB0" w14:textId="77777777" w:rsidR="008C34A5" w:rsidRDefault="008C34A5" w:rsidP="008C34A5">
      <w:pPr>
        <w:suppressAutoHyphens/>
        <w:autoSpaceDN w:val="0"/>
        <w:textAlignment w:val="baseline"/>
      </w:pPr>
      <w:r w:rsidRPr="00896442">
        <w:t xml:space="preserve">The department provided extensive opportunities for clients and stakeholders to become informed about the changes to the legislative framework so that they understood their obligations and the implications of the changes on their business. Stakeholders and clients were consulted and engaged throughout the development of the draft delegated legislation, and were encouraged to provide feedback. Fact sheets supporting the release of draft </w:t>
      </w:r>
      <w:r>
        <w:t>delegated legislation</w:t>
      </w:r>
      <w:r w:rsidRPr="00896442">
        <w:t xml:space="preserve"> for public consultation were available on the department’s website, and were distributed to stakeholders to provide additional clarity.</w:t>
      </w:r>
    </w:p>
    <w:p w14:paraId="128B71A6" w14:textId="77777777" w:rsidR="000A56CE" w:rsidRDefault="000A56CE" w:rsidP="008C34A5">
      <w:pPr>
        <w:suppressAutoHyphens/>
        <w:autoSpaceDN w:val="0"/>
        <w:textAlignment w:val="baseline"/>
      </w:pPr>
    </w:p>
    <w:p w14:paraId="0A93B384" w14:textId="77777777" w:rsidR="008C34A5" w:rsidRPr="00896442" w:rsidRDefault="008C34A5" w:rsidP="008C34A5">
      <w:pPr>
        <w:suppressAutoHyphens/>
        <w:autoSpaceDN w:val="0"/>
        <w:textAlignment w:val="baseline"/>
      </w:pPr>
      <w:r w:rsidRPr="00896442">
        <w:t>Where possible a minimum 60-day consultation period was provided to stakeholders.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5F5A89FF" w14:textId="77777777" w:rsidR="008C34A5" w:rsidRDefault="008C34A5" w:rsidP="008C34A5">
      <w:pPr>
        <w:suppressAutoHyphens/>
        <w:autoSpaceDN w:val="0"/>
        <w:textAlignment w:val="baseline"/>
      </w:pPr>
    </w:p>
    <w:p w14:paraId="2F6CDA92" w14:textId="77777777" w:rsidR="005712F5" w:rsidRDefault="005712F5" w:rsidP="008C34A5">
      <w:pPr>
        <w:suppressAutoHyphens/>
        <w:autoSpaceDN w:val="0"/>
        <w:textAlignment w:val="baseline"/>
      </w:pPr>
      <w:r w:rsidRPr="000A56CE">
        <w:t xml:space="preserve">The department </w:t>
      </w:r>
      <w:r>
        <w:t xml:space="preserve">also engaged with </w:t>
      </w:r>
      <w:r w:rsidRPr="000A56CE">
        <w:t>the Australian Petroleum Production &amp; Exploration Association, the peak national body representing Australia’s oil and gas exploration and production industry</w:t>
      </w:r>
      <w:r>
        <w:t>, and a number of industry members</w:t>
      </w:r>
      <w:r w:rsidRPr="000A56CE">
        <w:t xml:space="preserve"> in the development of this Determination.</w:t>
      </w:r>
    </w:p>
    <w:p w14:paraId="7E09F232" w14:textId="77777777" w:rsidR="005712F5" w:rsidRPr="00896442" w:rsidRDefault="005712F5" w:rsidP="008C34A5">
      <w:pPr>
        <w:suppressAutoHyphens/>
        <w:autoSpaceDN w:val="0"/>
        <w:textAlignment w:val="baseline"/>
      </w:pPr>
    </w:p>
    <w:p w14:paraId="5E9D5C3A" w14:textId="77777777" w:rsidR="008C34A5" w:rsidRPr="00896442" w:rsidRDefault="008C34A5" w:rsidP="008C34A5">
      <w:pPr>
        <w:suppressAutoHyphens/>
        <w:autoSpaceDN w:val="0"/>
        <w:textAlignment w:val="baseline"/>
      </w:pPr>
      <w:r w:rsidRPr="00896442">
        <w:t>The department used a multi-faceted engagement approach, including:</w:t>
      </w:r>
    </w:p>
    <w:p w14:paraId="55E804D8"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 xml:space="preserve">targeted and voluntary engagement </w:t>
      </w:r>
    </w:p>
    <w:p w14:paraId="410EC243"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forums</w:t>
      </w:r>
    </w:p>
    <w:p w14:paraId="6E3F5E7A"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workshops</w:t>
      </w:r>
    </w:p>
    <w:p w14:paraId="10185BDE"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information sessions</w:t>
      </w:r>
    </w:p>
    <w:p w14:paraId="11891CB5"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industry notifications</w:t>
      </w:r>
    </w:p>
    <w:p w14:paraId="541F030D"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media releases</w:t>
      </w:r>
    </w:p>
    <w:p w14:paraId="44C4E583"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industry eLearning</w:t>
      </w:r>
    </w:p>
    <w:p w14:paraId="50A5999F" w14:textId="77777777" w:rsidR="008C34A5" w:rsidRPr="00896442" w:rsidRDefault="008C34A5" w:rsidP="008C34A5">
      <w:pPr>
        <w:pStyle w:val="ListParagraph"/>
        <w:numPr>
          <w:ilvl w:val="0"/>
          <w:numId w:val="8"/>
        </w:numPr>
        <w:suppressAutoHyphens/>
        <w:autoSpaceDN w:val="0"/>
        <w:textAlignment w:val="baseline"/>
        <w:rPr>
          <w:rFonts w:ascii="Times New Roman" w:hAnsi="Times New Roman"/>
          <w:sz w:val="24"/>
        </w:rPr>
      </w:pPr>
      <w:r w:rsidRPr="00896442">
        <w:rPr>
          <w:rFonts w:ascii="Times New Roman" w:hAnsi="Times New Roman"/>
          <w:sz w:val="24"/>
        </w:rPr>
        <w:t>fact</w:t>
      </w:r>
      <w:r>
        <w:rPr>
          <w:rFonts w:ascii="Times New Roman" w:hAnsi="Times New Roman"/>
          <w:sz w:val="24"/>
        </w:rPr>
        <w:t xml:space="preserve"> </w:t>
      </w:r>
      <w:r w:rsidRPr="00896442">
        <w:rPr>
          <w:rFonts w:ascii="Times New Roman" w:hAnsi="Times New Roman"/>
          <w:sz w:val="24"/>
        </w:rPr>
        <w:t>sheets.</w:t>
      </w:r>
    </w:p>
    <w:p w14:paraId="7C034A17" w14:textId="77777777" w:rsidR="008C34A5" w:rsidRPr="00896442" w:rsidRDefault="008C34A5" w:rsidP="008C34A5">
      <w:pPr>
        <w:suppressAutoHyphens/>
        <w:autoSpaceDN w:val="0"/>
        <w:textAlignment w:val="baseline"/>
      </w:pPr>
    </w:p>
    <w:p w14:paraId="253E52B0" w14:textId="77777777" w:rsidR="008C34A5" w:rsidRPr="00896442" w:rsidRDefault="008C34A5" w:rsidP="008C34A5">
      <w:pPr>
        <w:suppressAutoHyphens/>
        <w:autoSpaceDN w:val="0"/>
        <w:textAlignment w:val="baseline"/>
      </w:pPr>
      <w:r w:rsidRPr="00896442">
        <w:t>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shipping, ports, petroleum, airlines, airports, freight, cargo, science, food and beverage, and animal health.</w:t>
      </w:r>
    </w:p>
    <w:p w14:paraId="62F6E701" w14:textId="77777777" w:rsidR="008C34A5" w:rsidRPr="00896442" w:rsidRDefault="008C34A5" w:rsidP="008C34A5">
      <w:pPr>
        <w:suppressAutoHyphens/>
        <w:autoSpaceDN w:val="0"/>
        <w:textAlignment w:val="baseline"/>
      </w:pPr>
    </w:p>
    <w:p w14:paraId="3508ECA0" w14:textId="77777777" w:rsidR="008C34A5" w:rsidRPr="00896442" w:rsidRDefault="008C34A5" w:rsidP="008C34A5">
      <w:pPr>
        <w:suppressAutoHyphens/>
        <w:autoSpaceDN w:val="0"/>
        <w:textAlignment w:val="baseline"/>
      </w:pPr>
      <w:r w:rsidRPr="00896442">
        <w:t>The Biosecurity Legislation Industry roadshow travelled to eight major city regions in Australia between 14 March and 6 April 2016. Each session provided participants with an overview of the new legislation and explained how the Biosecurity Act and the delegated legislation may affect industry in different regions. The sessions were attended by approximately 700 representatives overall from shipping, ports, petroleum, airlines, airports, freight, cargo, research, education, science, plant and animal health and state, territory and federal governments. Invitations were sent via the department’s subscription lists and also to members of consultative committees encouraging them to share with their members.</w:t>
      </w:r>
    </w:p>
    <w:p w14:paraId="326A991B" w14:textId="77777777" w:rsidR="008C34A5" w:rsidRPr="00896442" w:rsidRDefault="008C34A5" w:rsidP="008C34A5">
      <w:pPr>
        <w:suppressAutoHyphens/>
        <w:autoSpaceDN w:val="0"/>
        <w:textAlignment w:val="baseline"/>
      </w:pPr>
    </w:p>
    <w:p w14:paraId="3E8078A0" w14:textId="77777777" w:rsidR="008C34A5" w:rsidRPr="00896442" w:rsidRDefault="008C34A5" w:rsidP="008C34A5">
      <w:pPr>
        <w:suppressAutoHyphens/>
        <w:autoSpaceDN w:val="0"/>
        <w:textAlignment w:val="baseline"/>
      </w:pPr>
      <w:r w:rsidRPr="00896442">
        <w:t>During 2015–16</w:t>
      </w:r>
      <w:r>
        <w:t>,</w:t>
      </w:r>
      <w:r w:rsidRPr="00896442">
        <w:t xml:space="preserve"> the department also held me</w:t>
      </w:r>
      <w:r>
        <w:t xml:space="preserve">etings and workshops with state and </w:t>
      </w:r>
      <w:r w:rsidRPr="00896442">
        <w:t xml:space="preserve">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w:t>
      </w:r>
      <w:r>
        <w:t>to advise that draft delegated legislation</w:t>
      </w:r>
      <w:r w:rsidRPr="00896442">
        <w:t xml:space="preserve"> had been released for public comment and to encourage them to make a submission. Regular biosecurity legislation update notifications were distributed to subscribers across five of the department’s subscription lists. International trading partners were also notified via the World Trade Organization Sanitary </w:t>
      </w:r>
      <w:r>
        <w:t>and Phytosanitary notification.</w:t>
      </w:r>
    </w:p>
    <w:p w14:paraId="61A06777" w14:textId="77777777" w:rsidR="008C34A5" w:rsidRPr="00896442" w:rsidRDefault="008C34A5" w:rsidP="008C34A5">
      <w:pPr>
        <w:rPr>
          <w:lang w:eastAsia="ja-JP"/>
        </w:rPr>
      </w:pPr>
    </w:p>
    <w:p w14:paraId="61AE3C29" w14:textId="51E3D94F" w:rsidR="008C34A5" w:rsidRPr="00896442" w:rsidRDefault="008C34A5" w:rsidP="008C34A5">
      <w:pPr>
        <w:rPr>
          <w:color w:val="000000" w:themeColor="text1"/>
        </w:rPr>
      </w:pPr>
      <w:r w:rsidRPr="00896442">
        <w:rPr>
          <w:color w:val="000000" w:themeColor="text1"/>
        </w:rPr>
        <w:t>The department received 52 individual submissions in relation to the delegated legislation released for public consultation</w:t>
      </w:r>
      <w:r w:rsidR="00355F96">
        <w:rPr>
          <w:color w:val="000000" w:themeColor="text1"/>
        </w:rPr>
        <w:t xml:space="preserve"> until 24 March 2016</w:t>
      </w:r>
      <w:r w:rsidRPr="00896442">
        <w:rPr>
          <w:color w:val="000000" w:themeColor="text1"/>
        </w:rPr>
        <w:t>. Submissions were received from state governments, international governments, industry peak bodies, environmental bodies, agricultural producers, importers, freight companies, airlines and universities.</w:t>
      </w:r>
    </w:p>
    <w:p w14:paraId="7446DB5D" w14:textId="77777777" w:rsidR="008C34A5" w:rsidRPr="00896442" w:rsidRDefault="008C34A5" w:rsidP="008C34A5">
      <w:pPr>
        <w:rPr>
          <w:color w:val="000000" w:themeColor="text1"/>
        </w:rPr>
      </w:pPr>
    </w:p>
    <w:p w14:paraId="5D5A8342" w14:textId="77777777" w:rsidR="008C34A5" w:rsidRPr="00896442" w:rsidRDefault="008C34A5" w:rsidP="008C34A5">
      <w:pPr>
        <w:keepLines/>
      </w:pPr>
      <w:r w:rsidRPr="00896442">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746A5A35" w14:textId="77777777" w:rsidR="008C34A5" w:rsidRPr="00896442" w:rsidRDefault="008C34A5" w:rsidP="008C34A5">
      <w:pPr>
        <w:keepLines/>
      </w:pPr>
    </w:p>
    <w:p w14:paraId="2F139E4A" w14:textId="07B73660" w:rsidR="008C34A5" w:rsidRPr="00896442" w:rsidRDefault="008C34A5" w:rsidP="008C34A5">
      <w:pPr>
        <w:keepLines/>
      </w:pPr>
      <w:r w:rsidRPr="00896442">
        <w:t>The Office of Best Practice Regulation (OBPR) was consulted in the pre</w:t>
      </w:r>
      <w:r w:rsidR="0087589F">
        <w:t>paration of the Regulation</w:t>
      </w:r>
      <w:r w:rsidRPr="00896442">
        <w:t xml:space="preserve"> Impact Statement (RIS) for the Biosecurity Bill 2014 (ID: 16609). The OBPR advised on 31 March 2016 that a further RIS is not required</w:t>
      </w:r>
      <w:r w:rsidR="005D4543">
        <w:t xml:space="preserve"> for the purpose</w:t>
      </w:r>
      <w:r w:rsidR="00AE5E2F">
        <w:t>s</w:t>
      </w:r>
      <w:r w:rsidR="005D4543">
        <w:t xml:space="preserve"> of Biosecurity delegated legislation</w:t>
      </w:r>
      <w:r w:rsidRPr="00896442">
        <w:t>. The department consulted the Office of Parliamentary Counsel in the drafting of this Determination.</w:t>
      </w:r>
    </w:p>
    <w:p w14:paraId="1EAC3A40" w14:textId="77777777" w:rsidR="008C34A5" w:rsidRPr="00896442" w:rsidRDefault="008C34A5" w:rsidP="008C34A5">
      <w:pPr>
        <w:contextualSpacing/>
      </w:pPr>
    </w:p>
    <w:p w14:paraId="50437A06" w14:textId="77777777" w:rsidR="008C34A5" w:rsidRPr="00896442" w:rsidRDefault="008C34A5" w:rsidP="008C34A5">
      <w:pPr>
        <w:contextualSpacing/>
        <w:rPr>
          <w:lang w:eastAsia="en-AU"/>
        </w:rPr>
      </w:pPr>
      <w:r w:rsidRPr="00896442">
        <w:t xml:space="preserve">The Determination is a legislative instrument for the purpose of the </w:t>
      </w:r>
      <w:r w:rsidRPr="00896442">
        <w:rPr>
          <w:i/>
        </w:rPr>
        <w:t>Legislation Act 2003</w:t>
      </w:r>
      <w:r w:rsidRPr="00896442">
        <w:t>.</w:t>
      </w:r>
    </w:p>
    <w:p w14:paraId="47AD0AAD" w14:textId="77777777" w:rsidR="008C34A5" w:rsidRPr="00896442" w:rsidRDefault="008C34A5" w:rsidP="008C34A5">
      <w:pPr>
        <w:tabs>
          <w:tab w:val="left" w:pos="1701"/>
          <w:tab w:val="right" w:pos="9072"/>
        </w:tabs>
      </w:pPr>
    </w:p>
    <w:p w14:paraId="547F6829" w14:textId="77777777" w:rsidR="008C34A5" w:rsidRPr="00896442" w:rsidRDefault="008C34A5" w:rsidP="008C34A5">
      <w:pPr>
        <w:contextualSpacing/>
        <w:rPr>
          <w:lang w:eastAsia="en-AU"/>
        </w:rPr>
      </w:pPr>
      <w:r w:rsidRPr="00896442">
        <w:rPr>
          <w:lang w:eastAsia="en-AU"/>
        </w:rPr>
        <w:lastRenderedPageBreak/>
        <w:t xml:space="preserve">The Determination is compatible with human rights and freedoms recognised or declared under section 3 of the </w:t>
      </w:r>
      <w:r w:rsidRPr="00896442">
        <w:rPr>
          <w:i/>
          <w:lang w:eastAsia="en-AU"/>
        </w:rPr>
        <w:t>Human Rights (Parliamentary Scrutiny) Act 2011</w:t>
      </w:r>
      <w:r w:rsidRPr="00896442">
        <w:rPr>
          <w:lang w:eastAsia="en-AU"/>
        </w:rPr>
        <w:t>. A full statement of compatibility is set out in</w:t>
      </w:r>
      <w:r>
        <w:rPr>
          <w:lang w:eastAsia="en-AU"/>
        </w:rPr>
        <w:t xml:space="preserve"> the</w:t>
      </w:r>
      <w:r w:rsidRPr="00896442">
        <w:rPr>
          <w:lang w:eastAsia="en-AU"/>
        </w:rPr>
        <w:t xml:space="preserve"> </w:t>
      </w:r>
      <w:r w:rsidRPr="00896442">
        <w:rPr>
          <w:u w:val="single"/>
          <w:lang w:eastAsia="en-AU"/>
        </w:rPr>
        <w:t>Attachment</w:t>
      </w:r>
      <w:r w:rsidRPr="00896442">
        <w:rPr>
          <w:lang w:eastAsia="en-AU"/>
        </w:rPr>
        <w:t>.</w:t>
      </w:r>
    </w:p>
    <w:p w14:paraId="36CBDA84" w14:textId="77777777" w:rsidR="008F11CC" w:rsidRDefault="008F11CC">
      <w:pPr>
        <w:rPr>
          <w:rFonts w:eastAsia="Calibri"/>
          <w:b/>
          <w:u w:val="single"/>
        </w:rPr>
      </w:pPr>
    </w:p>
    <w:p w14:paraId="458AC9D4" w14:textId="77777777" w:rsidR="005C3B05" w:rsidRDefault="003E5135">
      <w:pPr>
        <w:rPr>
          <w:b/>
          <w:u w:val="single"/>
          <w:lang w:val="en-GB"/>
        </w:rPr>
      </w:pPr>
      <w:r>
        <w:rPr>
          <w:rFonts w:eastAsia="Calibri"/>
          <w:b/>
          <w:u w:val="single"/>
        </w:rPr>
        <w:t xml:space="preserve">Details of the </w:t>
      </w:r>
      <w:r w:rsidR="00A751E4">
        <w:rPr>
          <w:b/>
          <w:i/>
          <w:u w:val="single"/>
          <w:lang w:eastAsia="en-AU"/>
        </w:rPr>
        <w:t>Biosecurity (Exposed Conveyances–Exceptions from Biosecurity Control) Determination 2016</w:t>
      </w:r>
    </w:p>
    <w:p w14:paraId="786D959D" w14:textId="77777777" w:rsidR="005C3B05" w:rsidRDefault="005C3B05">
      <w:pPr>
        <w:shd w:val="clear" w:color="auto" w:fill="FFFFFF" w:themeFill="background1"/>
        <w:tabs>
          <w:tab w:val="left" w:pos="1701"/>
          <w:tab w:val="right" w:pos="9072"/>
        </w:tabs>
        <w:rPr>
          <w:b/>
          <w:u w:val="single"/>
        </w:rPr>
      </w:pPr>
    </w:p>
    <w:p w14:paraId="1F11B2CE" w14:textId="77777777" w:rsidR="005C3B05" w:rsidRDefault="000A56CE">
      <w:pPr>
        <w:pStyle w:val="Normal-em"/>
        <w:shd w:val="clear" w:color="auto" w:fill="FFFFFF" w:themeFill="background1"/>
        <w:ind w:left="1440" w:hanging="1440"/>
        <w:rPr>
          <w:color w:val="auto"/>
          <w:szCs w:val="24"/>
          <w:u w:val="single"/>
        </w:rPr>
      </w:pPr>
      <w:r>
        <w:rPr>
          <w:color w:val="auto"/>
          <w:szCs w:val="24"/>
          <w:u w:val="single"/>
        </w:rPr>
        <w:t>Section 1 – Name</w:t>
      </w:r>
    </w:p>
    <w:p w14:paraId="05054B9A" w14:textId="77777777" w:rsidR="000A56CE" w:rsidRDefault="000A56CE">
      <w:pPr>
        <w:pStyle w:val="Normal-em"/>
        <w:shd w:val="clear" w:color="auto" w:fill="FFFFFF" w:themeFill="background1"/>
        <w:ind w:left="1440" w:hanging="1440"/>
        <w:rPr>
          <w:color w:val="auto"/>
          <w:szCs w:val="24"/>
          <w:u w:val="single"/>
        </w:rPr>
      </w:pPr>
    </w:p>
    <w:p w14:paraId="3732005A" w14:textId="77777777" w:rsidR="005C3B05" w:rsidRDefault="003E5135">
      <w:pPr>
        <w:rPr>
          <w:lang w:val="en-GB"/>
        </w:rPr>
      </w:pPr>
      <w:r>
        <w:t xml:space="preserve">This section provides that the name of the </w:t>
      </w:r>
      <w:r w:rsidR="00A751E4">
        <w:t>Determination</w:t>
      </w:r>
      <w:r>
        <w:t xml:space="preserve"> is the </w:t>
      </w:r>
      <w:r w:rsidR="00A751E4">
        <w:rPr>
          <w:i/>
          <w:lang w:eastAsia="en-AU"/>
        </w:rPr>
        <w:t>Biosecurity (Exposed Conveyances–Exceptions from Biosecurity Control) Determination 2016</w:t>
      </w:r>
      <w:r>
        <w:rPr>
          <w:lang w:eastAsia="en-AU"/>
        </w:rPr>
        <w:t>.</w:t>
      </w:r>
    </w:p>
    <w:p w14:paraId="14445962" w14:textId="77777777" w:rsidR="005C3B05" w:rsidRDefault="005C3B05">
      <w:pPr>
        <w:pStyle w:val="Normal-em"/>
        <w:shd w:val="clear" w:color="auto" w:fill="FFFFFF" w:themeFill="background1"/>
        <w:rPr>
          <w:color w:val="auto"/>
          <w:szCs w:val="24"/>
        </w:rPr>
      </w:pPr>
    </w:p>
    <w:p w14:paraId="1D25D288" w14:textId="77777777" w:rsidR="005C3B05" w:rsidRDefault="003E5135">
      <w:pPr>
        <w:pStyle w:val="Normal-em"/>
        <w:shd w:val="clear" w:color="auto" w:fill="FFFFFF" w:themeFill="background1"/>
        <w:rPr>
          <w:color w:val="auto"/>
          <w:szCs w:val="24"/>
          <w:u w:val="single"/>
        </w:rPr>
      </w:pPr>
      <w:r>
        <w:rPr>
          <w:color w:val="auto"/>
          <w:szCs w:val="24"/>
          <w:u w:val="single"/>
        </w:rPr>
        <w:t>Section 2 – Commencement</w:t>
      </w:r>
    </w:p>
    <w:p w14:paraId="4F0A5B49" w14:textId="77777777" w:rsidR="000A56CE" w:rsidRDefault="000A56CE">
      <w:pPr>
        <w:pStyle w:val="Normal-em"/>
        <w:shd w:val="clear" w:color="auto" w:fill="FFFFFF" w:themeFill="background1"/>
        <w:rPr>
          <w:color w:val="auto"/>
          <w:szCs w:val="24"/>
          <w:u w:val="single"/>
        </w:rPr>
      </w:pPr>
    </w:p>
    <w:p w14:paraId="5B5CDBFB" w14:textId="77777777" w:rsidR="005C3B05" w:rsidRDefault="003E5135">
      <w:pPr>
        <w:pStyle w:val="Normal-em"/>
        <w:shd w:val="clear" w:color="auto" w:fill="FFFFFF" w:themeFill="background1"/>
        <w:rPr>
          <w:rFonts w:eastAsia="Calibri"/>
          <w:szCs w:val="24"/>
        </w:rPr>
      </w:pPr>
      <w:r>
        <w:rPr>
          <w:color w:val="auto"/>
          <w:szCs w:val="24"/>
        </w:rPr>
        <w:t xml:space="preserve">This section provides that </w:t>
      </w:r>
      <w:r>
        <w:rPr>
          <w:rFonts w:eastAsia="Calibri"/>
          <w:szCs w:val="24"/>
        </w:rPr>
        <w:t xml:space="preserve">the </w:t>
      </w:r>
      <w:r w:rsidR="00A751E4">
        <w:rPr>
          <w:rFonts w:eastAsia="Calibri"/>
          <w:szCs w:val="24"/>
        </w:rPr>
        <w:t xml:space="preserve">Determination commences at the same time as section 3 of the </w:t>
      </w:r>
      <w:r w:rsidR="009946D0" w:rsidRPr="009946D0">
        <w:rPr>
          <w:rFonts w:eastAsia="Calibri"/>
          <w:szCs w:val="24"/>
        </w:rPr>
        <w:t>Biosecurity Act</w:t>
      </w:r>
      <w:r w:rsidR="009946D0">
        <w:rPr>
          <w:rFonts w:eastAsia="Calibri"/>
          <w:i/>
          <w:szCs w:val="24"/>
        </w:rPr>
        <w:t xml:space="preserve"> </w:t>
      </w:r>
      <w:r w:rsidR="00A751E4">
        <w:rPr>
          <w:rFonts w:eastAsia="Calibri"/>
          <w:szCs w:val="24"/>
        </w:rPr>
        <w:t>commences</w:t>
      </w:r>
      <w:r>
        <w:rPr>
          <w:rFonts w:eastAsia="Calibri"/>
          <w:szCs w:val="24"/>
        </w:rPr>
        <w:t>.</w:t>
      </w:r>
      <w:r w:rsidR="00883C40">
        <w:rPr>
          <w:rFonts w:eastAsia="Calibri"/>
          <w:szCs w:val="24"/>
        </w:rPr>
        <w:t xml:space="preserve"> Section 3 of the Biosecurity Act commences</w:t>
      </w:r>
      <w:r w:rsidR="009946D0">
        <w:rPr>
          <w:rFonts w:eastAsia="Calibri"/>
          <w:szCs w:val="24"/>
        </w:rPr>
        <w:t xml:space="preserve"> on</w:t>
      </w:r>
      <w:r w:rsidR="00883C40">
        <w:rPr>
          <w:rFonts w:eastAsia="Calibri"/>
          <w:szCs w:val="24"/>
        </w:rPr>
        <w:t xml:space="preserve"> 16 June 2016.</w:t>
      </w:r>
    </w:p>
    <w:p w14:paraId="14700B92" w14:textId="77777777" w:rsidR="00FB7C8A" w:rsidRDefault="00FB7C8A">
      <w:pPr>
        <w:pStyle w:val="Normal-em"/>
        <w:shd w:val="clear" w:color="auto" w:fill="FFFFFF" w:themeFill="background1"/>
        <w:ind w:left="1440" w:hanging="1440"/>
        <w:rPr>
          <w:color w:val="auto"/>
          <w:szCs w:val="24"/>
          <w:u w:val="single"/>
        </w:rPr>
      </w:pPr>
    </w:p>
    <w:p w14:paraId="29789C48" w14:textId="77777777" w:rsidR="005C3B05" w:rsidRDefault="003E5135">
      <w:pPr>
        <w:pStyle w:val="Normal-em"/>
        <w:shd w:val="clear" w:color="auto" w:fill="FFFFFF" w:themeFill="background1"/>
        <w:ind w:left="1440" w:hanging="1440"/>
        <w:rPr>
          <w:color w:val="auto"/>
          <w:szCs w:val="24"/>
          <w:u w:val="single"/>
        </w:rPr>
      </w:pPr>
      <w:r>
        <w:rPr>
          <w:color w:val="auto"/>
          <w:szCs w:val="24"/>
          <w:u w:val="single"/>
        </w:rPr>
        <w:t>Section 3 – Authority</w:t>
      </w:r>
    </w:p>
    <w:p w14:paraId="1310517F" w14:textId="77777777" w:rsidR="009946D0" w:rsidRDefault="009946D0">
      <w:pPr>
        <w:pStyle w:val="Normal-em"/>
        <w:shd w:val="clear" w:color="auto" w:fill="FFFFFF" w:themeFill="background1"/>
        <w:ind w:left="1440" w:hanging="1440"/>
        <w:rPr>
          <w:color w:val="auto"/>
          <w:szCs w:val="24"/>
          <w:u w:val="single"/>
        </w:rPr>
      </w:pPr>
    </w:p>
    <w:p w14:paraId="741338B8" w14:textId="77777777" w:rsidR="005C3B05" w:rsidRDefault="003E5135">
      <w:pPr>
        <w:pStyle w:val="Normal-em"/>
        <w:shd w:val="clear" w:color="auto" w:fill="FFFFFF" w:themeFill="background1"/>
        <w:rPr>
          <w:iCs/>
          <w:szCs w:val="24"/>
        </w:rPr>
      </w:pPr>
      <w:r>
        <w:rPr>
          <w:color w:val="auto"/>
          <w:szCs w:val="24"/>
        </w:rPr>
        <w:t xml:space="preserve">This section provides that the </w:t>
      </w:r>
      <w:r w:rsidR="00A751E4">
        <w:rPr>
          <w:color w:val="auto"/>
          <w:szCs w:val="24"/>
        </w:rPr>
        <w:t xml:space="preserve">Determination </w:t>
      </w:r>
      <w:r>
        <w:rPr>
          <w:color w:val="auto"/>
          <w:szCs w:val="24"/>
        </w:rPr>
        <w:t xml:space="preserve">is made under </w:t>
      </w:r>
      <w:r w:rsidR="00A751E4">
        <w:rPr>
          <w:color w:val="auto"/>
          <w:szCs w:val="24"/>
        </w:rPr>
        <w:t xml:space="preserve">subsection 192(6) of the </w:t>
      </w:r>
      <w:r w:rsidR="00A751E4" w:rsidRPr="009946D0">
        <w:rPr>
          <w:color w:val="auto"/>
          <w:szCs w:val="24"/>
        </w:rPr>
        <w:t>Biosecurity </w:t>
      </w:r>
      <w:r w:rsidR="009946D0" w:rsidRPr="009946D0">
        <w:rPr>
          <w:color w:val="auto"/>
          <w:szCs w:val="24"/>
        </w:rPr>
        <w:t>Act</w:t>
      </w:r>
      <w:r>
        <w:rPr>
          <w:iCs/>
          <w:szCs w:val="24"/>
        </w:rPr>
        <w:t>.</w:t>
      </w:r>
    </w:p>
    <w:p w14:paraId="2073E4E7" w14:textId="77777777" w:rsidR="005C3B05" w:rsidRDefault="005C3B05">
      <w:pPr>
        <w:pStyle w:val="Normal-em"/>
        <w:shd w:val="clear" w:color="auto" w:fill="FFFFFF" w:themeFill="background1"/>
        <w:rPr>
          <w:b/>
          <w:caps/>
          <w:szCs w:val="24"/>
          <w:u w:val="single"/>
        </w:rPr>
      </w:pPr>
    </w:p>
    <w:p w14:paraId="192147B7" w14:textId="77777777" w:rsidR="005C3B05" w:rsidRDefault="00A751E4">
      <w:pPr>
        <w:pStyle w:val="Normal-em"/>
        <w:shd w:val="clear" w:color="auto" w:fill="FFFFFF" w:themeFill="background1"/>
        <w:ind w:left="1440" w:hanging="1440"/>
        <w:rPr>
          <w:color w:val="auto"/>
          <w:szCs w:val="24"/>
          <w:u w:val="single"/>
        </w:rPr>
      </w:pPr>
      <w:r>
        <w:rPr>
          <w:color w:val="auto"/>
          <w:szCs w:val="24"/>
          <w:u w:val="single"/>
        </w:rPr>
        <w:t>Section 4 – Definitions</w:t>
      </w:r>
    </w:p>
    <w:p w14:paraId="2CC8EA22" w14:textId="77777777" w:rsidR="009946D0" w:rsidRDefault="009946D0">
      <w:pPr>
        <w:pStyle w:val="Normal-em"/>
        <w:shd w:val="clear" w:color="auto" w:fill="FFFFFF" w:themeFill="background1"/>
        <w:ind w:left="1440" w:hanging="1440"/>
        <w:rPr>
          <w:color w:val="auto"/>
          <w:szCs w:val="24"/>
          <w:u w:val="single"/>
        </w:rPr>
      </w:pPr>
    </w:p>
    <w:p w14:paraId="32CAEC19" w14:textId="5D6989A4" w:rsidR="005C3B05" w:rsidRDefault="003E5135">
      <w:r>
        <w:t xml:space="preserve">This section </w:t>
      </w:r>
      <w:r w:rsidR="00A751E4">
        <w:t>sets out the relevant definitions for the Determination</w:t>
      </w:r>
      <w:r>
        <w:t>.</w:t>
      </w:r>
      <w:r w:rsidR="009946D0">
        <w:t xml:space="preserve"> </w:t>
      </w:r>
      <w:r w:rsidR="009946D0" w:rsidRPr="000442F6">
        <w:t>Some of these definitions refer to defined te</w:t>
      </w:r>
      <w:r w:rsidR="009946D0">
        <w:t>rms used in the Biosecurity Act</w:t>
      </w:r>
      <w:r w:rsidR="009946D0" w:rsidRPr="000442F6">
        <w:rPr>
          <w:i/>
        </w:rPr>
        <w:t xml:space="preserve">, </w:t>
      </w:r>
      <w:r w:rsidR="009946D0" w:rsidRPr="000442F6">
        <w:t>as i</w:t>
      </w:r>
      <w:r w:rsidR="009946D0">
        <w:t>n force from time to time. The</w:t>
      </w:r>
      <w:r w:rsidR="009946D0" w:rsidRPr="000442F6">
        <w:t xml:space="preserve"> </w:t>
      </w:r>
      <w:r w:rsidR="009946D0">
        <w:t>Biosecurity Act is</w:t>
      </w:r>
      <w:r w:rsidR="009946D0" w:rsidRPr="000442F6">
        <w:t xml:space="preserve"> available on the Federal Register of Legislation</w:t>
      </w:r>
      <w:r w:rsidR="00CB5E46">
        <w:t xml:space="preserve"> at </w:t>
      </w:r>
      <w:hyperlink r:id="rId8" w:history="1">
        <w:r w:rsidR="00CB5E46" w:rsidRPr="00CB5E46">
          <w:rPr>
            <w:rStyle w:val="Hyperlink"/>
          </w:rPr>
          <w:t>www.legislation.gov.au</w:t>
        </w:r>
      </w:hyperlink>
      <w:r w:rsidR="009946D0" w:rsidRPr="000442F6">
        <w:t>.</w:t>
      </w:r>
    </w:p>
    <w:p w14:paraId="2DD05B71" w14:textId="77777777" w:rsidR="00A751E4" w:rsidRDefault="00A751E4"/>
    <w:p w14:paraId="2D50C828" w14:textId="77777777" w:rsidR="00A751E4" w:rsidRDefault="00883C40">
      <w:r>
        <w:t xml:space="preserve">A </w:t>
      </w:r>
      <w:r w:rsidR="00A751E4">
        <w:t xml:space="preserve">note clarifies that definitions for ‘conveyance’, ‘exposed to’ and ‘installation’ are as defined </w:t>
      </w:r>
      <w:r w:rsidR="00594182">
        <w:t xml:space="preserve">under </w:t>
      </w:r>
      <w:r w:rsidR="00A751E4">
        <w:t xml:space="preserve">the </w:t>
      </w:r>
      <w:r w:rsidR="009946D0" w:rsidRPr="009946D0">
        <w:t>Biosecurity Act</w:t>
      </w:r>
      <w:r w:rsidR="00A751E4" w:rsidRPr="009946D0">
        <w:t>.</w:t>
      </w:r>
    </w:p>
    <w:p w14:paraId="0F1B72A9" w14:textId="77777777" w:rsidR="00A751E4" w:rsidRDefault="00A751E4"/>
    <w:p w14:paraId="2B0A85DA" w14:textId="77777777" w:rsidR="00A751E4" w:rsidRPr="005A74D1" w:rsidRDefault="00A751E4">
      <w:pPr>
        <w:rPr>
          <w:b/>
          <w:i/>
        </w:rPr>
      </w:pPr>
      <w:r w:rsidRPr="005A74D1">
        <w:rPr>
          <w:b/>
          <w:i/>
        </w:rPr>
        <w:t>Act</w:t>
      </w:r>
    </w:p>
    <w:p w14:paraId="4DBDC879" w14:textId="77777777" w:rsidR="005A74D1" w:rsidRDefault="000A3E5D">
      <w:r>
        <w:t>This definition provides that</w:t>
      </w:r>
      <w:r w:rsidR="00883C40">
        <w:t xml:space="preserve"> the</w:t>
      </w:r>
      <w:r>
        <w:t xml:space="preserve"> ‘Act’ means</w:t>
      </w:r>
      <w:r w:rsidR="005A74D1">
        <w:t xml:space="preserve"> the </w:t>
      </w:r>
      <w:r w:rsidR="009946D0" w:rsidRPr="009946D0">
        <w:t>Biosecurity Act</w:t>
      </w:r>
      <w:r w:rsidR="005A74D1" w:rsidRPr="009946D0">
        <w:t>.</w:t>
      </w:r>
    </w:p>
    <w:p w14:paraId="04C0A05A" w14:textId="77777777" w:rsidR="005A74D1" w:rsidRDefault="005A74D1"/>
    <w:p w14:paraId="6CD460BA" w14:textId="77777777" w:rsidR="005A74D1" w:rsidRPr="005A74D1" w:rsidRDefault="005A74D1">
      <w:pPr>
        <w:rPr>
          <w:b/>
          <w:i/>
        </w:rPr>
      </w:pPr>
      <w:r w:rsidRPr="005A74D1">
        <w:rPr>
          <w:b/>
          <w:i/>
        </w:rPr>
        <w:t>domestic goods</w:t>
      </w:r>
    </w:p>
    <w:p w14:paraId="2A8FBD14" w14:textId="77777777" w:rsidR="00883C40" w:rsidRPr="009946D0" w:rsidRDefault="005A74D1" w:rsidP="00594182">
      <w:r w:rsidRPr="009946D0">
        <w:t xml:space="preserve">This definition provides that </w:t>
      </w:r>
      <w:r w:rsidR="00883C40" w:rsidRPr="009946D0">
        <w:t xml:space="preserve">the term </w:t>
      </w:r>
      <w:r w:rsidRPr="009946D0">
        <w:t xml:space="preserve">‘domestic goods’ </w:t>
      </w:r>
      <w:r w:rsidR="00883C40" w:rsidRPr="009946D0">
        <w:t>refers to either:</w:t>
      </w:r>
    </w:p>
    <w:p w14:paraId="67556555" w14:textId="77777777" w:rsidR="00883C40" w:rsidRPr="009946D0" w:rsidRDefault="005A74D1" w:rsidP="00E8183C">
      <w:pPr>
        <w:pStyle w:val="ListParagraph"/>
        <w:numPr>
          <w:ilvl w:val="0"/>
          <w:numId w:val="5"/>
        </w:numPr>
        <w:rPr>
          <w:rFonts w:ascii="Times New Roman" w:hAnsi="Times New Roman"/>
          <w:sz w:val="24"/>
        </w:rPr>
      </w:pPr>
      <w:r w:rsidRPr="009946D0">
        <w:rPr>
          <w:rFonts w:ascii="Times New Roman" w:hAnsi="Times New Roman"/>
          <w:sz w:val="24"/>
        </w:rPr>
        <w:t xml:space="preserve">goods that </w:t>
      </w:r>
      <w:r w:rsidR="00F17FC3">
        <w:rPr>
          <w:rFonts w:ascii="Times New Roman" w:hAnsi="Times New Roman"/>
          <w:sz w:val="24"/>
        </w:rPr>
        <w:t>were</w:t>
      </w:r>
      <w:r w:rsidR="00883C40" w:rsidRPr="009946D0">
        <w:rPr>
          <w:rFonts w:ascii="Times New Roman" w:hAnsi="Times New Roman"/>
          <w:sz w:val="24"/>
        </w:rPr>
        <w:t xml:space="preserve"> </w:t>
      </w:r>
      <w:r w:rsidRPr="009946D0">
        <w:rPr>
          <w:rFonts w:ascii="Times New Roman" w:hAnsi="Times New Roman"/>
          <w:sz w:val="24"/>
        </w:rPr>
        <w:t>released from biosecurity control under either paragraph 16</w:t>
      </w:r>
      <w:r w:rsidR="00594182" w:rsidRPr="009946D0">
        <w:rPr>
          <w:rFonts w:ascii="Times New Roman" w:hAnsi="Times New Roman"/>
          <w:sz w:val="24"/>
        </w:rPr>
        <w:t xml:space="preserve">2(1)(a), (b) or (c) of the </w:t>
      </w:r>
      <w:r w:rsidR="000A3E5D">
        <w:rPr>
          <w:rFonts w:ascii="Times New Roman" w:hAnsi="Times New Roman"/>
          <w:sz w:val="24"/>
        </w:rPr>
        <w:t xml:space="preserve">Biosecurity </w:t>
      </w:r>
      <w:r w:rsidR="00594182" w:rsidRPr="009946D0">
        <w:rPr>
          <w:rFonts w:ascii="Times New Roman" w:hAnsi="Times New Roman"/>
          <w:sz w:val="24"/>
        </w:rPr>
        <w:t>Act</w:t>
      </w:r>
      <w:r w:rsidR="00883C40" w:rsidRPr="009946D0">
        <w:rPr>
          <w:rFonts w:ascii="Times New Roman" w:hAnsi="Times New Roman"/>
          <w:sz w:val="24"/>
        </w:rPr>
        <w:t>, or</w:t>
      </w:r>
    </w:p>
    <w:p w14:paraId="521D4924" w14:textId="77777777" w:rsidR="00883C40" w:rsidRPr="009946D0" w:rsidRDefault="00F17FC3" w:rsidP="00E8183C">
      <w:pPr>
        <w:pStyle w:val="ListParagraph"/>
        <w:numPr>
          <w:ilvl w:val="0"/>
          <w:numId w:val="5"/>
        </w:numPr>
        <w:rPr>
          <w:rFonts w:ascii="Times New Roman" w:hAnsi="Times New Roman"/>
          <w:sz w:val="24"/>
        </w:rPr>
      </w:pPr>
      <w:r>
        <w:rPr>
          <w:rFonts w:ascii="Times New Roman" w:hAnsi="Times New Roman"/>
          <w:sz w:val="24"/>
        </w:rPr>
        <w:t>goods that were brought</w:t>
      </w:r>
      <w:r w:rsidR="00883C40" w:rsidRPr="009946D0">
        <w:rPr>
          <w:rFonts w:ascii="Times New Roman" w:hAnsi="Times New Roman"/>
          <w:sz w:val="24"/>
        </w:rPr>
        <w:t xml:space="preserve"> from </w:t>
      </w:r>
      <w:r>
        <w:rPr>
          <w:rFonts w:ascii="Times New Roman" w:hAnsi="Times New Roman"/>
          <w:sz w:val="24"/>
        </w:rPr>
        <w:t xml:space="preserve">a place in </w:t>
      </w:r>
      <w:r w:rsidR="00883C40" w:rsidRPr="009946D0">
        <w:rPr>
          <w:rFonts w:ascii="Times New Roman" w:hAnsi="Times New Roman"/>
          <w:sz w:val="24"/>
        </w:rPr>
        <w:t>Australian territory</w:t>
      </w:r>
      <w:r w:rsidR="002000EF" w:rsidRPr="009946D0">
        <w:rPr>
          <w:rFonts w:ascii="Times New Roman" w:hAnsi="Times New Roman"/>
          <w:sz w:val="24"/>
        </w:rPr>
        <w:t xml:space="preserve"> and</w:t>
      </w:r>
      <w:r>
        <w:rPr>
          <w:rFonts w:ascii="Times New Roman" w:hAnsi="Times New Roman"/>
          <w:sz w:val="24"/>
        </w:rPr>
        <w:t xml:space="preserve"> were neither</w:t>
      </w:r>
      <w:r w:rsidR="00883C40" w:rsidRPr="009946D0">
        <w:rPr>
          <w:rFonts w:ascii="Times New Roman" w:hAnsi="Times New Roman"/>
          <w:sz w:val="24"/>
        </w:rPr>
        <w:t xml:space="preserve"> subject to biosecurity control </w:t>
      </w:r>
      <w:r>
        <w:rPr>
          <w:rFonts w:ascii="Times New Roman" w:hAnsi="Times New Roman"/>
          <w:sz w:val="24"/>
        </w:rPr>
        <w:t>n</w:t>
      </w:r>
      <w:r w:rsidR="002000EF" w:rsidRPr="009946D0">
        <w:rPr>
          <w:rFonts w:ascii="Times New Roman" w:hAnsi="Times New Roman"/>
          <w:sz w:val="24"/>
        </w:rPr>
        <w:t xml:space="preserve">or </w:t>
      </w:r>
      <w:r>
        <w:rPr>
          <w:rFonts w:ascii="Times New Roman" w:hAnsi="Times New Roman"/>
          <w:sz w:val="24"/>
        </w:rPr>
        <w:t xml:space="preserve">had </w:t>
      </w:r>
      <w:r w:rsidR="002000EF" w:rsidRPr="009946D0">
        <w:rPr>
          <w:rFonts w:ascii="Times New Roman" w:hAnsi="Times New Roman"/>
          <w:sz w:val="24"/>
        </w:rPr>
        <w:t xml:space="preserve">an exposed goods order </w:t>
      </w:r>
      <w:r>
        <w:rPr>
          <w:rFonts w:ascii="Times New Roman" w:hAnsi="Times New Roman"/>
          <w:sz w:val="24"/>
        </w:rPr>
        <w:t xml:space="preserve">in force </w:t>
      </w:r>
      <w:r w:rsidR="00883C40" w:rsidRPr="009946D0">
        <w:rPr>
          <w:rFonts w:ascii="Times New Roman" w:hAnsi="Times New Roman"/>
          <w:sz w:val="24"/>
        </w:rPr>
        <w:t>wh</w:t>
      </w:r>
      <w:r w:rsidR="002000EF" w:rsidRPr="009946D0">
        <w:rPr>
          <w:rFonts w:ascii="Times New Roman" w:hAnsi="Times New Roman"/>
          <w:sz w:val="24"/>
        </w:rPr>
        <w:t>en the goods left Australian territory.</w:t>
      </w:r>
      <w:r w:rsidR="00594182" w:rsidRPr="009946D0">
        <w:rPr>
          <w:rFonts w:ascii="Times New Roman" w:hAnsi="Times New Roman"/>
          <w:sz w:val="24"/>
        </w:rPr>
        <w:t xml:space="preserve"> </w:t>
      </w:r>
    </w:p>
    <w:p w14:paraId="488BCD0F" w14:textId="77777777" w:rsidR="00883C40" w:rsidRDefault="00883C40" w:rsidP="00594182"/>
    <w:p w14:paraId="36469044" w14:textId="77777777" w:rsidR="00594182" w:rsidRDefault="002000EF" w:rsidP="00594182">
      <w:r>
        <w:t>This definition is used to describe goods that are effectively not of biosecurity concern within Australian territory because they either originated from Australia</w:t>
      </w:r>
      <w:r w:rsidR="000A3E5D">
        <w:t>n territory</w:t>
      </w:r>
      <w:r>
        <w:t xml:space="preserve"> or have already been managed for the purposes of biosecurity risk on entry into Australian territory. </w:t>
      </w:r>
      <w:r w:rsidR="00594182">
        <w:t xml:space="preserve">For example, this would include any goods that were brought from outside Australian territory into Australian territory and have been released from biosecurity control by a biosecurity officer, a biosecurity industry participant or are prescribed goods </w:t>
      </w:r>
      <w:r w:rsidR="00494F26">
        <w:t xml:space="preserve">which </w:t>
      </w:r>
      <w:r w:rsidR="00594182">
        <w:t xml:space="preserve">have left a designated biosecurity control release area at a first point of entry or an international mail centre. </w:t>
      </w:r>
    </w:p>
    <w:p w14:paraId="4C19560C" w14:textId="77777777" w:rsidR="005A74D1" w:rsidRDefault="005A74D1"/>
    <w:p w14:paraId="0306DFEE" w14:textId="77777777" w:rsidR="005A74D1" w:rsidRPr="0022797D" w:rsidRDefault="0022797D">
      <w:pPr>
        <w:rPr>
          <w:b/>
          <w:i/>
        </w:rPr>
      </w:pPr>
      <w:r w:rsidRPr="0022797D">
        <w:rPr>
          <w:b/>
          <w:i/>
        </w:rPr>
        <w:lastRenderedPageBreak/>
        <w:t>d</w:t>
      </w:r>
      <w:r w:rsidR="005A74D1" w:rsidRPr="0022797D">
        <w:rPr>
          <w:b/>
          <w:i/>
        </w:rPr>
        <w:t>omestic person</w:t>
      </w:r>
    </w:p>
    <w:p w14:paraId="39C97192" w14:textId="77777777" w:rsidR="009B1823" w:rsidRDefault="0022797D" w:rsidP="00F17FC3">
      <w:r>
        <w:t>This</w:t>
      </w:r>
      <w:r w:rsidR="005A74D1">
        <w:t xml:space="preserve"> definition provides that ‘domestic person’ means a person who was brought from a place in Australian territory and includes a </w:t>
      </w:r>
      <w:r>
        <w:t xml:space="preserve">‘domestic </w:t>
      </w:r>
      <w:r w:rsidR="005A74D1">
        <w:t>person</w:t>
      </w:r>
      <w:r>
        <w:t xml:space="preserve">’ who leaves a conveyance temporarily and returns to it. </w:t>
      </w:r>
      <w:r w:rsidR="00F17FC3">
        <w:t>For example, this would include a ship’s pilot who</w:t>
      </w:r>
      <w:r w:rsidR="009B1823">
        <w:t xml:space="preserve"> was being brought from a place in Australian territory on a conveyance to:</w:t>
      </w:r>
    </w:p>
    <w:p w14:paraId="0016CC28" w14:textId="77777777" w:rsidR="009B1823" w:rsidRPr="009B1823" w:rsidRDefault="009B1823" w:rsidP="009B1823">
      <w:pPr>
        <w:pStyle w:val="ListParagraph"/>
        <w:numPr>
          <w:ilvl w:val="0"/>
          <w:numId w:val="14"/>
        </w:numPr>
        <w:rPr>
          <w:rFonts w:ascii="Times New Roman" w:hAnsi="Times New Roman"/>
          <w:sz w:val="24"/>
        </w:rPr>
      </w:pPr>
      <w:r>
        <w:rPr>
          <w:rFonts w:ascii="Times New Roman" w:hAnsi="Times New Roman"/>
          <w:sz w:val="24"/>
        </w:rPr>
        <w:t>a vessel outside Australian territory to pilot that vessel and subsequently returned to Australian territory</w:t>
      </w:r>
      <w:r w:rsidR="00C3497F">
        <w:rPr>
          <w:rFonts w:ascii="Times New Roman" w:hAnsi="Times New Roman"/>
          <w:sz w:val="24"/>
        </w:rPr>
        <w:t xml:space="preserve"> on the first conveyance</w:t>
      </w:r>
      <w:r>
        <w:rPr>
          <w:rFonts w:ascii="Times New Roman" w:hAnsi="Times New Roman"/>
          <w:sz w:val="24"/>
        </w:rPr>
        <w:t>, or</w:t>
      </w:r>
    </w:p>
    <w:p w14:paraId="05A2C40C" w14:textId="77777777" w:rsidR="00F17FC3" w:rsidRPr="009B1823" w:rsidRDefault="00F17FC3" w:rsidP="009B1823">
      <w:pPr>
        <w:pStyle w:val="ListParagraph"/>
        <w:numPr>
          <w:ilvl w:val="0"/>
          <w:numId w:val="14"/>
        </w:numPr>
        <w:rPr>
          <w:rFonts w:ascii="Times New Roman" w:hAnsi="Times New Roman"/>
          <w:sz w:val="24"/>
        </w:rPr>
      </w:pPr>
      <w:r w:rsidRPr="009B1823">
        <w:rPr>
          <w:rFonts w:ascii="Times New Roman" w:hAnsi="Times New Roman"/>
          <w:sz w:val="24"/>
        </w:rPr>
        <w:t>an installation outside Australian territory, who then transferred temporar</w:t>
      </w:r>
      <w:r w:rsidR="00A66AE0">
        <w:rPr>
          <w:rFonts w:ascii="Times New Roman" w:hAnsi="Times New Roman"/>
          <w:sz w:val="24"/>
        </w:rPr>
        <w:t>il</w:t>
      </w:r>
      <w:r w:rsidRPr="009B1823">
        <w:rPr>
          <w:rFonts w:ascii="Times New Roman" w:hAnsi="Times New Roman"/>
          <w:sz w:val="24"/>
        </w:rPr>
        <w:t>y to a second vessel to pilot that vessel and subsequently returned to the installation.</w:t>
      </w:r>
      <w:r w:rsidR="009B1823" w:rsidRPr="009B1823">
        <w:rPr>
          <w:rFonts w:ascii="Times New Roman" w:hAnsi="Times New Roman"/>
          <w:sz w:val="24"/>
        </w:rPr>
        <w:t xml:space="preserve"> </w:t>
      </w:r>
    </w:p>
    <w:p w14:paraId="5047A599" w14:textId="77777777" w:rsidR="00F17FC3" w:rsidRDefault="00F17FC3"/>
    <w:p w14:paraId="67A8D0A4" w14:textId="77777777" w:rsidR="0022797D" w:rsidRDefault="002000EF">
      <w:r>
        <w:t xml:space="preserve">This definition is used to describe persons who either originated from Australia or have already been managed </w:t>
      </w:r>
      <w:r w:rsidR="00A45C52">
        <w:t>in relation to</w:t>
      </w:r>
      <w:r>
        <w:t xml:space="preserve"> biosecurity risk on e</w:t>
      </w:r>
      <w:r w:rsidR="00A45C52">
        <w:t>ntry into Australian territory.</w:t>
      </w:r>
    </w:p>
    <w:p w14:paraId="52590715" w14:textId="77777777" w:rsidR="0022797D" w:rsidRDefault="0022797D"/>
    <w:p w14:paraId="3C7192DC" w14:textId="77777777" w:rsidR="0022797D" w:rsidRPr="0022797D" w:rsidRDefault="0022797D">
      <w:pPr>
        <w:rPr>
          <w:b/>
          <w:i/>
        </w:rPr>
      </w:pPr>
      <w:r w:rsidRPr="0022797D">
        <w:rPr>
          <w:b/>
          <w:i/>
        </w:rPr>
        <w:t>low-risk goods</w:t>
      </w:r>
    </w:p>
    <w:p w14:paraId="6C1BE0C7" w14:textId="77777777" w:rsidR="0022797D" w:rsidRDefault="0022797D">
      <w:r>
        <w:t>This definition provides that ‘low risk goods’ mean fuel, petroleum and canisters of petroleum</w:t>
      </w:r>
      <w:r w:rsidR="008D64E5">
        <w:t xml:space="preserve"> </w:t>
      </w:r>
      <w:r w:rsidR="002C1E88">
        <w:t xml:space="preserve">(such as those to be </w:t>
      </w:r>
      <w:r w:rsidR="008D64E5" w:rsidRPr="00A45C52">
        <w:t>used for testing and</w:t>
      </w:r>
      <w:r w:rsidR="00A01DCC" w:rsidRPr="00A45C52">
        <w:t>/or</w:t>
      </w:r>
      <w:r w:rsidR="008D64E5" w:rsidRPr="00A45C52">
        <w:t xml:space="preserve"> analysis</w:t>
      </w:r>
      <w:r w:rsidR="002C1E88" w:rsidRPr="00A45C52">
        <w:t>)</w:t>
      </w:r>
      <w:r w:rsidRPr="00A45C52">
        <w:t>.</w:t>
      </w:r>
      <w:r w:rsidR="002000EF">
        <w:t xml:space="preserve"> This term identifies those goods that are deemed sufficiently low risk that the transfer of those goods from one conveyance to an exposed conveyance should not require regulation.</w:t>
      </w:r>
    </w:p>
    <w:p w14:paraId="048B30DA" w14:textId="77777777" w:rsidR="0022797D" w:rsidRDefault="0022797D"/>
    <w:p w14:paraId="6ADDC6BA" w14:textId="77777777" w:rsidR="0022797D" w:rsidRPr="0022797D" w:rsidRDefault="0022797D">
      <w:pPr>
        <w:rPr>
          <w:b/>
          <w:i/>
        </w:rPr>
      </w:pPr>
      <w:r w:rsidRPr="0022797D">
        <w:rPr>
          <w:b/>
          <w:i/>
        </w:rPr>
        <w:t>petroleum</w:t>
      </w:r>
    </w:p>
    <w:p w14:paraId="591DBBDD" w14:textId="77777777" w:rsidR="008A0C49" w:rsidRDefault="0022797D">
      <w:r>
        <w:t>This definition provides that petroleum means</w:t>
      </w:r>
      <w:r w:rsidR="008A0C49">
        <w:t>:</w:t>
      </w:r>
    </w:p>
    <w:p w14:paraId="64BCF582" w14:textId="77777777" w:rsidR="008A0C49" w:rsidRPr="008A0C49" w:rsidRDefault="0022797D" w:rsidP="008A0C49">
      <w:pPr>
        <w:pStyle w:val="ListParagraph"/>
        <w:numPr>
          <w:ilvl w:val="0"/>
          <w:numId w:val="9"/>
        </w:numPr>
        <w:rPr>
          <w:rFonts w:ascii="Times New Roman" w:hAnsi="Times New Roman"/>
          <w:sz w:val="24"/>
        </w:rPr>
      </w:pPr>
      <w:r w:rsidRPr="008A0C49">
        <w:rPr>
          <w:rFonts w:ascii="Times New Roman" w:hAnsi="Times New Roman"/>
          <w:sz w:val="24"/>
        </w:rPr>
        <w:t>any naturally occurring hydrocarbons, whether in a</w:t>
      </w:r>
      <w:r w:rsidR="008A0C49" w:rsidRPr="008A0C49">
        <w:rPr>
          <w:rFonts w:ascii="Times New Roman" w:hAnsi="Times New Roman"/>
          <w:sz w:val="24"/>
        </w:rPr>
        <w:t xml:space="preserve"> gaseous, liquid or solid state;</w:t>
      </w:r>
      <w:r w:rsidRPr="008A0C49">
        <w:rPr>
          <w:rFonts w:ascii="Times New Roman" w:hAnsi="Times New Roman"/>
          <w:sz w:val="24"/>
        </w:rPr>
        <w:t xml:space="preserve"> or </w:t>
      </w:r>
    </w:p>
    <w:p w14:paraId="40236F77" w14:textId="77777777" w:rsidR="008A0C49" w:rsidRPr="008A0C49" w:rsidRDefault="0022797D" w:rsidP="008A0C49">
      <w:pPr>
        <w:pStyle w:val="ListParagraph"/>
        <w:numPr>
          <w:ilvl w:val="0"/>
          <w:numId w:val="9"/>
        </w:numPr>
        <w:rPr>
          <w:rFonts w:ascii="Times New Roman" w:hAnsi="Times New Roman"/>
          <w:sz w:val="24"/>
        </w:rPr>
      </w:pPr>
      <w:r w:rsidRPr="008A0C49">
        <w:rPr>
          <w:rFonts w:ascii="Times New Roman" w:hAnsi="Times New Roman"/>
          <w:sz w:val="24"/>
        </w:rPr>
        <w:t>any naturally occurring mixture of hydrocarbons, whether in a</w:t>
      </w:r>
      <w:r w:rsidR="008A0C49" w:rsidRPr="008A0C49">
        <w:rPr>
          <w:rFonts w:ascii="Times New Roman" w:hAnsi="Times New Roman"/>
          <w:sz w:val="24"/>
        </w:rPr>
        <w:t xml:space="preserve"> gaseous, liquid or solid state;</w:t>
      </w:r>
      <w:r w:rsidRPr="008A0C49">
        <w:rPr>
          <w:rFonts w:ascii="Times New Roman" w:hAnsi="Times New Roman"/>
          <w:sz w:val="24"/>
        </w:rPr>
        <w:t xml:space="preserve"> or </w:t>
      </w:r>
    </w:p>
    <w:p w14:paraId="2A781002" w14:textId="77777777" w:rsidR="008A0C49" w:rsidRPr="008A0C49" w:rsidRDefault="0022797D" w:rsidP="008A0C49">
      <w:pPr>
        <w:pStyle w:val="ListParagraph"/>
        <w:numPr>
          <w:ilvl w:val="0"/>
          <w:numId w:val="9"/>
        </w:numPr>
        <w:rPr>
          <w:rFonts w:ascii="Times New Roman" w:hAnsi="Times New Roman"/>
          <w:sz w:val="24"/>
        </w:rPr>
      </w:pPr>
      <w:r w:rsidRPr="008A0C49">
        <w:rPr>
          <w:rFonts w:ascii="Times New Roman" w:hAnsi="Times New Roman"/>
          <w:sz w:val="24"/>
        </w:rPr>
        <w:t>any naturally occurring mixture of one or more hydrocarbons, whether in a gaseous, liquid or solid state, and one or more of</w:t>
      </w:r>
      <w:r w:rsidR="00350D3B" w:rsidRPr="008A0C49">
        <w:rPr>
          <w:rFonts w:ascii="Times New Roman" w:hAnsi="Times New Roman"/>
          <w:sz w:val="24"/>
        </w:rPr>
        <w:t xml:space="preserve"> the </w:t>
      </w:r>
      <w:r w:rsidR="00594182" w:rsidRPr="008A0C49">
        <w:rPr>
          <w:rFonts w:ascii="Times New Roman" w:hAnsi="Times New Roman"/>
          <w:sz w:val="24"/>
        </w:rPr>
        <w:t>elements or compounds</w:t>
      </w:r>
      <w:r w:rsidR="00350D3B" w:rsidRPr="008A0C49">
        <w:rPr>
          <w:rFonts w:ascii="Times New Roman" w:hAnsi="Times New Roman"/>
          <w:sz w:val="24"/>
        </w:rPr>
        <w:t xml:space="preserve"> such as hydrogen sulphide, nitrogen, helium and carbon dioxide; </w:t>
      </w:r>
    </w:p>
    <w:p w14:paraId="5B0AE628" w14:textId="77777777" w:rsidR="008A0C49" w:rsidRPr="008A0C49" w:rsidRDefault="00350D3B" w:rsidP="008A0C49">
      <w:pPr>
        <w:ind w:left="360"/>
      </w:pPr>
      <w:r w:rsidRPr="008A0C49">
        <w:t xml:space="preserve">and includes </w:t>
      </w:r>
    </w:p>
    <w:p w14:paraId="4C2C66AB" w14:textId="77777777" w:rsidR="008A0C49" w:rsidRPr="008A0C49" w:rsidRDefault="008A0C49" w:rsidP="008A0C49">
      <w:pPr>
        <w:pStyle w:val="ListParagraph"/>
        <w:numPr>
          <w:ilvl w:val="0"/>
          <w:numId w:val="9"/>
        </w:numPr>
        <w:rPr>
          <w:rFonts w:ascii="Times New Roman" w:hAnsi="Times New Roman"/>
          <w:sz w:val="24"/>
        </w:rPr>
      </w:pPr>
      <w:r w:rsidRPr="008A0C49">
        <w:rPr>
          <w:rFonts w:ascii="Times New Roman" w:hAnsi="Times New Roman"/>
          <w:sz w:val="24"/>
        </w:rPr>
        <w:t>any petroleum as defined</w:t>
      </w:r>
      <w:r w:rsidR="00B7116F" w:rsidRPr="008A0C49">
        <w:rPr>
          <w:rFonts w:ascii="Times New Roman" w:hAnsi="Times New Roman"/>
          <w:sz w:val="24"/>
        </w:rPr>
        <w:t xml:space="preserve"> in </w:t>
      </w:r>
      <w:r w:rsidR="00350D3B" w:rsidRPr="008A0C49">
        <w:rPr>
          <w:rFonts w:ascii="Times New Roman" w:hAnsi="Times New Roman"/>
          <w:sz w:val="24"/>
        </w:rPr>
        <w:t>(a), (b) or (c) that has been returned to a natural reservoir</w:t>
      </w:r>
      <w:r w:rsidRPr="008A0C49">
        <w:rPr>
          <w:rFonts w:ascii="Times New Roman" w:hAnsi="Times New Roman"/>
          <w:sz w:val="24"/>
        </w:rPr>
        <w:t>;</w:t>
      </w:r>
      <w:r w:rsidR="00350D3B" w:rsidRPr="008A0C49">
        <w:rPr>
          <w:rFonts w:ascii="Times New Roman" w:hAnsi="Times New Roman"/>
          <w:sz w:val="24"/>
        </w:rPr>
        <w:t xml:space="preserve"> and</w:t>
      </w:r>
    </w:p>
    <w:p w14:paraId="5E6B9BAA" w14:textId="77777777" w:rsidR="008A0C49" w:rsidRPr="008A0C49" w:rsidRDefault="008A0C49" w:rsidP="008A0C49">
      <w:pPr>
        <w:pStyle w:val="ListParagraph"/>
        <w:numPr>
          <w:ilvl w:val="0"/>
          <w:numId w:val="9"/>
        </w:numPr>
        <w:rPr>
          <w:rFonts w:ascii="Times New Roman" w:hAnsi="Times New Roman"/>
          <w:sz w:val="24"/>
        </w:rPr>
      </w:pPr>
      <w:r w:rsidRPr="008A0C49">
        <w:rPr>
          <w:rFonts w:ascii="Times New Roman" w:hAnsi="Times New Roman"/>
          <w:sz w:val="24"/>
        </w:rPr>
        <w:t xml:space="preserve">any petroleum as defined in (a), (b), (c) or (d), </w:t>
      </w:r>
      <w:r w:rsidR="00350D3B" w:rsidRPr="008A0C49">
        <w:rPr>
          <w:rFonts w:ascii="Times New Roman" w:hAnsi="Times New Roman"/>
          <w:sz w:val="24"/>
        </w:rPr>
        <w:t xml:space="preserve">where one or more things have been added and/or wholly or partly removed. </w:t>
      </w:r>
    </w:p>
    <w:p w14:paraId="613FB806" w14:textId="77777777" w:rsidR="008A0C49" w:rsidRDefault="008A0C49"/>
    <w:p w14:paraId="6483B444" w14:textId="77777777" w:rsidR="0022797D" w:rsidRDefault="00350D3B">
      <w:r>
        <w:t>This is intended to cover the broad range of petroleu</w:t>
      </w:r>
      <w:r w:rsidR="00594182">
        <w:t>m and its products, including</w:t>
      </w:r>
      <w:r>
        <w:t>,</w:t>
      </w:r>
      <w:r w:rsidR="00594182">
        <w:t xml:space="preserve"> but not limited to,</w:t>
      </w:r>
      <w:r>
        <w:t xml:space="preserve"> crude oil, liquefied natural gas, liquefied petroleum gas and condensate.</w:t>
      </w:r>
    </w:p>
    <w:p w14:paraId="2BA778BC" w14:textId="77777777" w:rsidR="004B585E" w:rsidRDefault="004B585E"/>
    <w:p w14:paraId="52CF8A94" w14:textId="77777777" w:rsidR="004B585E" w:rsidRPr="004B585E" w:rsidRDefault="004B585E">
      <w:pPr>
        <w:rPr>
          <w:b/>
          <w:i/>
        </w:rPr>
      </w:pPr>
      <w:r w:rsidRPr="004B585E">
        <w:rPr>
          <w:b/>
          <w:i/>
        </w:rPr>
        <w:t>petroleum industry vessel</w:t>
      </w:r>
    </w:p>
    <w:p w14:paraId="7F043823" w14:textId="77777777" w:rsidR="00F65629" w:rsidRDefault="00F65629"/>
    <w:p w14:paraId="5FEA97E4" w14:textId="77777777" w:rsidR="005A74D1" w:rsidRDefault="004B585E">
      <w:r>
        <w:t xml:space="preserve">This definition provides that ‘petroleum industry vessel’ means a vessel, other than </w:t>
      </w:r>
      <w:r w:rsidR="00AC1224">
        <w:t xml:space="preserve">an </w:t>
      </w:r>
      <w:r>
        <w:t xml:space="preserve">installation, that is, or is to be, used wholly or principally for, or in connection with exploring for, or exploiting petroleum with equipment on or forming part of the vessel, or operations or activities associated with, or incidental to, exploiting or exploring petroleum. </w:t>
      </w:r>
      <w:r w:rsidR="007132F6">
        <w:t xml:space="preserve">This definition is intended to include vessels that are performing functions similar to </w:t>
      </w:r>
      <w:r w:rsidR="00944927">
        <w:t xml:space="preserve">that of </w:t>
      </w:r>
      <w:r w:rsidR="007132F6">
        <w:t xml:space="preserve">an installation (in relation to petroleum industry), but do not meet the definition of an ‘installation’ under the Biosecurity Act. </w:t>
      </w:r>
      <w:r w:rsidR="00B7116F">
        <w:t xml:space="preserve">For example, </w:t>
      </w:r>
      <w:r w:rsidR="00B7116F" w:rsidRPr="00E560B5">
        <w:t>t</w:t>
      </w:r>
      <w:r w:rsidRPr="00E560B5">
        <w:t>his would inclu</w:t>
      </w:r>
      <w:r w:rsidR="00B7116F" w:rsidRPr="00E560B5">
        <w:t>de</w:t>
      </w:r>
      <w:r w:rsidR="00E560B5" w:rsidRPr="00E560B5">
        <w:t xml:space="preserve">, but </w:t>
      </w:r>
      <w:r w:rsidR="00AC1224">
        <w:t xml:space="preserve">is </w:t>
      </w:r>
      <w:r w:rsidR="00E560B5" w:rsidRPr="00E560B5">
        <w:t>not limited to,</w:t>
      </w:r>
      <w:r w:rsidR="00B7116F" w:rsidRPr="00E560B5">
        <w:t xml:space="preserve"> </w:t>
      </w:r>
      <w:r w:rsidR="00E560B5" w:rsidRPr="00E560B5">
        <w:t xml:space="preserve">vessels that are involved in </w:t>
      </w:r>
      <w:r w:rsidR="00AC1224" w:rsidRPr="00E560B5">
        <w:t xml:space="preserve">exploring </w:t>
      </w:r>
      <w:r w:rsidR="00AC1224">
        <w:t xml:space="preserve">for or </w:t>
      </w:r>
      <w:r w:rsidR="00E560B5" w:rsidRPr="00E560B5">
        <w:t>exploiting petroleum, laying</w:t>
      </w:r>
      <w:r w:rsidRPr="00E560B5">
        <w:t xml:space="preserve"> </w:t>
      </w:r>
      <w:r w:rsidR="00B7116F" w:rsidRPr="00E560B5">
        <w:t>pipes</w:t>
      </w:r>
      <w:r w:rsidR="00AC1224">
        <w:t>,</w:t>
      </w:r>
      <w:r w:rsidR="00E560B5">
        <w:t xml:space="preserve"> </w:t>
      </w:r>
      <w:r w:rsidR="00AC1224">
        <w:t xml:space="preserve">installation </w:t>
      </w:r>
      <w:r w:rsidR="00E560B5" w:rsidRPr="00E560B5">
        <w:t>constructi</w:t>
      </w:r>
      <w:r w:rsidR="001F1433">
        <w:t>on</w:t>
      </w:r>
      <w:r w:rsidR="009C63A7">
        <w:t xml:space="preserve"> or maintenance</w:t>
      </w:r>
      <w:r w:rsidRPr="00E560B5">
        <w:t>.</w:t>
      </w:r>
    </w:p>
    <w:p w14:paraId="45D1E55D" w14:textId="77777777" w:rsidR="005C3B05" w:rsidRDefault="005C3B05">
      <w:pPr>
        <w:pStyle w:val="Normal-em"/>
        <w:shd w:val="clear" w:color="auto" w:fill="FFFFFF" w:themeFill="background1"/>
        <w:rPr>
          <w:iCs/>
          <w:color w:val="auto"/>
          <w:szCs w:val="24"/>
        </w:rPr>
      </w:pPr>
    </w:p>
    <w:p w14:paraId="2058EAF7" w14:textId="77777777" w:rsidR="00D066E0" w:rsidRDefault="004B585E">
      <w:pPr>
        <w:pStyle w:val="Normal-em"/>
        <w:rPr>
          <w:color w:val="auto"/>
          <w:szCs w:val="24"/>
          <w:u w:val="single"/>
        </w:rPr>
      </w:pPr>
      <w:r>
        <w:rPr>
          <w:color w:val="auto"/>
          <w:szCs w:val="24"/>
          <w:u w:val="single"/>
        </w:rPr>
        <w:t>Section 5 – Purpose of this instrument</w:t>
      </w:r>
    </w:p>
    <w:p w14:paraId="0E3AD8D4" w14:textId="77777777" w:rsidR="00BD79A5" w:rsidRDefault="00BD79A5">
      <w:pPr>
        <w:pStyle w:val="Normal-em"/>
        <w:rPr>
          <w:color w:val="auto"/>
          <w:szCs w:val="24"/>
        </w:rPr>
      </w:pPr>
    </w:p>
    <w:p w14:paraId="029D015B" w14:textId="77777777" w:rsidR="00C57074" w:rsidRDefault="00C57074" w:rsidP="00C57074">
      <w:pPr>
        <w:pStyle w:val="Normal-em"/>
      </w:pPr>
      <w:r>
        <w:rPr>
          <w:color w:val="auto"/>
          <w:szCs w:val="24"/>
        </w:rPr>
        <w:lastRenderedPageBreak/>
        <w:t xml:space="preserve">Section 192 of the Biosecurity Act applies to a conveyance that is not already subject to biosecurity control and is </w:t>
      </w:r>
      <w:r>
        <w:t>exposed to another conveyance (including an installation</w:t>
      </w:r>
      <w:r w:rsidR="00A45C52">
        <w:t xml:space="preserve"> and a petroleum industry vessel</w:t>
      </w:r>
      <w:r>
        <w:t>) that is subject to biosecurity control or that is outside Australian territory. An exposed conveyance will become subject to biosecurity control when it is in</w:t>
      </w:r>
      <w:r w:rsidR="009203EC">
        <w:t xml:space="preserve"> (if exposure occurs in Australian territory)</w:t>
      </w:r>
      <w:r>
        <w:t xml:space="preserve">, or when it </w:t>
      </w:r>
      <w:r w:rsidR="00EF722C">
        <w:t>re-</w:t>
      </w:r>
      <w:r w:rsidR="00A45C52">
        <w:t>enters Australian territory.</w:t>
      </w:r>
    </w:p>
    <w:p w14:paraId="5C49A658" w14:textId="77777777" w:rsidR="00C57074" w:rsidRDefault="00C57074">
      <w:pPr>
        <w:pStyle w:val="Normal-em"/>
        <w:rPr>
          <w:color w:val="auto"/>
          <w:szCs w:val="24"/>
        </w:rPr>
      </w:pPr>
    </w:p>
    <w:p w14:paraId="107F7735" w14:textId="77777777" w:rsidR="00D066E0" w:rsidRDefault="00D066E0">
      <w:pPr>
        <w:pStyle w:val="Normal-em"/>
        <w:rPr>
          <w:color w:val="auto"/>
          <w:szCs w:val="24"/>
        </w:rPr>
      </w:pPr>
      <w:r>
        <w:rPr>
          <w:color w:val="auto"/>
          <w:szCs w:val="24"/>
        </w:rPr>
        <w:t xml:space="preserve">This section provides that </w:t>
      </w:r>
      <w:r w:rsidR="00C34CC6">
        <w:rPr>
          <w:color w:val="auto"/>
          <w:szCs w:val="24"/>
        </w:rPr>
        <w:t xml:space="preserve">the purpose of </w:t>
      </w:r>
      <w:r>
        <w:rPr>
          <w:color w:val="auto"/>
          <w:szCs w:val="24"/>
        </w:rPr>
        <w:t xml:space="preserve">this </w:t>
      </w:r>
      <w:r w:rsidR="00C34CC6">
        <w:rPr>
          <w:color w:val="auto"/>
          <w:szCs w:val="24"/>
        </w:rPr>
        <w:t xml:space="preserve">Determination is to </w:t>
      </w:r>
      <w:r>
        <w:rPr>
          <w:color w:val="auto"/>
          <w:szCs w:val="24"/>
        </w:rPr>
        <w:t>specif</w:t>
      </w:r>
      <w:r w:rsidR="00C34CC6">
        <w:rPr>
          <w:color w:val="auto"/>
          <w:szCs w:val="24"/>
        </w:rPr>
        <w:t>y</w:t>
      </w:r>
      <w:r>
        <w:rPr>
          <w:color w:val="auto"/>
          <w:szCs w:val="24"/>
        </w:rPr>
        <w:t xml:space="preserve"> the circumstances in which section 192 </w:t>
      </w:r>
      <w:r w:rsidR="00C34CC6">
        <w:rPr>
          <w:color w:val="auto"/>
          <w:szCs w:val="24"/>
        </w:rPr>
        <w:t xml:space="preserve">of the </w:t>
      </w:r>
      <w:r w:rsidR="00BD79A5">
        <w:rPr>
          <w:color w:val="auto"/>
          <w:szCs w:val="24"/>
        </w:rPr>
        <w:t xml:space="preserve">Biosecurity </w:t>
      </w:r>
      <w:r w:rsidR="00C34CC6">
        <w:rPr>
          <w:color w:val="auto"/>
          <w:szCs w:val="24"/>
        </w:rPr>
        <w:t xml:space="preserve">Act </w:t>
      </w:r>
      <w:r>
        <w:rPr>
          <w:color w:val="auto"/>
          <w:szCs w:val="24"/>
        </w:rPr>
        <w:t>does not apply in relation to a conveyance that is exposed to another conveyance</w:t>
      </w:r>
      <w:r w:rsidR="009203EC">
        <w:rPr>
          <w:color w:val="auto"/>
          <w:szCs w:val="24"/>
        </w:rPr>
        <w:t>,</w:t>
      </w:r>
      <w:r>
        <w:rPr>
          <w:color w:val="auto"/>
          <w:szCs w:val="24"/>
        </w:rPr>
        <w:t xml:space="preserve"> as referred to in subparagraph 192(1)(a)(i) or (ii) or paragraph 192(1)(b) of the </w:t>
      </w:r>
      <w:r w:rsidR="00BD79A5">
        <w:rPr>
          <w:color w:val="auto"/>
          <w:szCs w:val="24"/>
        </w:rPr>
        <w:t xml:space="preserve">Biosecurity </w:t>
      </w:r>
      <w:r w:rsidR="009B1496">
        <w:rPr>
          <w:color w:val="auto"/>
          <w:szCs w:val="24"/>
        </w:rPr>
        <w:t>Act.</w:t>
      </w:r>
    </w:p>
    <w:p w14:paraId="050CF2B1" w14:textId="77777777" w:rsidR="00C57074" w:rsidRDefault="00C57074">
      <w:pPr>
        <w:pStyle w:val="Normal-em"/>
      </w:pPr>
    </w:p>
    <w:p w14:paraId="5CC719E2" w14:textId="77777777" w:rsidR="0040234E" w:rsidRDefault="009B1496">
      <w:pPr>
        <w:pStyle w:val="Normal-em"/>
        <w:rPr>
          <w:color w:val="auto"/>
          <w:szCs w:val="24"/>
        </w:rPr>
      </w:pPr>
      <w:r>
        <w:rPr>
          <w:color w:val="auto"/>
          <w:szCs w:val="24"/>
        </w:rPr>
        <w:t>The exception</w:t>
      </w:r>
      <w:r w:rsidR="009203EC">
        <w:rPr>
          <w:color w:val="auto"/>
          <w:szCs w:val="24"/>
        </w:rPr>
        <w:t>s</w:t>
      </w:r>
      <w:r>
        <w:rPr>
          <w:color w:val="auto"/>
          <w:szCs w:val="24"/>
        </w:rPr>
        <w:t xml:space="preserve"> from biosecurity control provided for in this</w:t>
      </w:r>
      <w:r w:rsidR="008A21A8">
        <w:rPr>
          <w:color w:val="auto"/>
          <w:szCs w:val="24"/>
        </w:rPr>
        <w:t xml:space="preserve"> Determination</w:t>
      </w:r>
      <w:r w:rsidR="009203EC">
        <w:rPr>
          <w:color w:val="auto"/>
          <w:szCs w:val="24"/>
        </w:rPr>
        <w:t xml:space="preserve"> only apply to</w:t>
      </w:r>
      <w:r w:rsidR="0040234E">
        <w:rPr>
          <w:color w:val="auto"/>
          <w:szCs w:val="24"/>
        </w:rPr>
        <w:t xml:space="preserve"> conveyance</w:t>
      </w:r>
      <w:r w:rsidR="009203EC">
        <w:rPr>
          <w:color w:val="auto"/>
          <w:szCs w:val="24"/>
        </w:rPr>
        <w:t>s that commenced their</w:t>
      </w:r>
      <w:r w:rsidR="008A21A8">
        <w:rPr>
          <w:color w:val="auto"/>
          <w:szCs w:val="24"/>
        </w:rPr>
        <w:t xml:space="preserve"> journey</w:t>
      </w:r>
      <w:r w:rsidR="009203EC">
        <w:rPr>
          <w:color w:val="auto"/>
          <w:szCs w:val="24"/>
        </w:rPr>
        <w:t>s in Australian territory and are</w:t>
      </w:r>
      <w:r w:rsidR="008A21A8">
        <w:rPr>
          <w:color w:val="auto"/>
          <w:szCs w:val="24"/>
        </w:rPr>
        <w:t xml:space="preserve"> not </w:t>
      </w:r>
      <w:r>
        <w:rPr>
          <w:color w:val="auto"/>
          <w:szCs w:val="24"/>
        </w:rPr>
        <w:t xml:space="preserve">already </w:t>
      </w:r>
      <w:r w:rsidR="008A21A8">
        <w:rPr>
          <w:color w:val="auto"/>
          <w:szCs w:val="24"/>
        </w:rPr>
        <w:t>s</w:t>
      </w:r>
      <w:r w:rsidR="00C95002">
        <w:rPr>
          <w:color w:val="auto"/>
          <w:szCs w:val="24"/>
        </w:rPr>
        <w:t xml:space="preserve">ubject to biosecurity control. This would include conveyances that only travel between places in Australian territory and those that originally arrived in Australian territory from a place outside Australian territory, and had been released from biosecurity control by a biosecurity officer or biosecurity industry participant under paragraph 218(1)(a) or (b) of the </w:t>
      </w:r>
      <w:r w:rsidR="00BD79A5">
        <w:rPr>
          <w:color w:val="auto"/>
          <w:szCs w:val="24"/>
        </w:rPr>
        <w:t xml:space="preserve">Biosecurity </w:t>
      </w:r>
      <w:r w:rsidR="00C95002">
        <w:rPr>
          <w:color w:val="auto"/>
          <w:szCs w:val="24"/>
        </w:rPr>
        <w:t>Act.</w:t>
      </w:r>
    </w:p>
    <w:p w14:paraId="5D38EC09" w14:textId="77777777" w:rsidR="00D066E0" w:rsidRDefault="00D066E0">
      <w:pPr>
        <w:pStyle w:val="Normal-em"/>
        <w:rPr>
          <w:color w:val="auto"/>
          <w:szCs w:val="24"/>
        </w:rPr>
      </w:pPr>
    </w:p>
    <w:p w14:paraId="6BC3F58D" w14:textId="77777777" w:rsidR="00D066E0" w:rsidRDefault="00D066E0">
      <w:pPr>
        <w:pStyle w:val="Normal-em"/>
        <w:rPr>
          <w:color w:val="auto"/>
          <w:szCs w:val="24"/>
          <w:u w:val="single"/>
        </w:rPr>
      </w:pPr>
      <w:r w:rsidRPr="00D066E0">
        <w:rPr>
          <w:color w:val="auto"/>
          <w:szCs w:val="24"/>
          <w:u w:val="single"/>
        </w:rPr>
        <w:t>Section 6 – Circumstances in which exposed conveyance does not become subject to biosecurity control</w:t>
      </w:r>
      <w:r w:rsidR="00C57074">
        <w:rPr>
          <w:color w:val="auto"/>
          <w:szCs w:val="24"/>
          <w:u w:val="single"/>
        </w:rPr>
        <w:t xml:space="preserve"> – general</w:t>
      </w:r>
    </w:p>
    <w:p w14:paraId="57B00BB8" w14:textId="77777777" w:rsidR="00113A5C" w:rsidRPr="00D066E0" w:rsidRDefault="00113A5C">
      <w:pPr>
        <w:pStyle w:val="Normal-em"/>
        <w:rPr>
          <w:color w:val="auto"/>
          <w:szCs w:val="24"/>
          <w:u w:val="single"/>
        </w:rPr>
      </w:pPr>
    </w:p>
    <w:p w14:paraId="17BE8875" w14:textId="77777777" w:rsidR="009203EC" w:rsidRDefault="00D066E0">
      <w:pPr>
        <w:pStyle w:val="Normal-em"/>
        <w:rPr>
          <w:color w:val="auto"/>
          <w:szCs w:val="24"/>
        </w:rPr>
      </w:pPr>
      <w:r>
        <w:rPr>
          <w:color w:val="auto"/>
          <w:szCs w:val="24"/>
        </w:rPr>
        <w:t xml:space="preserve">This section provides that section 192 </w:t>
      </w:r>
      <w:r w:rsidR="00A03F98">
        <w:rPr>
          <w:color w:val="auto"/>
          <w:szCs w:val="24"/>
        </w:rPr>
        <w:t xml:space="preserve">of the Biosecurity Act </w:t>
      </w:r>
      <w:r>
        <w:rPr>
          <w:color w:val="auto"/>
          <w:szCs w:val="24"/>
        </w:rPr>
        <w:t xml:space="preserve">does not apply to a conveyance (the </w:t>
      </w:r>
      <w:r w:rsidRPr="00D066E0">
        <w:rPr>
          <w:b/>
          <w:i/>
          <w:color w:val="auto"/>
          <w:szCs w:val="24"/>
        </w:rPr>
        <w:t>exposed conveyance</w:t>
      </w:r>
      <w:r>
        <w:rPr>
          <w:color w:val="auto"/>
          <w:szCs w:val="24"/>
        </w:rPr>
        <w:t xml:space="preserve">) </w:t>
      </w:r>
      <w:r w:rsidR="00D215E9">
        <w:rPr>
          <w:color w:val="auto"/>
          <w:szCs w:val="24"/>
        </w:rPr>
        <w:t xml:space="preserve">which </w:t>
      </w:r>
      <w:r>
        <w:rPr>
          <w:color w:val="auto"/>
          <w:szCs w:val="24"/>
        </w:rPr>
        <w:t xml:space="preserve">is exposed to another conveyance (the </w:t>
      </w:r>
      <w:r w:rsidRPr="00D066E0">
        <w:rPr>
          <w:b/>
          <w:i/>
          <w:color w:val="auto"/>
          <w:szCs w:val="24"/>
        </w:rPr>
        <w:t>second conveyance</w:t>
      </w:r>
      <w:r>
        <w:rPr>
          <w:color w:val="auto"/>
          <w:szCs w:val="24"/>
        </w:rPr>
        <w:t xml:space="preserve">) if all the </w:t>
      </w:r>
      <w:r w:rsidR="00B7116F">
        <w:rPr>
          <w:color w:val="auto"/>
          <w:szCs w:val="24"/>
        </w:rPr>
        <w:t xml:space="preserve">applicable </w:t>
      </w:r>
      <w:r>
        <w:rPr>
          <w:color w:val="auto"/>
          <w:szCs w:val="24"/>
        </w:rPr>
        <w:t xml:space="preserve">circumstances </w:t>
      </w:r>
      <w:r w:rsidR="00A1546C">
        <w:rPr>
          <w:color w:val="auto"/>
          <w:szCs w:val="24"/>
        </w:rPr>
        <w:t>under this section are met</w:t>
      </w:r>
      <w:r>
        <w:rPr>
          <w:color w:val="auto"/>
          <w:szCs w:val="24"/>
        </w:rPr>
        <w:t>.</w:t>
      </w:r>
      <w:r w:rsidR="00C34CC6">
        <w:rPr>
          <w:color w:val="auto"/>
          <w:szCs w:val="24"/>
        </w:rPr>
        <w:t xml:space="preserve"> </w:t>
      </w:r>
      <w:r w:rsidR="009203EC">
        <w:rPr>
          <w:color w:val="auto"/>
          <w:szCs w:val="24"/>
        </w:rPr>
        <w:t>The purpose of this section is to provide the circumstances whereby an exposed conveyance that is undertaking activities that pose an acceptable level of biosecurity risk, or where biosecurity risk is being managed to an acceptable level, would not become subject to biosecurity control.</w:t>
      </w:r>
    </w:p>
    <w:p w14:paraId="0385B897" w14:textId="77777777" w:rsidR="009203EC" w:rsidRDefault="009203EC">
      <w:pPr>
        <w:pStyle w:val="Normal-em"/>
        <w:rPr>
          <w:color w:val="auto"/>
          <w:szCs w:val="24"/>
        </w:rPr>
      </w:pPr>
    </w:p>
    <w:p w14:paraId="3C07224B" w14:textId="3470FD41" w:rsidR="00A12E7C" w:rsidRDefault="00C34CC6">
      <w:pPr>
        <w:pStyle w:val="Normal-em"/>
        <w:rPr>
          <w:color w:val="auto"/>
          <w:szCs w:val="24"/>
        </w:rPr>
      </w:pPr>
      <w:r>
        <w:rPr>
          <w:color w:val="auto"/>
          <w:szCs w:val="24"/>
        </w:rPr>
        <w:t xml:space="preserve">If any of the </w:t>
      </w:r>
      <w:r w:rsidR="006A62F2">
        <w:rPr>
          <w:color w:val="auto"/>
          <w:szCs w:val="24"/>
        </w:rPr>
        <w:t>applicable</w:t>
      </w:r>
      <w:r w:rsidR="00A03F98">
        <w:rPr>
          <w:color w:val="auto"/>
          <w:szCs w:val="24"/>
        </w:rPr>
        <w:t xml:space="preserve"> circumstances are not met, then section 192 </w:t>
      </w:r>
      <w:r w:rsidR="00C57074">
        <w:rPr>
          <w:color w:val="auto"/>
          <w:szCs w:val="24"/>
        </w:rPr>
        <w:t xml:space="preserve">of the Biosecurity Act </w:t>
      </w:r>
      <w:r w:rsidR="00A03F98">
        <w:rPr>
          <w:color w:val="auto"/>
          <w:szCs w:val="24"/>
        </w:rPr>
        <w:t>will apply and the exposed</w:t>
      </w:r>
      <w:r>
        <w:rPr>
          <w:color w:val="auto"/>
          <w:szCs w:val="24"/>
        </w:rPr>
        <w:t xml:space="preserve"> conveyance will become subject to biosecurity control, either immediately on exposure </w:t>
      </w:r>
      <w:r w:rsidR="006A62F2">
        <w:rPr>
          <w:color w:val="auto"/>
          <w:szCs w:val="24"/>
        </w:rPr>
        <w:t xml:space="preserve">in Australian territory </w:t>
      </w:r>
      <w:r>
        <w:rPr>
          <w:color w:val="auto"/>
          <w:szCs w:val="24"/>
        </w:rPr>
        <w:t>or when returning to Australian territory</w:t>
      </w:r>
      <w:r w:rsidR="00C57074">
        <w:rPr>
          <w:color w:val="auto"/>
          <w:szCs w:val="24"/>
        </w:rPr>
        <w:t xml:space="preserve">. </w:t>
      </w:r>
      <w:r w:rsidR="004D1FC9">
        <w:rPr>
          <w:color w:val="auto"/>
          <w:szCs w:val="24"/>
        </w:rPr>
        <w:t>This means that the exposed conveyance will be subject to all the requirements relevant to the assessment and management of a conveyance that is subject to biosecurity control under the Biosecurity Act.</w:t>
      </w:r>
    </w:p>
    <w:p w14:paraId="78BB5BE1" w14:textId="77777777" w:rsidR="00A12E7C" w:rsidRDefault="00A12E7C">
      <w:pPr>
        <w:pStyle w:val="Normal-em"/>
        <w:rPr>
          <w:color w:val="auto"/>
          <w:szCs w:val="24"/>
        </w:rPr>
      </w:pPr>
    </w:p>
    <w:p w14:paraId="46C0AF43" w14:textId="227C38F7" w:rsidR="004D1FC9" w:rsidRDefault="000D703B">
      <w:pPr>
        <w:pStyle w:val="Normal-em"/>
        <w:rPr>
          <w:color w:val="auto"/>
          <w:szCs w:val="24"/>
        </w:rPr>
      </w:pPr>
      <w:r>
        <w:rPr>
          <w:color w:val="auto"/>
          <w:szCs w:val="24"/>
        </w:rPr>
        <w:t>For clarity, t</w:t>
      </w:r>
      <w:r w:rsidR="004D1FC9">
        <w:rPr>
          <w:color w:val="auto"/>
          <w:szCs w:val="24"/>
        </w:rPr>
        <w:t>he applicable circumstances that apply</w:t>
      </w:r>
      <w:r>
        <w:rPr>
          <w:color w:val="auto"/>
          <w:szCs w:val="24"/>
        </w:rPr>
        <w:t xml:space="preserve"> </w:t>
      </w:r>
      <w:r w:rsidR="004D1FC9">
        <w:rPr>
          <w:color w:val="auto"/>
          <w:szCs w:val="24"/>
        </w:rPr>
        <w:t xml:space="preserve">to a </w:t>
      </w:r>
      <w:r w:rsidR="00141919">
        <w:rPr>
          <w:color w:val="auto"/>
          <w:szCs w:val="24"/>
        </w:rPr>
        <w:t>conveyance</w:t>
      </w:r>
      <w:r w:rsidR="004D1FC9">
        <w:rPr>
          <w:color w:val="auto"/>
          <w:szCs w:val="24"/>
        </w:rPr>
        <w:t xml:space="preserve"> that is exposed to a second </w:t>
      </w:r>
      <w:r w:rsidR="00141919">
        <w:rPr>
          <w:color w:val="auto"/>
          <w:szCs w:val="24"/>
        </w:rPr>
        <w:t>conveyance</w:t>
      </w:r>
      <w:r w:rsidR="004D1FC9">
        <w:rPr>
          <w:color w:val="auto"/>
          <w:szCs w:val="24"/>
        </w:rPr>
        <w:t xml:space="preserve"> that is:</w:t>
      </w:r>
    </w:p>
    <w:p w14:paraId="6910862A" w14:textId="77777777" w:rsidR="004D1FC9" w:rsidRDefault="009203EC" w:rsidP="004D1FC9">
      <w:pPr>
        <w:pStyle w:val="Normal-em"/>
        <w:numPr>
          <w:ilvl w:val="0"/>
          <w:numId w:val="18"/>
        </w:numPr>
        <w:ind w:left="714" w:hanging="357"/>
        <w:rPr>
          <w:color w:val="auto"/>
          <w:szCs w:val="24"/>
        </w:rPr>
      </w:pPr>
      <w:r>
        <w:rPr>
          <w:color w:val="auto"/>
          <w:szCs w:val="24"/>
        </w:rPr>
        <w:t xml:space="preserve">not an installation or a petroleum </w:t>
      </w:r>
      <w:r w:rsidR="004D1FC9">
        <w:rPr>
          <w:color w:val="auto"/>
          <w:szCs w:val="24"/>
        </w:rPr>
        <w:t>industry vessel  – paragraphs (1)(a), (b), (c), (d) and (e), or</w:t>
      </w:r>
    </w:p>
    <w:p w14:paraId="39F7D785" w14:textId="77777777" w:rsidR="004E3154" w:rsidRPr="004D1FC9" w:rsidRDefault="004D1FC9" w:rsidP="004D1FC9">
      <w:pPr>
        <w:pStyle w:val="Normal-em"/>
        <w:numPr>
          <w:ilvl w:val="0"/>
          <w:numId w:val="18"/>
        </w:numPr>
        <w:ind w:left="714" w:hanging="357"/>
        <w:rPr>
          <w:color w:val="auto"/>
          <w:szCs w:val="24"/>
        </w:rPr>
      </w:pPr>
      <w:r>
        <w:rPr>
          <w:color w:val="auto"/>
          <w:szCs w:val="24"/>
        </w:rPr>
        <w:t>an installation or a petroleum industry vessel – paragraphs (1)(a), (b), (c), (d) and (f) (including subsections (2) to (7) as relevant).</w:t>
      </w:r>
    </w:p>
    <w:p w14:paraId="7413D01F" w14:textId="77777777" w:rsidR="00D066E0" w:rsidRDefault="00D066E0">
      <w:pPr>
        <w:pStyle w:val="Normal-em"/>
        <w:rPr>
          <w:color w:val="auto"/>
          <w:szCs w:val="24"/>
        </w:rPr>
      </w:pPr>
    </w:p>
    <w:p w14:paraId="3724280D" w14:textId="77777777" w:rsidR="00335FDD" w:rsidRDefault="00C34CC6">
      <w:pPr>
        <w:pStyle w:val="Normal-em"/>
        <w:rPr>
          <w:color w:val="auto"/>
          <w:szCs w:val="24"/>
        </w:rPr>
      </w:pPr>
      <w:r>
        <w:rPr>
          <w:color w:val="auto"/>
          <w:szCs w:val="24"/>
        </w:rPr>
        <w:t>P</w:t>
      </w:r>
      <w:r w:rsidR="004343D5">
        <w:rPr>
          <w:color w:val="auto"/>
          <w:szCs w:val="24"/>
        </w:rPr>
        <w:t xml:space="preserve">aragraphs </w:t>
      </w:r>
      <w:r w:rsidR="00CD4621">
        <w:rPr>
          <w:color w:val="auto"/>
          <w:szCs w:val="24"/>
        </w:rPr>
        <w:t>(1)</w:t>
      </w:r>
      <w:r w:rsidR="00B7116F">
        <w:rPr>
          <w:color w:val="auto"/>
          <w:szCs w:val="24"/>
        </w:rPr>
        <w:t xml:space="preserve">(a) and (b) </w:t>
      </w:r>
      <w:r w:rsidR="00594DEF">
        <w:rPr>
          <w:color w:val="auto"/>
          <w:szCs w:val="24"/>
        </w:rPr>
        <w:t xml:space="preserve">provide that no </w:t>
      </w:r>
      <w:r w:rsidR="00D066E0">
        <w:rPr>
          <w:color w:val="auto"/>
          <w:szCs w:val="24"/>
        </w:rPr>
        <w:t>contamination, infestation, infection, or pest (alive or dead) is</w:t>
      </w:r>
      <w:r w:rsidR="00335FDD">
        <w:rPr>
          <w:color w:val="auto"/>
          <w:szCs w:val="24"/>
        </w:rPr>
        <w:t>,</w:t>
      </w:r>
      <w:r w:rsidR="00D066E0">
        <w:rPr>
          <w:color w:val="auto"/>
          <w:szCs w:val="24"/>
        </w:rPr>
        <w:t xml:space="preserve"> or was</w:t>
      </w:r>
      <w:r>
        <w:rPr>
          <w:color w:val="auto"/>
          <w:szCs w:val="24"/>
        </w:rPr>
        <w:t>,</w:t>
      </w:r>
      <w:r w:rsidR="00D066E0">
        <w:rPr>
          <w:color w:val="auto"/>
          <w:szCs w:val="24"/>
        </w:rPr>
        <w:t xml:space="preserve"> transferred from the second conveyance to the exposed conveyance</w:t>
      </w:r>
      <w:r w:rsidR="00594DEF">
        <w:rPr>
          <w:color w:val="auto"/>
          <w:szCs w:val="24"/>
        </w:rPr>
        <w:t>. If either of these circumstances is not met,</w:t>
      </w:r>
      <w:r>
        <w:rPr>
          <w:color w:val="auto"/>
          <w:szCs w:val="24"/>
        </w:rPr>
        <w:t xml:space="preserve"> then section 192 of the </w:t>
      </w:r>
      <w:r w:rsidR="004635BA">
        <w:rPr>
          <w:color w:val="auto"/>
          <w:szCs w:val="24"/>
        </w:rPr>
        <w:t xml:space="preserve">Biosecurity </w:t>
      </w:r>
      <w:r>
        <w:rPr>
          <w:color w:val="auto"/>
          <w:szCs w:val="24"/>
        </w:rPr>
        <w:t>Act will apply</w:t>
      </w:r>
      <w:r w:rsidR="007C78A7">
        <w:rPr>
          <w:color w:val="auto"/>
          <w:szCs w:val="24"/>
        </w:rPr>
        <w:t xml:space="preserve"> to the exposed conveyance</w:t>
      </w:r>
      <w:r w:rsidR="00697E31">
        <w:rPr>
          <w:color w:val="auto"/>
          <w:szCs w:val="24"/>
        </w:rPr>
        <w:t>.</w:t>
      </w:r>
      <w:r w:rsidR="00C219EE">
        <w:rPr>
          <w:color w:val="auto"/>
          <w:szCs w:val="24"/>
        </w:rPr>
        <w:t xml:space="preserve"> </w:t>
      </w:r>
      <w:r w:rsidR="00697E31">
        <w:rPr>
          <w:color w:val="auto"/>
          <w:szCs w:val="24"/>
        </w:rPr>
        <w:t xml:space="preserve">For example, </w:t>
      </w:r>
      <w:r w:rsidR="004635BA">
        <w:rPr>
          <w:color w:val="auto"/>
          <w:szCs w:val="24"/>
        </w:rPr>
        <w:t xml:space="preserve">if insects </w:t>
      </w:r>
      <w:r w:rsidR="00335FDD">
        <w:rPr>
          <w:color w:val="auto"/>
          <w:szCs w:val="24"/>
        </w:rPr>
        <w:t>have transferred from the second conveyance to the expo</w:t>
      </w:r>
      <w:r w:rsidR="002D5A07">
        <w:rPr>
          <w:color w:val="auto"/>
          <w:szCs w:val="24"/>
        </w:rPr>
        <w:t xml:space="preserve">sed conveyance via flight or </w:t>
      </w:r>
      <w:r w:rsidR="00335FDD">
        <w:rPr>
          <w:color w:val="auto"/>
          <w:szCs w:val="24"/>
        </w:rPr>
        <w:t>transfer of goods</w:t>
      </w:r>
      <w:r w:rsidR="00E532C9">
        <w:rPr>
          <w:color w:val="auto"/>
          <w:szCs w:val="24"/>
        </w:rPr>
        <w:t>,</w:t>
      </w:r>
      <w:r w:rsidR="004635BA">
        <w:rPr>
          <w:color w:val="auto"/>
          <w:szCs w:val="24"/>
        </w:rPr>
        <w:t xml:space="preserve"> or</w:t>
      </w:r>
      <w:r w:rsidR="00C219EE">
        <w:rPr>
          <w:color w:val="auto"/>
          <w:szCs w:val="24"/>
        </w:rPr>
        <w:t xml:space="preserve"> </w:t>
      </w:r>
      <w:r w:rsidR="00E532C9">
        <w:rPr>
          <w:color w:val="auto"/>
          <w:szCs w:val="24"/>
        </w:rPr>
        <w:t xml:space="preserve">if </w:t>
      </w:r>
      <w:r w:rsidR="00C219EE">
        <w:rPr>
          <w:color w:val="auto"/>
          <w:szCs w:val="24"/>
        </w:rPr>
        <w:t>soil, plant material</w:t>
      </w:r>
      <w:r w:rsidR="00E532C9">
        <w:rPr>
          <w:color w:val="auto"/>
          <w:szCs w:val="24"/>
        </w:rPr>
        <w:t>s</w:t>
      </w:r>
      <w:r w:rsidR="00C219EE">
        <w:rPr>
          <w:color w:val="auto"/>
          <w:szCs w:val="24"/>
        </w:rPr>
        <w:t xml:space="preserve"> (such as leaves, bark or seeds) or animal materials (such as feathers, fur or excrement)</w:t>
      </w:r>
      <w:r w:rsidR="00892D7B">
        <w:rPr>
          <w:color w:val="auto"/>
          <w:szCs w:val="24"/>
        </w:rPr>
        <w:t xml:space="preserve"> </w:t>
      </w:r>
      <w:r w:rsidR="004635BA">
        <w:rPr>
          <w:color w:val="auto"/>
          <w:szCs w:val="24"/>
        </w:rPr>
        <w:t xml:space="preserve">on </w:t>
      </w:r>
      <w:r w:rsidR="00892D7B">
        <w:rPr>
          <w:color w:val="auto"/>
          <w:szCs w:val="24"/>
        </w:rPr>
        <w:t>a contaminated container</w:t>
      </w:r>
      <w:r w:rsidR="00E532C9">
        <w:rPr>
          <w:color w:val="auto"/>
          <w:szCs w:val="24"/>
        </w:rPr>
        <w:t xml:space="preserve"> have </w:t>
      </w:r>
      <w:r w:rsidR="004635BA">
        <w:rPr>
          <w:color w:val="auto"/>
          <w:szCs w:val="24"/>
        </w:rPr>
        <w:t xml:space="preserve">transferred from the second conveyance to the exposed </w:t>
      </w:r>
      <w:r w:rsidR="00594DEF">
        <w:rPr>
          <w:color w:val="auto"/>
          <w:szCs w:val="24"/>
        </w:rPr>
        <w:t>conveyance</w:t>
      </w:r>
      <w:r w:rsidR="00A12E7C">
        <w:rPr>
          <w:color w:val="auto"/>
          <w:szCs w:val="24"/>
        </w:rPr>
        <w:t xml:space="preserve"> via transfer of the container</w:t>
      </w:r>
      <w:r w:rsidR="004635BA">
        <w:rPr>
          <w:color w:val="auto"/>
          <w:szCs w:val="24"/>
        </w:rPr>
        <w:t>, then the exposed conveyance would become subject to biosecurity control</w:t>
      </w:r>
      <w:r w:rsidR="00C219EE">
        <w:rPr>
          <w:color w:val="auto"/>
          <w:szCs w:val="24"/>
        </w:rPr>
        <w:t>.</w:t>
      </w:r>
    </w:p>
    <w:p w14:paraId="01215F0E" w14:textId="77777777" w:rsidR="000A71A0" w:rsidRDefault="000A71A0">
      <w:pPr>
        <w:pStyle w:val="Normal-em"/>
        <w:rPr>
          <w:color w:val="auto"/>
          <w:szCs w:val="24"/>
        </w:rPr>
      </w:pPr>
    </w:p>
    <w:p w14:paraId="784857E0" w14:textId="77777777" w:rsidR="00230E43" w:rsidRDefault="00C34CC6">
      <w:pPr>
        <w:pStyle w:val="Normal-em"/>
        <w:rPr>
          <w:color w:val="auto"/>
          <w:szCs w:val="24"/>
        </w:rPr>
      </w:pPr>
      <w:r>
        <w:rPr>
          <w:color w:val="auto"/>
          <w:szCs w:val="24"/>
        </w:rPr>
        <w:t>P</w:t>
      </w:r>
      <w:r w:rsidR="004343D5">
        <w:rPr>
          <w:color w:val="auto"/>
          <w:szCs w:val="24"/>
        </w:rPr>
        <w:t xml:space="preserve">aragraph </w:t>
      </w:r>
      <w:r w:rsidR="00CD4621">
        <w:rPr>
          <w:color w:val="auto"/>
          <w:szCs w:val="24"/>
        </w:rPr>
        <w:t>(1)</w:t>
      </w:r>
      <w:r w:rsidR="00B7116F">
        <w:rPr>
          <w:color w:val="auto"/>
          <w:szCs w:val="24"/>
        </w:rPr>
        <w:t xml:space="preserve">(c) provides that </w:t>
      </w:r>
      <w:r w:rsidR="00594DEF">
        <w:rPr>
          <w:color w:val="auto"/>
          <w:szCs w:val="24"/>
        </w:rPr>
        <w:t>no</w:t>
      </w:r>
      <w:r>
        <w:rPr>
          <w:color w:val="auto"/>
          <w:szCs w:val="24"/>
        </w:rPr>
        <w:t xml:space="preserve"> </w:t>
      </w:r>
      <w:r w:rsidR="00B7116F">
        <w:rPr>
          <w:color w:val="auto"/>
          <w:szCs w:val="24"/>
        </w:rPr>
        <w:t xml:space="preserve">person on board the exposed conveyance is, or was, exposed to an animal or </w:t>
      </w:r>
      <w:r w:rsidR="00CB39BC">
        <w:rPr>
          <w:color w:val="auto"/>
          <w:szCs w:val="24"/>
        </w:rPr>
        <w:t xml:space="preserve">a </w:t>
      </w:r>
      <w:r w:rsidR="00B7116F">
        <w:rPr>
          <w:color w:val="auto"/>
          <w:szCs w:val="24"/>
        </w:rPr>
        <w:t>plant on the second conveyance that is infected with</w:t>
      </w:r>
      <w:r w:rsidR="000D2C39">
        <w:rPr>
          <w:color w:val="auto"/>
          <w:szCs w:val="24"/>
        </w:rPr>
        <w:t xml:space="preserve">, </w:t>
      </w:r>
      <w:r w:rsidR="00B7116F">
        <w:rPr>
          <w:color w:val="auto"/>
          <w:szCs w:val="24"/>
        </w:rPr>
        <w:t>or has died from a disease</w:t>
      </w:r>
      <w:r w:rsidR="00594DEF">
        <w:rPr>
          <w:color w:val="auto"/>
          <w:szCs w:val="24"/>
        </w:rPr>
        <w:t>. If this is not met,</w:t>
      </w:r>
      <w:r w:rsidR="0089090D">
        <w:rPr>
          <w:color w:val="auto"/>
          <w:szCs w:val="24"/>
        </w:rPr>
        <w:t xml:space="preserve"> </w:t>
      </w:r>
      <w:r w:rsidR="0089157C">
        <w:rPr>
          <w:color w:val="auto"/>
          <w:szCs w:val="24"/>
        </w:rPr>
        <w:t xml:space="preserve">for example, </w:t>
      </w:r>
      <w:r w:rsidR="004635BA">
        <w:rPr>
          <w:color w:val="auto"/>
          <w:szCs w:val="24"/>
        </w:rPr>
        <w:t>a person on board the exposed conveyance has been exposed to a livestock on a second conveyance that died from a disease, then the exposed conveyance would become subject to biosecurity control.</w:t>
      </w:r>
    </w:p>
    <w:p w14:paraId="0A602AA2" w14:textId="77777777" w:rsidR="00230E43" w:rsidRDefault="00230E43">
      <w:pPr>
        <w:pStyle w:val="Normal-em"/>
        <w:rPr>
          <w:color w:val="auto"/>
          <w:szCs w:val="24"/>
        </w:rPr>
      </w:pPr>
    </w:p>
    <w:p w14:paraId="26504A6A" w14:textId="77777777" w:rsidR="00D066E0" w:rsidRDefault="0089090D">
      <w:pPr>
        <w:pStyle w:val="Normal-em"/>
        <w:rPr>
          <w:color w:val="auto"/>
          <w:szCs w:val="24"/>
        </w:rPr>
      </w:pPr>
      <w:r>
        <w:rPr>
          <w:color w:val="auto"/>
          <w:szCs w:val="24"/>
        </w:rPr>
        <w:t>P</w:t>
      </w:r>
      <w:r w:rsidR="004343D5">
        <w:rPr>
          <w:color w:val="auto"/>
          <w:szCs w:val="24"/>
        </w:rPr>
        <w:t xml:space="preserve">aragraph </w:t>
      </w:r>
      <w:r w:rsidR="00CD4621">
        <w:rPr>
          <w:color w:val="auto"/>
          <w:szCs w:val="24"/>
        </w:rPr>
        <w:t>(1)</w:t>
      </w:r>
      <w:r w:rsidR="00716A1F">
        <w:rPr>
          <w:color w:val="auto"/>
          <w:szCs w:val="24"/>
        </w:rPr>
        <w:t>(d) provides that i</w:t>
      </w:r>
      <w:r w:rsidR="00230E43">
        <w:rPr>
          <w:color w:val="auto"/>
          <w:szCs w:val="24"/>
        </w:rPr>
        <w:t xml:space="preserve">f the exposed conveyance is an aircraft or </w:t>
      </w:r>
      <w:r w:rsidR="00B83A5A">
        <w:rPr>
          <w:color w:val="auto"/>
          <w:szCs w:val="24"/>
        </w:rPr>
        <w:t xml:space="preserve">a </w:t>
      </w:r>
      <w:r w:rsidR="00230E43">
        <w:rPr>
          <w:color w:val="auto"/>
          <w:szCs w:val="24"/>
        </w:rPr>
        <w:t>vessel</w:t>
      </w:r>
      <w:r w:rsidR="004635BA">
        <w:rPr>
          <w:color w:val="auto"/>
          <w:szCs w:val="24"/>
        </w:rPr>
        <w:t xml:space="preserve">, </w:t>
      </w:r>
      <w:r w:rsidR="00594DEF">
        <w:rPr>
          <w:color w:val="auto"/>
          <w:szCs w:val="24"/>
        </w:rPr>
        <w:t>neither</w:t>
      </w:r>
      <w:r>
        <w:rPr>
          <w:color w:val="auto"/>
          <w:szCs w:val="24"/>
        </w:rPr>
        <w:t xml:space="preserve"> human remains </w:t>
      </w:r>
      <w:r w:rsidR="00594DEF">
        <w:rPr>
          <w:color w:val="auto"/>
          <w:szCs w:val="24"/>
        </w:rPr>
        <w:t>nor</w:t>
      </w:r>
      <w:r w:rsidR="004635BA">
        <w:rPr>
          <w:color w:val="auto"/>
          <w:szCs w:val="24"/>
        </w:rPr>
        <w:t xml:space="preserve"> persons showing signs or symptoms of a listed human disease</w:t>
      </w:r>
      <w:r w:rsidR="00230E43">
        <w:rPr>
          <w:color w:val="auto"/>
          <w:szCs w:val="24"/>
        </w:rPr>
        <w:t xml:space="preserve"> </w:t>
      </w:r>
      <w:r w:rsidR="00594DEF">
        <w:rPr>
          <w:color w:val="auto"/>
          <w:szCs w:val="24"/>
        </w:rPr>
        <w:t xml:space="preserve">are </w:t>
      </w:r>
      <w:r w:rsidR="004635BA">
        <w:rPr>
          <w:color w:val="auto"/>
          <w:szCs w:val="24"/>
        </w:rPr>
        <w:t xml:space="preserve">on board </w:t>
      </w:r>
      <w:r w:rsidR="00230E43">
        <w:rPr>
          <w:color w:val="auto"/>
          <w:szCs w:val="24"/>
        </w:rPr>
        <w:t>the aircraft or vessel at any time the conveyance is in Australian territory</w:t>
      </w:r>
      <w:r w:rsidR="00594DEF">
        <w:rPr>
          <w:color w:val="auto"/>
          <w:szCs w:val="24"/>
        </w:rPr>
        <w:t xml:space="preserve">. </w:t>
      </w:r>
      <w:r w:rsidR="00970456">
        <w:rPr>
          <w:color w:val="auto"/>
          <w:szCs w:val="24"/>
        </w:rPr>
        <w:t>If this is not met,</w:t>
      </w:r>
      <w:r>
        <w:rPr>
          <w:color w:val="auto"/>
          <w:szCs w:val="24"/>
        </w:rPr>
        <w:t xml:space="preserve"> </w:t>
      </w:r>
      <w:r w:rsidR="0089157C">
        <w:rPr>
          <w:color w:val="auto"/>
          <w:szCs w:val="24"/>
        </w:rPr>
        <w:t xml:space="preserve">for example, a deceased person is on board the exposed conveyance in Australian territory, </w:t>
      </w:r>
      <w:r>
        <w:rPr>
          <w:color w:val="auto"/>
          <w:szCs w:val="24"/>
        </w:rPr>
        <w:t xml:space="preserve">then </w:t>
      </w:r>
      <w:r w:rsidR="007C78A7">
        <w:rPr>
          <w:color w:val="auto"/>
          <w:szCs w:val="24"/>
        </w:rPr>
        <w:t>the exposed conveyance</w:t>
      </w:r>
      <w:r w:rsidR="0089157C">
        <w:rPr>
          <w:color w:val="auto"/>
          <w:szCs w:val="24"/>
        </w:rPr>
        <w:t xml:space="preserve"> would become subject to biosecurity control</w:t>
      </w:r>
      <w:r w:rsidR="00230E43">
        <w:rPr>
          <w:color w:val="auto"/>
          <w:szCs w:val="24"/>
        </w:rPr>
        <w:t>.</w:t>
      </w:r>
    </w:p>
    <w:p w14:paraId="71439BDF" w14:textId="77777777" w:rsidR="00574EF4" w:rsidRDefault="00574EF4">
      <w:pPr>
        <w:pStyle w:val="Normal-em"/>
        <w:rPr>
          <w:color w:val="auto"/>
          <w:szCs w:val="24"/>
        </w:rPr>
      </w:pPr>
    </w:p>
    <w:p w14:paraId="49BFB245" w14:textId="2E961F93" w:rsidR="00511352" w:rsidRDefault="00C9604B">
      <w:pPr>
        <w:pStyle w:val="Normal-em"/>
        <w:rPr>
          <w:color w:val="auto"/>
          <w:szCs w:val="24"/>
        </w:rPr>
      </w:pPr>
      <w:r>
        <w:rPr>
          <w:color w:val="auto"/>
          <w:szCs w:val="24"/>
        </w:rPr>
        <w:t xml:space="preserve">Paragraph (1)(e) provides that if </w:t>
      </w:r>
      <w:r w:rsidR="00F74812">
        <w:rPr>
          <w:color w:val="auto"/>
          <w:szCs w:val="24"/>
        </w:rPr>
        <w:t>a conveyance is exposed to a</w:t>
      </w:r>
      <w:r>
        <w:rPr>
          <w:color w:val="auto"/>
          <w:szCs w:val="24"/>
        </w:rPr>
        <w:t xml:space="preserve"> second conveyance </w:t>
      </w:r>
      <w:r w:rsidR="00F74812">
        <w:rPr>
          <w:color w:val="auto"/>
          <w:szCs w:val="24"/>
        </w:rPr>
        <w:t xml:space="preserve">that </w:t>
      </w:r>
      <w:r>
        <w:rPr>
          <w:color w:val="auto"/>
          <w:szCs w:val="24"/>
        </w:rPr>
        <w:t xml:space="preserve">is not an installation or a petroleum industry vessel, then both </w:t>
      </w:r>
      <w:r w:rsidR="008D1E75">
        <w:rPr>
          <w:color w:val="auto"/>
          <w:szCs w:val="24"/>
        </w:rPr>
        <w:t>conditions in</w:t>
      </w:r>
      <w:r>
        <w:rPr>
          <w:color w:val="auto"/>
          <w:szCs w:val="24"/>
        </w:rPr>
        <w:t xml:space="preserve"> subparagraphs (1)(e)(i) and (ii) must be met. </w:t>
      </w:r>
      <w:r w:rsidR="0089090D">
        <w:rPr>
          <w:color w:val="auto"/>
          <w:szCs w:val="24"/>
        </w:rPr>
        <w:t>S</w:t>
      </w:r>
      <w:r w:rsidR="000B031B">
        <w:rPr>
          <w:color w:val="auto"/>
          <w:szCs w:val="24"/>
        </w:rPr>
        <w:t>ub</w:t>
      </w:r>
      <w:r w:rsidR="004343D5">
        <w:rPr>
          <w:color w:val="auto"/>
          <w:szCs w:val="24"/>
        </w:rPr>
        <w:t xml:space="preserve">paragraph </w:t>
      </w:r>
      <w:r w:rsidR="00CD4621">
        <w:rPr>
          <w:color w:val="auto"/>
          <w:szCs w:val="24"/>
        </w:rPr>
        <w:t>(1)</w:t>
      </w:r>
      <w:r w:rsidR="00716A1F">
        <w:rPr>
          <w:color w:val="auto"/>
          <w:szCs w:val="24"/>
        </w:rPr>
        <w:t>(e)</w:t>
      </w:r>
      <w:r w:rsidR="000B031B">
        <w:rPr>
          <w:color w:val="auto"/>
          <w:szCs w:val="24"/>
        </w:rPr>
        <w:t>(i)</w:t>
      </w:r>
      <w:r w:rsidR="00716A1F">
        <w:rPr>
          <w:color w:val="auto"/>
          <w:szCs w:val="24"/>
        </w:rPr>
        <w:t xml:space="preserve"> provides that </w:t>
      </w:r>
      <w:r w:rsidR="00970456">
        <w:rPr>
          <w:color w:val="auto"/>
          <w:szCs w:val="24"/>
        </w:rPr>
        <w:t>only</w:t>
      </w:r>
      <w:r w:rsidR="009A1CE3">
        <w:rPr>
          <w:color w:val="auto"/>
          <w:szCs w:val="24"/>
        </w:rPr>
        <w:t xml:space="preserve"> domes</w:t>
      </w:r>
      <w:r w:rsidR="00697E31">
        <w:rPr>
          <w:color w:val="auto"/>
          <w:szCs w:val="24"/>
        </w:rPr>
        <w:t>tic persons</w:t>
      </w:r>
      <w:r w:rsidR="00B972AC">
        <w:rPr>
          <w:color w:val="auto"/>
          <w:szCs w:val="24"/>
        </w:rPr>
        <w:t xml:space="preserve"> (</w:t>
      </w:r>
      <w:r w:rsidR="00970456">
        <w:rPr>
          <w:color w:val="auto"/>
          <w:szCs w:val="24"/>
        </w:rPr>
        <w:t>including any</w:t>
      </w:r>
      <w:r w:rsidR="00506047">
        <w:rPr>
          <w:color w:val="auto"/>
          <w:szCs w:val="24"/>
        </w:rPr>
        <w:t xml:space="preserve"> domestic persons </w:t>
      </w:r>
      <w:r w:rsidR="00697E31">
        <w:rPr>
          <w:color w:val="auto"/>
          <w:szCs w:val="24"/>
        </w:rPr>
        <w:t>who transferred from the second conve</w:t>
      </w:r>
      <w:r w:rsidR="000B031B">
        <w:rPr>
          <w:color w:val="auto"/>
          <w:szCs w:val="24"/>
        </w:rPr>
        <w:t>yance to the exposed conveyance</w:t>
      </w:r>
      <w:r w:rsidR="008F1B59">
        <w:rPr>
          <w:color w:val="auto"/>
          <w:szCs w:val="24"/>
        </w:rPr>
        <w:t>)</w:t>
      </w:r>
      <w:r w:rsidR="000B031B">
        <w:rPr>
          <w:color w:val="auto"/>
          <w:szCs w:val="24"/>
        </w:rPr>
        <w:t xml:space="preserve"> </w:t>
      </w:r>
      <w:r w:rsidR="00CE743A">
        <w:rPr>
          <w:color w:val="auto"/>
          <w:szCs w:val="24"/>
        </w:rPr>
        <w:t xml:space="preserve">on the exposed conveyance </w:t>
      </w:r>
      <w:r w:rsidR="00697E31">
        <w:rPr>
          <w:color w:val="auto"/>
          <w:szCs w:val="24"/>
        </w:rPr>
        <w:t>intend to disembark, or disembark in Australian territory</w:t>
      </w:r>
      <w:r w:rsidR="00970456">
        <w:rPr>
          <w:color w:val="auto"/>
          <w:szCs w:val="24"/>
        </w:rPr>
        <w:t xml:space="preserve">. </w:t>
      </w:r>
      <w:r w:rsidR="005712F5">
        <w:rPr>
          <w:color w:val="auto"/>
          <w:szCs w:val="24"/>
        </w:rPr>
        <w:t>For example, i</w:t>
      </w:r>
      <w:r w:rsidR="00970456">
        <w:rPr>
          <w:color w:val="auto"/>
          <w:szCs w:val="24"/>
        </w:rPr>
        <w:t xml:space="preserve">f this is not met, </w:t>
      </w:r>
      <w:r w:rsidR="00F561F9">
        <w:rPr>
          <w:color w:val="auto"/>
          <w:szCs w:val="24"/>
        </w:rPr>
        <w:t xml:space="preserve">such as </w:t>
      </w:r>
      <w:r w:rsidR="005712F5">
        <w:rPr>
          <w:color w:val="auto"/>
          <w:szCs w:val="24"/>
        </w:rPr>
        <w:t xml:space="preserve">when </w:t>
      </w:r>
      <w:r w:rsidR="00970456">
        <w:rPr>
          <w:color w:val="auto"/>
          <w:szCs w:val="24"/>
        </w:rPr>
        <w:t xml:space="preserve">a person </w:t>
      </w:r>
      <w:r w:rsidR="008A1EF2">
        <w:rPr>
          <w:color w:val="auto"/>
          <w:szCs w:val="24"/>
        </w:rPr>
        <w:t>(</w:t>
      </w:r>
      <w:r w:rsidR="005712F5">
        <w:rPr>
          <w:color w:val="auto"/>
          <w:szCs w:val="24"/>
        </w:rPr>
        <w:t xml:space="preserve">who is </w:t>
      </w:r>
      <w:r w:rsidR="008A1EF2">
        <w:rPr>
          <w:color w:val="auto"/>
          <w:szCs w:val="24"/>
        </w:rPr>
        <w:t xml:space="preserve">not </w:t>
      </w:r>
      <w:r w:rsidR="00E44509">
        <w:rPr>
          <w:color w:val="auto"/>
          <w:szCs w:val="24"/>
        </w:rPr>
        <w:t xml:space="preserve">a </w:t>
      </w:r>
      <w:r w:rsidR="008A1EF2">
        <w:rPr>
          <w:color w:val="auto"/>
          <w:szCs w:val="24"/>
        </w:rPr>
        <w:t xml:space="preserve">domestic person) on </w:t>
      </w:r>
      <w:r w:rsidR="00970456">
        <w:rPr>
          <w:color w:val="auto"/>
          <w:szCs w:val="24"/>
        </w:rPr>
        <w:t>a vessel that began its journey from a place outside Australian territory</w:t>
      </w:r>
      <w:r w:rsidR="00A1269E">
        <w:rPr>
          <w:color w:val="auto"/>
          <w:szCs w:val="24"/>
        </w:rPr>
        <w:t>,</w:t>
      </w:r>
      <w:r w:rsidR="008A1EF2">
        <w:rPr>
          <w:color w:val="auto"/>
          <w:szCs w:val="24"/>
        </w:rPr>
        <w:t xml:space="preserve"> </w:t>
      </w:r>
      <w:r w:rsidR="005712F5">
        <w:rPr>
          <w:color w:val="auto"/>
          <w:szCs w:val="24"/>
        </w:rPr>
        <w:t>i</w:t>
      </w:r>
      <w:r w:rsidR="008A1EF2">
        <w:rPr>
          <w:color w:val="auto"/>
          <w:szCs w:val="24"/>
        </w:rPr>
        <w:t>s transferred</w:t>
      </w:r>
      <w:r w:rsidR="00970456">
        <w:rPr>
          <w:color w:val="auto"/>
          <w:szCs w:val="24"/>
        </w:rPr>
        <w:t xml:space="preserve"> by a helicopter (exposed conveyance)</w:t>
      </w:r>
      <w:r w:rsidR="00324623">
        <w:rPr>
          <w:color w:val="auto"/>
          <w:szCs w:val="24"/>
        </w:rPr>
        <w:t xml:space="preserve"> </w:t>
      </w:r>
      <w:r w:rsidR="008A1EF2">
        <w:rPr>
          <w:color w:val="auto"/>
          <w:szCs w:val="24"/>
        </w:rPr>
        <w:t>from the vessel to a place in</w:t>
      </w:r>
      <w:r w:rsidR="00970456">
        <w:rPr>
          <w:color w:val="auto"/>
          <w:szCs w:val="24"/>
        </w:rPr>
        <w:t xml:space="preserve"> Australian territory for disembarkation, </w:t>
      </w:r>
      <w:r w:rsidR="00324623">
        <w:rPr>
          <w:color w:val="auto"/>
          <w:szCs w:val="24"/>
        </w:rPr>
        <w:t xml:space="preserve">then </w:t>
      </w:r>
      <w:r w:rsidR="007C78A7">
        <w:rPr>
          <w:color w:val="auto"/>
          <w:szCs w:val="24"/>
        </w:rPr>
        <w:t>the exposed conveyance</w:t>
      </w:r>
      <w:r w:rsidR="00601CC6">
        <w:rPr>
          <w:color w:val="auto"/>
          <w:szCs w:val="24"/>
        </w:rPr>
        <w:t xml:space="preserve"> would become subject to biosecurity control</w:t>
      </w:r>
      <w:r w:rsidR="00697E31">
        <w:rPr>
          <w:color w:val="auto"/>
          <w:szCs w:val="24"/>
        </w:rPr>
        <w:t>.</w:t>
      </w:r>
      <w:r w:rsidR="000B031B">
        <w:rPr>
          <w:color w:val="auto"/>
          <w:szCs w:val="24"/>
        </w:rPr>
        <w:t xml:space="preserve"> </w:t>
      </w:r>
      <w:r w:rsidR="00BF7381">
        <w:rPr>
          <w:color w:val="auto"/>
          <w:szCs w:val="24"/>
        </w:rPr>
        <w:t xml:space="preserve">However, if </w:t>
      </w:r>
      <w:r w:rsidR="008F1B59">
        <w:rPr>
          <w:color w:val="auto"/>
          <w:szCs w:val="24"/>
        </w:rPr>
        <w:t>an</w:t>
      </w:r>
      <w:r w:rsidR="00BF7381">
        <w:rPr>
          <w:color w:val="auto"/>
          <w:szCs w:val="24"/>
        </w:rPr>
        <w:t xml:space="preserve"> exposed </w:t>
      </w:r>
      <w:r w:rsidR="008F1B59">
        <w:rPr>
          <w:color w:val="auto"/>
          <w:szCs w:val="24"/>
        </w:rPr>
        <w:t>conveyance</w:t>
      </w:r>
      <w:r w:rsidR="00BF7381">
        <w:rPr>
          <w:color w:val="auto"/>
          <w:szCs w:val="24"/>
        </w:rPr>
        <w:t xml:space="preserve"> is only transporting </w:t>
      </w:r>
      <w:r w:rsidR="008F1B59">
        <w:rPr>
          <w:color w:val="auto"/>
          <w:szCs w:val="24"/>
        </w:rPr>
        <w:t>a</w:t>
      </w:r>
      <w:r w:rsidR="00BF7381">
        <w:rPr>
          <w:color w:val="auto"/>
          <w:szCs w:val="24"/>
        </w:rPr>
        <w:t xml:space="preserve"> person </w:t>
      </w:r>
      <w:r w:rsidR="00A203DA">
        <w:rPr>
          <w:color w:val="auto"/>
          <w:szCs w:val="24"/>
        </w:rPr>
        <w:t>(</w:t>
      </w:r>
      <w:r w:rsidR="005712F5">
        <w:rPr>
          <w:color w:val="auto"/>
          <w:szCs w:val="24"/>
        </w:rPr>
        <w:t xml:space="preserve">who is </w:t>
      </w:r>
      <w:r w:rsidR="00A203DA">
        <w:rPr>
          <w:color w:val="auto"/>
          <w:szCs w:val="24"/>
        </w:rPr>
        <w:t>not</w:t>
      </w:r>
      <w:r w:rsidR="00145BF2">
        <w:rPr>
          <w:color w:val="auto"/>
          <w:szCs w:val="24"/>
        </w:rPr>
        <w:t xml:space="preserve"> a domestic person) </w:t>
      </w:r>
      <w:r w:rsidR="008F1B59">
        <w:rPr>
          <w:color w:val="auto"/>
          <w:szCs w:val="24"/>
        </w:rPr>
        <w:t>between</w:t>
      </w:r>
      <w:r w:rsidR="00BF7381">
        <w:rPr>
          <w:color w:val="auto"/>
          <w:szCs w:val="24"/>
        </w:rPr>
        <w:t xml:space="preserve"> </w:t>
      </w:r>
      <w:r w:rsidR="008F1B59">
        <w:rPr>
          <w:color w:val="auto"/>
          <w:szCs w:val="24"/>
        </w:rPr>
        <w:t xml:space="preserve">a </w:t>
      </w:r>
      <w:r w:rsidR="00BF7381">
        <w:rPr>
          <w:color w:val="auto"/>
          <w:szCs w:val="24"/>
        </w:rPr>
        <w:t xml:space="preserve">second </w:t>
      </w:r>
      <w:r w:rsidR="008F1B59">
        <w:rPr>
          <w:color w:val="auto"/>
          <w:szCs w:val="24"/>
        </w:rPr>
        <w:t>conveyance</w:t>
      </w:r>
      <w:r w:rsidR="00BF7381">
        <w:rPr>
          <w:color w:val="auto"/>
          <w:szCs w:val="24"/>
        </w:rPr>
        <w:t xml:space="preserve"> and a third </w:t>
      </w:r>
      <w:r w:rsidR="008F1B59">
        <w:rPr>
          <w:color w:val="auto"/>
          <w:szCs w:val="24"/>
        </w:rPr>
        <w:t>conveyance</w:t>
      </w:r>
      <w:r w:rsidR="00BF7381">
        <w:rPr>
          <w:color w:val="auto"/>
          <w:szCs w:val="24"/>
        </w:rPr>
        <w:t xml:space="preserve">, and not </w:t>
      </w:r>
      <w:r w:rsidR="00601CC6">
        <w:rPr>
          <w:color w:val="auto"/>
          <w:szCs w:val="24"/>
        </w:rPr>
        <w:t xml:space="preserve">transporting </w:t>
      </w:r>
      <w:r w:rsidR="00BF7381">
        <w:rPr>
          <w:color w:val="auto"/>
          <w:szCs w:val="24"/>
        </w:rPr>
        <w:t xml:space="preserve">that person for disembarkation in Australian territory, then the exposed </w:t>
      </w:r>
      <w:r w:rsidR="008F1B59">
        <w:rPr>
          <w:color w:val="auto"/>
          <w:szCs w:val="24"/>
        </w:rPr>
        <w:t xml:space="preserve">conveyance </w:t>
      </w:r>
      <w:r w:rsidR="00BF7381">
        <w:rPr>
          <w:color w:val="auto"/>
          <w:szCs w:val="24"/>
        </w:rPr>
        <w:t>would not become subject to biosecurity control</w:t>
      </w:r>
      <w:r w:rsidR="00506047">
        <w:rPr>
          <w:color w:val="auto"/>
          <w:szCs w:val="24"/>
        </w:rPr>
        <w:t xml:space="preserve">, </w:t>
      </w:r>
      <w:r w:rsidR="008F1B59">
        <w:rPr>
          <w:color w:val="auto"/>
          <w:szCs w:val="24"/>
        </w:rPr>
        <w:t>as long as it</w:t>
      </w:r>
      <w:r w:rsidR="00D971E3">
        <w:rPr>
          <w:color w:val="auto"/>
          <w:szCs w:val="24"/>
        </w:rPr>
        <w:t xml:space="preserve"> meets all other applicable circumstances</w:t>
      </w:r>
      <w:r w:rsidR="00C35507">
        <w:rPr>
          <w:color w:val="auto"/>
          <w:szCs w:val="24"/>
        </w:rPr>
        <w:t>.</w:t>
      </w:r>
    </w:p>
    <w:p w14:paraId="5A26EF6F" w14:textId="77777777" w:rsidR="00511352" w:rsidRDefault="00511352">
      <w:pPr>
        <w:pStyle w:val="Normal-em"/>
        <w:rPr>
          <w:color w:val="auto"/>
          <w:szCs w:val="24"/>
        </w:rPr>
      </w:pPr>
    </w:p>
    <w:p w14:paraId="22BC6485" w14:textId="77777777" w:rsidR="00C36A7F" w:rsidRDefault="00506047">
      <w:pPr>
        <w:pStyle w:val="Normal-em"/>
        <w:rPr>
          <w:color w:val="auto"/>
          <w:szCs w:val="24"/>
        </w:rPr>
      </w:pPr>
      <w:r>
        <w:rPr>
          <w:color w:val="auto"/>
          <w:szCs w:val="24"/>
        </w:rPr>
        <w:t>It</w:t>
      </w:r>
      <w:r w:rsidR="00C36A7F">
        <w:rPr>
          <w:color w:val="auto"/>
          <w:szCs w:val="24"/>
        </w:rPr>
        <w:t xml:space="preserve"> also </w:t>
      </w:r>
      <w:r w:rsidR="00AD43DF">
        <w:rPr>
          <w:color w:val="auto"/>
          <w:szCs w:val="24"/>
        </w:rPr>
        <w:t>provides that</w:t>
      </w:r>
      <w:r w:rsidR="00C36A7F">
        <w:rPr>
          <w:color w:val="auto"/>
          <w:szCs w:val="24"/>
        </w:rPr>
        <w:t xml:space="preserve"> if a </w:t>
      </w:r>
      <w:r w:rsidR="00DE580A">
        <w:rPr>
          <w:color w:val="auto"/>
          <w:szCs w:val="24"/>
        </w:rPr>
        <w:t xml:space="preserve">domestic </w:t>
      </w:r>
      <w:r w:rsidR="00C36A7F">
        <w:rPr>
          <w:color w:val="auto"/>
          <w:szCs w:val="24"/>
        </w:rPr>
        <w:t>person temporarily leaves a conve</w:t>
      </w:r>
      <w:r>
        <w:rPr>
          <w:color w:val="auto"/>
          <w:szCs w:val="24"/>
        </w:rPr>
        <w:t>yance to</w:t>
      </w:r>
      <w:r w:rsidR="00E44509">
        <w:rPr>
          <w:color w:val="auto"/>
          <w:szCs w:val="24"/>
        </w:rPr>
        <w:t xml:space="preserve"> undertake activities on a second</w:t>
      </w:r>
      <w:r>
        <w:rPr>
          <w:color w:val="auto"/>
          <w:szCs w:val="24"/>
        </w:rPr>
        <w:t xml:space="preserve"> conveyance and then</w:t>
      </w:r>
      <w:r w:rsidR="00C36A7F">
        <w:rPr>
          <w:color w:val="auto"/>
          <w:szCs w:val="24"/>
        </w:rPr>
        <w:t xml:space="preserve"> returns t</w:t>
      </w:r>
      <w:r w:rsidR="00E54435">
        <w:rPr>
          <w:color w:val="auto"/>
          <w:szCs w:val="24"/>
        </w:rPr>
        <w:t>o the first</w:t>
      </w:r>
      <w:r w:rsidR="00486D63">
        <w:rPr>
          <w:color w:val="auto"/>
          <w:szCs w:val="24"/>
        </w:rPr>
        <w:t xml:space="preserve"> </w:t>
      </w:r>
      <w:r w:rsidR="00E54435">
        <w:rPr>
          <w:color w:val="auto"/>
          <w:szCs w:val="24"/>
        </w:rPr>
        <w:t>(exposed) conveyance, then the exposed</w:t>
      </w:r>
      <w:r w:rsidR="00486D63">
        <w:rPr>
          <w:color w:val="auto"/>
          <w:szCs w:val="24"/>
        </w:rPr>
        <w:t xml:space="preserve"> conveyance </w:t>
      </w:r>
      <w:r>
        <w:rPr>
          <w:color w:val="auto"/>
          <w:szCs w:val="24"/>
        </w:rPr>
        <w:t xml:space="preserve">would not </w:t>
      </w:r>
      <w:r w:rsidR="00C36A7F">
        <w:rPr>
          <w:color w:val="auto"/>
          <w:szCs w:val="24"/>
        </w:rPr>
        <w:t>become subject to biosecurity control</w:t>
      </w:r>
      <w:r w:rsidR="00DE580A">
        <w:rPr>
          <w:color w:val="auto"/>
          <w:szCs w:val="24"/>
        </w:rPr>
        <w:t>, if all other applicable circumstances are met. For example</w:t>
      </w:r>
      <w:r w:rsidR="00CD4621">
        <w:rPr>
          <w:color w:val="auto"/>
          <w:szCs w:val="24"/>
        </w:rPr>
        <w:t>,</w:t>
      </w:r>
      <w:r w:rsidR="00C36A7F">
        <w:rPr>
          <w:color w:val="auto"/>
          <w:szCs w:val="24"/>
        </w:rPr>
        <w:t xml:space="preserve"> </w:t>
      </w:r>
      <w:r w:rsidR="00E54435">
        <w:rPr>
          <w:color w:val="auto"/>
          <w:szCs w:val="24"/>
        </w:rPr>
        <w:t xml:space="preserve">this would include </w:t>
      </w:r>
      <w:r w:rsidR="00C36A7F">
        <w:rPr>
          <w:color w:val="auto"/>
          <w:szCs w:val="24"/>
        </w:rPr>
        <w:t xml:space="preserve">if a ship’s pilot </w:t>
      </w:r>
      <w:r w:rsidR="00DE580A">
        <w:rPr>
          <w:color w:val="auto"/>
          <w:szCs w:val="24"/>
        </w:rPr>
        <w:t xml:space="preserve">who was brought from </w:t>
      </w:r>
      <w:r w:rsidR="002C6D99">
        <w:rPr>
          <w:color w:val="auto"/>
          <w:szCs w:val="24"/>
        </w:rPr>
        <w:t xml:space="preserve">a place in </w:t>
      </w:r>
      <w:r w:rsidR="00DE580A">
        <w:rPr>
          <w:color w:val="auto"/>
          <w:szCs w:val="24"/>
        </w:rPr>
        <w:t>Australian territory on a vessel</w:t>
      </w:r>
      <w:r w:rsidR="00C36A7F">
        <w:rPr>
          <w:color w:val="auto"/>
          <w:szCs w:val="24"/>
        </w:rPr>
        <w:t xml:space="preserve"> </w:t>
      </w:r>
      <w:r w:rsidR="00DE580A">
        <w:rPr>
          <w:color w:val="auto"/>
          <w:szCs w:val="24"/>
        </w:rPr>
        <w:t>and transferred</w:t>
      </w:r>
      <w:r w:rsidR="00C36A7F">
        <w:rPr>
          <w:color w:val="auto"/>
          <w:szCs w:val="24"/>
        </w:rPr>
        <w:t xml:space="preserve"> temporarily to </w:t>
      </w:r>
      <w:r w:rsidR="00DE580A">
        <w:rPr>
          <w:color w:val="auto"/>
          <w:szCs w:val="24"/>
        </w:rPr>
        <w:t>a second vessel</w:t>
      </w:r>
      <w:r w:rsidR="00CD4621">
        <w:rPr>
          <w:color w:val="auto"/>
          <w:szCs w:val="24"/>
        </w:rPr>
        <w:t xml:space="preserve"> </w:t>
      </w:r>
      <w:r w:rsidR="002C211B">
        <w:rPr>
          <w:color w:val="auto"/>
          <w:szCs w:val="24"/>
        </w:rPr>
        <w:t xml:space="preserve">outside Australian territory </w:t>
      </w:r>
      <w:r w:rsidR="00CD4621">
        <w:rPr>
          <w:color w:val="auto"/>
          <w:szCs w:val="24"/>
        </w:rPr>
        <w:t>to perform their</w:t>
      </w:r>
      <w:r w:rsidR="00DE580A">
        <w:rPr>
          <w:color w:val="auto"/>
          <w:szCs w:val="24"/>
        </w:rPr>
        <w:t xml:space="preserve"> role, and subsequently returne</w:t>
      </w:r>
      <w:r w:rsidR="00E54435">
        <w:rPr>
          <w:color w:val="auto"/>
          <w:szCs w:val="24"/>
        </w:rPr>
        <w:t>d to the first (exposed) vessel</w:t>
      </w:r>
      <w:r w:rsidR="004E175E">
        <w:rPr>
          <w:color w:val="auto"/>
          <w:szCs w:val="24"/>
        </w:rPr>
        <w:t xml:space="preserve"> for disembarkation in</w:t>
      </w:r>
      <w:r w:rsidR="00594084">
        <w:rPr>
          <w:color w:val="auto"/>
          <w:szCs w:val="24"/>
        </w:rPr>
        <w:t xml:space="preserve"> Australian territory</w:t>
      </w:r>
      <w:r w:rsidR="00CD4621">
        <w:rPr>
          <w:color w:val="auto"/>
          <w:szCs w:val="24"/>
        </w:rPr>
        <w:t>.</w:t>
      </w:r>
    </w:p>
    <w:p w14:paraId="30690B13" w14:textId="77777777" w:rsidR="000B031B" w:rsidRDefault="000B031B">
      <w:pPr>
        <w:pStyle w:val="Normal-em"/>
        <w:rPr>
          <w:color w:val="auto"/>
          <w:szCs w:val="24"/>
        </w:rPr>
      </w:pPr>
    </w:p>
    <w:p w14:paraId="48DA99B0" w14:textId="504626DD" w:rsidR="00A1269E" w:rsidRDefault="00F23990">
      <w:pPr>
        <w:pStyle w:val="Normal-em"/>
        <w:rPr>
          <w:color w:val="auto"/>
          <w:szCs w:val="24"/>
        </w:rPr>
      </w:pPr>
      <w:r>
        <w:rPr>
          <w:color w:val="auto"/>
          <w:szCs w:val="24"/>
        </w:rPr>
        <w:t>S</w:t>
      </w:r>
      <w:r w:rsidR="004343D5">
        <w:rPr>
          <w:color w:val="auto"/>
          <w:szCs w:val="24"/>
        </w:rPr>
        <w:t xml:space="preserve">ubparagraph </w:t>
      </w:r>
      <w:r w:rsidR="00CD4621">
        <w:rPr>
          <w:color w:val="auto"/>
          <w:szCs w:val="24"/>
        </w:rPr>
        <w:t>(1)</w:t>
      </w:r>
      <w:r w:rsidR="000B031B">
        <w:rPr>
          <w:color w:val="auto"/>
          <w:szCs w:val="24"/>
        </w:rPr>
        <w:t xml:space="preserve">(e)(ii) provides that </w:t>
      </w:r>
      <w:r w:rsidR="00A1269E">
        <w:rPr>
          <w:color w:val="auto"/>
          <w:szCs w:val="24"/>
        </w:rPr>
        <w:t>only</w:t>
      </w:r>
      <w:r w:rsidR="00680B00">
        <w:rPr>
          <w:color w:val="auto"/>
          <w:szCs w:val="24"/>
        </w:rPr>
        <w:t xml:space="preserve"> </w:t>
      </w:r>
      <w:r w:rsidR="000B031B">
        <w:rPr>
          <w:color w:val="auto"/>
          <w:szCs w:val="24"/>
        </w:rPr>
        <w:t xml:space="preserve">low-risk goods or </w:t>
      </w:r>
      <w:r w:rsidR="00450B49">
        <w:rPr>
          <w:color w:val="auto"/>
          <w:szCs w:val="24"/>
        </w:rPr>
        <w:t>domestic goods (</w:t>
      </w:r>
      <w:r w:rsidR="00A1269E">
        <w:rPr>
          <w:color w:val="auto"/>
          <w:szCs w:val="24"/>
        </w:rPr>
        <w:t>including</w:t>
      </w:r>
      <w:r w:rsidR="00CE743A">
        <w:rPr>
          <w:color w:val="auto"/>
          <w:szCs w:val="24"/>
        </w:rPr>
        <w:t xml:space="preserve"> low-risk goods or domestic goods </w:t>
      </w:r>
      <w:r w:rsidR="000B031B">
        <w:rPr>
          <w:color w:val="auto"/>
          <w:szCs w:val="24"/>
        </w:rPr>
        <w:t>that were transferred from the second conveyance</w:t>
      </w:r>
      <w:r w:rsidR="00CE743A">
        <w:rPr>
          <w:color w:val="auto"/>
          <w:szCs w:val="24"/>
        </w:rPr>
        <w:t xml:space="preserve"> </w:t>
      </w:r>
      <w:r w:rsidR="000B031B">
        <w:rPr>
          <w:color w:val="auto"/>
          <w:szCs w:val="24"/>
        </w:rPr>
        <w:t>to the exposed conveyance</w:t>
      </w:r>
      <w:r w:rsidR="00CE743A">
        <w:rPr>
          <w:color w:val="auto"/>
          <w:szCs w:val="24"/>
        </w:rPr>
        <w:t>)</w:t>
      </w:r>
      <w:r w:rsidR="00AB1EE0">
        <w:rPr>
          <w:color w:val="auto"/>
          <w:szCs w:val="24"/>
        </w:rPr>
        <w:t xml:space="preserve"> are on board the exposed conveyance at any time it is in Australian territory</w:t>
      </w:r>
      <w:r w:rsidR="00A1269E">
        <w:rPr>
          <w:color w:val="auto"/>
          <w:szCs w:val="24"/>
        </w:rPr>
        <w:t xml:space="preserve">. </w:t>
      </w:r>
      <w:r w:rsidR="00F561F9">
        <w:rPr>
          <w:color w:val="auto"/>
          <w:szCs w:val="24"/>
        </w:rPr>
        <w:t>For example, if this is not met</w:t>
      </w:r>
      <w:r w:rsidR="00F561F9" w:rsidRPr="00F561F9">
        <w:rPr>
          <w:color w:val="auto"/>
          <w:szCs w:val="24"/>
        </w:rPr>
        <w:t xml:space="preserve">, such as </w:t>
      </w:r>
      <w:r w:rsidR="005712F5" w:rsidRPr="00F561F9">
        <w:rPr>
          <w:color w:val="auto"/>
          <w:szCs w:val="24"/>
        </w:rPr>
        <w:t>when</w:t>
      </w:r>
      <w:r w:rsidR="005712F5">
        <w:rPr>
          <w:color w:val="auto"/>
          <w:szCs w:val="24"/>
        </w:rPr>
        <w:t xml:space="preserve"> </w:t>
      </w:r>
      <w:r w:rsidR="00A1269E">
        <w:rPr>
          <w:color w:val="auto"/>
          <w:szCs w:val="24"/>
        </w:rPr>
        <w:t xml:space="preserve">goods </w:t>
      </w:r>
      <w:r w:rsidR="00AD689D">
        <w:rPr>
          <w:color w:val="auto"/>
          <w:szCs w:val="24"/>
        </w:rPr>
        <w:t>(</w:t>
      </w:r>
      <w:r w:rsidR="005712F5">
        <w:rPr>
          <w:color w:val="auto"/>
          <w:szCs w:val="24"/>
        </w:rPr>
        <w:t xml:space="preserve">that are </w:t>
      </w:r>
      <w:r w:rsidR="00AD689D">
        <w:rPr>
          <w:color w:val="auto"/>
          <w:szCs w:val="24"/>
        </w:rPr>
        <w:t xml:space="preserve">not domestic goods or low-risk goods) that were </w:t>
      </w:r>
      <w:r w:rsidR="00A1269E">
        <w:rPr>
          <w:color w:val="auto"/>
          <w:szCs w:val="24"/>
        </w:rPr>
        <w:t>on a vessel that began its journey</w:t>
      </w:r>
      <w:r w:rsidR="00324623">
        <w:rPr>
          <w:color w:val="auto"/>
          <w:szCs w:val="24"/>
        </w:rPr>
        <w:t xml:space="preserve"> </w:t>
      </w:r>
      <w:r w:rsidR="00A1269E">
        <w:rPr>
          <w:color w:val="auto"/>
          <w:szCs w:val="24"/>
        </w:rPr>
        <w:t>from a place outside Australian te</w:t>
      </w:r>
      <w:r w:rsidR="00AD689D">
        <w:rPr>
          <w:color w:val="auto"/>
          <w:szCs w:val="24"/>
        </w:rPr>
        <w:t>rritory</w:t>
      </w:r>
      <w:r w:rsidR="005712F5">
        <w:rPr>
          <w:color w:val="auto"/>
          <w:szCs w:val="24"/>
        </w:rPr>
        <w:t xml:space="preserve"> are</w:t>
      </w:r>
      <w:r w:rsidR="00F561F9">
        <w:rPr>
          <w:color w:val="auto"/>
          <w:szCs w:val="24"/>
        </w:rPr>
        <w:t xml:space="preserve"> transferred to another</w:t>
      </w:r>
      <w:r w:rsidR="00AD689D">
        <w:rPr>
          <w:color w:val="auto"/>
          <w:szCs w:val="24"/>
        </w:rPr>
        <w:t xml:space="preserve"> </w:t>
      </w:r>
      <w:r w:rsidR="005E026B">
        <w:rPr>
          <w:color w:val="auto"/>
          <w:szCs w:val="24"/>
        </w:rPr>
        <w:t>vessel (exposed conveyance</w:t>
      </w:r>
      <w:r w:rsidR="00AD689D">
        <w:rPr>
          <w:color w:val="auto"/>
          <w:szCs w:val="24"/>
        </w:rPr>
        <w:t>)</w:t>
      </w:r>
      <w:r w:rsidR="00A1269E">
        <w:rPr>
          <w:color w:val="auto"/>
          <w:szCs w:val="24"/>
        </w:rPr>
        <w:t xml:space="preserve"> for bringing back into Australian territory, </w:t>
      </w:r>
      <w:r w:rsidR="007C78A7">
        <w:rPr>
          <w:color w:val="auto"/>
          <w:szCs w:val="24"/>
        </w:rPr>
        <w:t>the exposed conveyance</w:t>
      </w:r>
      <w:r w:rsidR="005E026B">
        <w:rPr>
          <w:color w:val="auto"/>
          <w:szCs w:val="24"/>
        </w:rPr>
        <w:t xml:space="preserve"> become</w:t>
      </w:r>
      <w:r w:rsidR="005712F5">
        <w:rPr>
          <w:color w:val="auto"/>
          <w:szCs w:val="24"/>
        </w:rPr>
        <w:t>s</w:t>
      </w:r>
      <w:r w:rsidR="005E026B">
        <w:rPr>
          <w:color w:val="auto"/>
          <w:szCs w:val="24"/>
        </w:rPr>
        <w:t xml:space="preserve"> subject to biosecurity control</w:t>
      </w:r>
      <w:r w:rsidR="00AB1EE0">
        <w:rPr>
          <w:color w:val="auto"/>
          <w:szCs w:val="24"/>
        </w:rPr>
        <w:t>.</w:t>
      </w:r>
      <w:r w:rsidR="00AB1EE0" w:rsidRPr="00AB1EE0">
        <w:rPr>
          <w:color w:val="auto"/>
          <w:szCs w:val="24"/>
        </w:rPr>
        <w:t xml:space="preserve"> </w:t>
      </w:r>
      <w:r w:rsidR="007F03B1">
        <w:rPr>
          <w:color w:val="auto"/>
          <w:szCs w:val="24"/>
        </w:rPr>
        <w:t>However, if the exposed conveyance transferred goods that are neither low-risk goods nor domestic goods between a second conveyance and a third conveyance outside Australian territory, and not transporting them into Australian territory, then the exposed conveyance would not become subject to biosecurity control, as long as it meets all other applicable circumstances.</w:t>
      </w:r>
    </w:p>
    <w:p w14:paraId="0546E136" w14:textId="77777777" w:rsidR="00A1269E" w:rsidRDefault="00A1269E">
      <w:pPr>
        <w:pStyle w:val="Normal-em"/>
        <w:rPr>
          <w:color w:val="auto"/>
          <w:szCs w:val="24"/>
        </w:rPr>
      </w:pPr>
    </w:p>
    <w:p w14:paraId="0B3A9A27" w14:textId="5697A70B" w:rsidR="00D971E3" w:rsidRDefault="00CD4621">
      <w:pPr>
        <w:pStyle w:val="Normal-em"/>
        <w:rPr>
          <w:color w:val="auto"/>
          <w:szCs w:val="24"/>
        </w:rPr>
      </w:pPr>
      <w:r>
        <w:rPr>
          <w:color w:val="auto"/>
          <w:szCs w:val="24"/>
        </w:rPr>
        <w:t>The effec</w:t>
      </w:r>
      <w:r w:rsidR="00A1269E">
        <w:rPr>
          <w:color w:val="auto"/>
          <w:szCs w:val="24"/>
        </w:rPr>
        <w:t>t of subparagraph (1)(e)(ii)</w:t>
      </w:r>
      <w:r w:rsidR="00450B49">
        <w:rPr>
          <w:color w:val="auto"/>
          <w:szCs w:val="24"/>
        </w:rPr>
        <w:t xml:space="preserve"> is to provide</w:t>
      </w:r>
      <w:r>
        <w:rPr>
          <w:color w:val="auto"/>
          <w:szCs w:val="24"/>
        </w:rPr>
        <w:t xml:space="preserve"> that </w:t>
      </w:r>
      <w:r w:rsidR="00486D63">
        <w:rPr>
          <w:color w:val="auto"/>
          <w:szCs w:val="24"/>
        </w:rPr>
        <w:t xml:space="preserve">only </w:t>
      </w:r>
      <w:r w:rsidR="00496A9F">
        <w:rPr>
          <w:color w:val="auto"/>
          <w:szCs w:val="24"/>
        </w:rPr>
        <w:t xml:space="preserve">conveyances that are exposed to </w:t>
      </w:r>
      <w:r>
        <w:rPr>
          <w:color w:val="auto"/>
          <w:szCs w:val="24"/>
        </w:rPr>
        <w:t xml:space="preserve">goods that are of biosecurity concern are subject to </w:t>
      </w:r>
      <w:r w:rsidR="00450B49">
        <w:rPr>
          <w:color w:val="auto"/>
          <w:szCs w:val="24"/>
        </w:rPr>
        <w:t>regulation</w:t>
      </w:r>
      <w:r>
        <w:rPr>
          <w:color w:val="auto"/>
          <w:szCs w:val="24"/>
        </w:rPr>
        <w:t xml:space="preserve"> under the </w:t>
      </w:r>
      <w:r w:rsidR="00450B49">
        <w:rPr>
          <w:color w:val="auto"/>
          <w:szCs w:val="24"/>
        </w:rPr>
        <w:t xml:space="preserve">Biosecurity </w:t>
      </w:r>
      <w:r w:rsidR="00486D63">
        <w:rPr>
          <w:color w:val="auto"/>
          <w:szCs w:val="24"/>
        </w:rPr>
        <w:t>Act. L</w:t>
      </w:r>
      <w:r>
        <w:rPr>
          <w:color w:val="auto"/>
          <w:szCs w:val="24"/>
        </w:rPr>
        <w:t>ow risk goods</w:t>
      </w:r>
      <w:r w:rsidR="00486D63">
        <w:rPr>
          <w:color w:val="auto"/>
          <w:szCs w:val="24"/>
        </w:rPr>
        <w:t xml:space="preserve"> and domestic goods</w:t>
      </w:r>
      <w:r w:rsidR="007F03B1">
        <w:rPr>
          <w:color w:val="auto"/>
          <w:szCs w:val="24"/>
        </w:rPr>
        <w:t xml:space="preserve"> are goods that are</w:t>
      </w:r>
      <w:r>
        <w:rPr>
          <w:color w:val="auto"/>
          <w:szCs w:val="24"/>
        </w:rPr>
        <w:t xml:space="preserve"> not of biosecurity concern </w:t>
      </w:r>
      <w:r w:rsidR="007F03B1">
        <w:rPr>
          <w:color w:val="auto"/>
          <w:szCs w:val="24"/>
        </w:rPr>
        <w:t xml:space="preserve">or were of </w:t>
      </w:r>
      <w:r w:rsidR="007F03B1">
        <w:rPr>
          <w:color w:val="auto"/>
          <w:szCs w:val="24"/>
        </w:rPr>
        <w:lastRenderedPageBreak/>
        <w:t xml:space="preserve">acceptable level of biosecurity risk and therefore, </w:t>
      </w:r>
      <w:r w:rsidR="00496A9F">
        <w:rPr>
          <w:color w:val="auto"/>
          <w:szCs w:val="24"/>
        </w:rPr>
        <w:t>should not subject an exposed conveyance to increased</w:t>
      </w:r>
      <w:r>
        <w:rPr>
          <w:color w:val="auto"/>
          <w:szCs w:val="24"/>
        </w:rPr>
        <w:t xml:space="preserve"> regulation.</w:t>
      </w:r>
    </w:p>
    <w:p w14:paraId="62389339" w14:textId="77777777" w:rsidR="00574EF4" w:rsidRDefault="00574EF4">
      <w:pPr>
        <w:pStyle w:val="Normal-em"/>
        <w:rPr>
          <w:color w:val="auto"/>
          <w:szCs w:val="24"/>
        </w:rPr>
      </w:pPr>
    </w:p>
    <w:p w14:paraId="2F74CF5E" w14:textId="77777777" w:rsidR="008D1E75" w:rsidRDefault="00574EF4">
      <w:pPr>
        <w:pStyle w:val="Normal-em"/>
        <w:rPr>
          <w:color w:val="auto"/>
          <w:szCs w:val="24"/>
        </w:rPr>
      </w:pPr>
      <w:r>
        <w:rPr>
          <w:color w:val="auto"/>
          <w:szCs w:val="24"/>
        </w:rPr>
        <w:t>Other examples whereby the circumstance under subparagraph (1)(e) may apply include</w:t>
      </w:r>
      <w:r w:rsidR="005E026B">
        <w:rPr>
          <w:color w:val="auto"/>
          <w:szCs w:val="24"/>
        </w:rPr>
        <w:t xml:space="preserve"> when a vessel</w:t>
      </w:r>
      <w:r w:rsidR="00A203DA">
        <w:rPr>
          <w:color w:val="auto"/>
          <w:szCs w:val="24"/>
        </w:rPr>
        <w:t xml:space="preserve"> has </w:t>
      </w:r>
      <w:r>
        <w:rPr>
          <w:color w:val="auto"/>
          <w:szCs w:val="24"/>
        </w:rPr>
        <w:t>towed a second vessel</w:t>
      </w:r>
      <w:r w:rsidR="003576D8">
        <w:rPr>
          <w:color w:val="auto"/>
          <w:szCs w:val="24"/>
        </w:rPr>
        <w:t xml:space="preserve"> that began its journey from outside Australian territory</w:t>
      </w:r>
      <w:r>
        <w:rPr>
          <w:color w:val="auto"/>
          <w:szCs w:val="24"/>
        </w:rPr>
        <w:t xml:space="preserve">, </w:t>
      </w:r>
      <w:r w:rsidR="006F1D0E">
        <w:rPr>
          <w:color w:val="auto"/>
          <w:szCs w:val="24"/>
        </w:rPr>
        <w:t xml:space="preserve">a vessel is exposed </w:t>
      </w:r>
      <w:r w:rsidR="00E26615">
        <w:rPr>
          <w:color w:val="auto"/>
          <w:szCs w:val="24"/>
        </w:rPr>
        <w:t xml:space="preserve">while outside Australian territory </w:t>
      </w:r>
      <w:r w:rsidR="006F1D0E">
        <w:rPr>
          <w:color w:val="auto"/>
          <w:szCs w:val="24"/>
        </w:rPr>
        <w:t>to a sec</w:t>
      </w:r>
      <w:r w:rsidR="008334B9">
        <w:rPr>
          <w:color w:val="auto"/>
          <w:szCs w:val="24"/>
        </w:rPr>
        <w:t>ond vessel</w:t>
      </w:r>
      <w:r w:rsidR="005E026B">
        <w:rPr>
          <w:color w:val="auto"/>
          <w:szCs w:val="24"/>
        </w:rPr>
        <w:t xml:space="preserve"> that commenced its journey in Australian territory</w:t>
      </w:r>
      <w:r w:rsidR="00E26615">
        <w:rPr>
          <w:color w:val="auto"/>
          <w:szCs w:val="24"/>
        </w:rPr>
        <w:t xml:space="preserve"> (such as, interaction between two domestic fishing vessels outside Australian territory)</w:t>
      </w:r>
      <w:r w:rsidR="005E026B">
        <w:rPr>
          <w:color w:val="auto"/>
          <w:szCs w:val="24"/>
        </w:rPr>
        <w:t xml:space="preserve">, </w:t>
      </w:r>
      <w:r>
        <w:rPr>
          <w:color w:val="auto"/>
          <w:szCs w:val="24"/>
        </w:rPr>
        <w:t>or</w:t>
      </w:r>
      <w:r w:rsidR="00A203DA">
        <w:rPr>
          <w:color w:val="auto"/>
          <w:szCs w:val="24"/>
        </w:rPr>
        <w:t xml:space="preserve"> </w:t>
      </w:r>
      <w:r w:rsidR="004C135C">
        <w:rPr>
          <w:color w:val="auto"/>
          <w:szCs w:val="24"/>
        </w:rPr>
        <w:t>a</w:t>
      </w:r>
      <w:r w:rsidR="005E026B">
        <w:rPr>
          <w:color w:val="auto"/>
          <w:szCs w:val="24"/>
        </w:rPr>
        <w:t xml:space="preserve"> conveyance </w:t>
      </w:r>
      <w:r w:rsidR="00A203DA">
        <w:rPr>
          <w:color w:val="auto"/>
          <w:szCs w:val="24"/>
        </w:rPr>
        <w:t xml:space="preserve">has </w:t>
      </w:r>
      <w:r>
        <w:rPr>
          <w:color w:val="auto"/>
          <w:szCs w:val="24"/>
        </w:rPr>
        <w:t xml:space="preserve">delivered </w:t>
      </w:r>
      <w:r w:rsidR="008D1E75">
        <w:rPr>
          <w:color w:val="auto"/>
          <w:szCs w:val="24"/>
        </w:rPr>
        <w:t>one or more the of the following to a second conveyance</w:t>
      </w:r>
      <w:r w:rsidR="004C135C">
        <w:rPr>
          <w:color w:val="auto"/>
          <w:szCs w:val="24"/>
        </w:rPr>
        <w:t xml:space="preserve"> outside Australian territory</w:t>
      </w:r>
      <w:r w:rsidR="008D1E75">
        <w:rPr>
          <w:color w:val="auto"/>
          <w:szCs w:val="24"/>
        </w:rPr>
        <w:t>:</w:t>
      </w:r>
    </w:p>
    <w:p w14:paraId="2F4424F0" w14:textId="77777777" w:rsidR="008D1E75" w:rsidRDefault="008D1E75" w:rsidP="008D1E75">
      <w:pPr>
        <w:pStyle w:val="Normal-em"/>
        <w:numPr>
          <w:ilvl w:val="0"/>
          <w:numId w:val="15"/>
        </w:numPr>
        <w:rPr>
          <w:color w:val="auto"/>
          <w:szCs w:val="24"/>
        </w:rPr>
      </w:pPr>
      <w:r>
        <w:rPr>
          <w:color w:val="auto"/>
          <w:szCs w:val="24"/>
        </w:rPr>
        <w:t>domestic goods</w:t>
      </w:r>
      <w:r w:rsidR="00574EF4">
        <w:rPr>
          <w:color w:val="auto"/>
          <w:szCs w:val="24"/>
        </w:rPr>
        <w:t xml:space="preserve"> </w:t>
      </w:r>
    </w:p>
    <w:p w14:paraId="6449D238" w14:textId="77777777" w:rsidR="008D1E75" w:rsidRDefault="008D1E75" w:rsidP="008D1E75">
      <w:pPr>
        <w:pStyle w:val="Normal-em"/>
        <w:numPr>
          <w:ilvl w:val="0"/>
          <w:numId w:val="15"/>
        </w:numPr>
        <w:rPr>
          <w:color w:val="auto"/>
          <w:szCs w:val="24"/>
        </w:rPr>
      </w:pPr>
      <w:r>
        <w:rPr>
          <w:color w:val="auto"/>
          <w:szCs w:val="24"/>
        </w:rPr>
        <w:t>low-risk goods</w:t>
      </w:r>
    </w:p>
    <w:p w14:paraId="7F128FAC" w14:textId="77777777" w:rsidR="00574EF4" w:rsidRDefault="008D1E75" w:rsidP="008D1E75">
      <w:pPr>
        <w:pStyle w:val="Normal-em"/>
        <w:numPr>
          <w:ilvl w:val="0"/>
          <w:numId w:val="15"/>
        </w:numPr>
        <w:rPr>
          <w:color w:val="auto"/>
          <w:szCs w:val="24"/>
        </w:rPr>
      </w:pPr>
      <w:r>
        <w:rPr>
          <w:color w:val="auto"/>
          <w:szCs w:val="24"/>
        </w:rPr>
        <w:t>domestic persons</w:t>
      </w:r>
      <w:r w:rsidR="00574EF4">
        <w:rPr>
          <w:color w:val="auto"/>
          <w:szCs w:val="24"/>
        </w:rPr>
        <w:t>.</w:t>
      </w:r>
    </w:p>
    <w:p w14:paraId="061EB7D1" w14:textId="77777777" w:rsidR="00862FD5" w:rsidRDefault="00862FD5" w:rsidP="00E560B5">
      <w:pPr>
        <w:pStyle w:val="Normal-em"/>
        <w:rPr>
          <w:color w:val="auto"/>
          <w:szCs w:val="24"/>
        </w:rPr>
      </w:pPr>
    </w:p>
    <w:p w14:paraId="637E89FE" w14:textId="65626A43" w:rsidR="00941994" w:rsidRDefault="00680B00" w:rsidP="00CB6D9C">
      <w:pPr>
        <w:pStyle w:val="Normal-em"/>
        <w:rPr>
          <w:color w:val="auto"/>
          <w:szCs w:val="24"/>
        </w:rPr>
      </w:pPr>
      <w:r>
        <w:rPr>
          <w:color w:val="auto"/>
          <w:szCs w:val="24"/>
        </w:rPr>
        <w:t>S</w:t>
      </w:r>
      <w:r w:rsidR="004343D5">
        <w:rPr>
          <w:color w:val="auto"/>
          <w:szCs w:val="24"/>
        </w:rPr>
        <w:t xml:space="preserve">ubparagraph </w:t>
      </w:r>
      <w:r w:rsidR="00CD4621">
        <w:rPr>
          <w:color w:val="auto"/>
          <w:szCs w:val="24"/>
        </w:rPr>
        <w:t>(1)</w:t>
      </w:r>
      <w:r w:rsidR="00CB6D9C">
        <w:rPr>
          <w:color w:val="auto"/>
          <w:szCs w:val="24"/>
        </w:rPr>
        <w:t>(f)</w:t>
      </w:r>
      <w:r w:rsidR="00941994">
        <w:rPr>
          <w:color w:val="auto"/>
          <w:szCs w:val="24"/>
        </w:rPr>
        <w:t xml:space="preserve"> provides </w:t>
      </w:r>
      <w:r w:rsidR="00ED0307">
        <w:rPr>
          <w:color w:val="auto"/>
          <w:szCs w:val="24"/>
        </w:rPr>
        <w:t xml:space="preserve">that </w:t>
      </w:r>
      <w:r w:rsidR="00615639">
        <w:rPr>
          <w:color w:val="auto"/>
          <w:szCs w:val="24"/>
        </w:rPr>
        <w:t xml:space="preserve">if a conveyance is exposed to a second conveyance that is an installation or a petroleum industry vessel, then </w:t>
      </w:r>
      <w:r w:rsidR="00ED0307">
        <w:rPr>
          <w:color w:val="auto"/>
          <w:szCs w:val="24"/>
        </w:rPr>
        <w:t xml:space="preserve">one </w:t>
      </w:r>
      <w:r w:rsidR="004F389B">
        <w:rPr>
          <w:color w:val="auto"/>
          <w:szCs w:val="24"/>
        </w:rPr>
        <w:t xml:space="preserve">of the </w:t>
      </w:r>
      <w:r w:rsidR="00941994">
        <w:rPr>
          <w:color w:val="auto"/>
          <w:szCs w:val="24"/>
        </w:rPr>
        <w:t>c</w:t>
      </w:r>
      <w:r w:rsidR="00ED0307">
        <w:rPr>
          <w:color w:val="auto"/>
          <w:szCs w:val="24"/>
        </w:rPr>
        <w:t xml:space="preserve">ircumstances </w:t>
      </w:r>
      <w:r w:rsidR="004F389B">
        <w:rPr>
          <w:color w:val="auto"/>
          <w:szCs w:val="24"/>
        </w:rPr>
        <w:t xml:space="preserve">listed in subparagraphs (1)(f)(i), (ii) or (iii) </w:t>
      </w:r>
      <w:r w:rsidR="00615639">
        <w:rPr>
          <w:color w:val="auto"/>
          <w:szCs w:val="24"/>
        </w:rPr>
        <w:t>must be</w:t>
      </w:r>
      <w:r w:rsidR="00ED0307">
        <w:rPr>
          <w:color w:val="auto"/>
          <w:szCs w:val="24"/>
        </w:rPr>
        <w:t xml:space="preserve"> met</w:t>
      </w:r>
      <w:r w:rsidR="0080269A">
        <w:rPr>
          <w:color w:val="auto"/>
          <w:szCs w:val="24"/>
        </w:rPr>
        <w:t xml:space="preserve"> </w:t>
      </w:r>
      <w:r w:rsidR="005712F5">
        <w:rPr>
          <w:color w:val="auto"/>
          <w:szCs w:val="24"/>
        </w:rPr>
        <w:t>or the conveyance will be subject to biosecurity control when in Australian territory</w:t>
      </w:r>
      <w:r w:rsidR="00615639">
        <w:rPr>
          <w:color w:val="auto"/>
          <w:szCs w:val="24"/>
        </w:rPr>
        <w:t>.</w:t>
      </w:r>
    </w:p>
    <w:p w14:paraId="0880B08A" w14:textId="77777777" w:rsidR="00941994" w:rsidRDefault="00941994" w:rsidP="00CB6D9C">
      <w:pPr>
        <w:pStyle w:val="Normal-em"/>
        <w:rPr>
          <w:color w:val="auto"/>
          <w:szCs w:val="24"/>
        </w:rPr>
      </w:pPr>
    </w:p>
    <w:p w14:paraId="4C015AC0" w14:textId="77777777" w:rsidR="008D1E75" w:rsidRPr="004F389B" w:rsidRDefault="004343D5" w:rsidP="00CB6D9C">
      <w:pPr>
        <w:pStyle w:val="Normal-em"/>
        <w:rPr>
          <w:color w:val="auto"/>
          <w:szCs w:val="24"/>
        </w:rPr>
      </w:pPr>
      <w:r>
        <w:rPr>
          <w:color w:val="auto"/>
          <w:szCs w:val="24"/>
        </w:rPr>
        <w:t xml:space="preserve">Subparagraph </w:t>
      </w:r>
      <w:r w:rsidR="00941994">
        <w:rPr>
          <w:color w:val="auto"/>
          <w:szCs w:val="24"/>
        </w:rPr>
        <w:t>(1)(f)</w:t>
      </w:r>
      <w:r w:rsidR="00CB6D9C">
        <w:rPr>
          <w:color w:val="auto"/>
          <w:szCs w:val="24"/>
        </w:rPr>
        <w:t xml:space="preserve">(i) provides that </w:t>
      </w:r>
      <w:r w:rsidR="00EB65E1">
        <w:rPr>
          <w:color w:val="auto"/>
          <w:szCs w:val="24"/>
        </w:rPr>
        <w:t xml:space="preserve">no </w:t>
      </w:r>
      <w:r w:rsidR="00CB6D9C">
        <w:rPr>
          <w:color w:val="auto"/>
          <w:szCs w:val="24"/>
        </w:rPr>
        <w:t xml:space="preserve">person who transferred from the second conveyance </w:t>
      </w:r>
      <w:r w:rsidR="004F389B">
        <w:rPr>
          <w:color w:val="auto"/>
          <w:szCs w:val="24"/>
        </w:rPr>
        <w:t xml:space="preserve">(installation or petroleum industry vessel) </w:t>
      </w:r>
      <w:r w:rsidR="00CB6D9C">
        <w:rPr>
          <w:color w:val="auto"/>
          <w:szCs w:val="24"/>
        </w:rPr>
        <w:t>to the exposed conveyance intends to disembark, or disembarks</w:t>
      </w:r>
      <w:r w:rsidR="00232BDB">
        <w:rPr>
          <w:color w:val="auto"/>
          <w:szCs w:val="24"/>
        </w:rPr>
        <w:t>,</w:t>
      </w:r>
      <w:r w:rsidR="00CB6D9C">
        <w:rPr>
          <w:color w:val="auto"/>
          <w:szCs w:val="24"/>
        </w:rPr>
        <w:t xml:space="preserve"> in Australian territory, and </w:t>
      </w:r>
      <w:r w:rsidR="00EB65E1">
        <w:rPr>
          <w:color w:val="auto"/>
          <w:szCs w:val="24"/>
        </w:rPr>
        <w:t>no</w:t>
      </w:r>
      <w:r w:rsidR="00680B00">
        <w:rPr>
          <w:color w:val="auto"/>
          <w:szCs w:val="24"/>
        </w:rPr>
        <w:t xml:space="preserve"> </w:t>
      </w:r>
      <w:r w:rsidR="00CB6D9C">
        <w:rPr>
          <w:color w:val="auto"/>
          <w:szCs w:val="24"/>
        </w:rPr>
        <w:t xml:space="preserve">goods </w:t>
      </w:r>
      <w:r w:rsidR="00232BDB">
        <w:rPr>
          <w:color w:val="auto"/>
          <w:szCs w:val="24"/>
        </w:rPr>
        <w:t>(</w:t>
      </w:r>
      <w:r w:rsidR="00EB65E1">
        <w:rPr>
          <w:color w:val="auto"/>
          <w:szCs w:val="24"/>
        </w:rPr>
        <w:t>other than</w:t>
      </w:r>
      <w:r w:rsidR="00CB6D9C">
        <w:rPr>
          <w:color w:val="auto"/>
          <w:szCs w:val="24"/>
        </w:rPr>
        <w:t xml:space="preserve"> low-risk goods</w:t>
      </w:r>
      <w:r w:rsidR="00232BDB">
        <w:rPr>
          <w:color w:val="auto"/>
          <w:szCs w:val="24"/>
        </w:rPr>
        <w:t>)</w:t>
      </w:r>
      <w:r w:rsidR="00A203DA">
        <w:rPr>
          <w:color w:val="auto"/>
          <w:szCs w:val="24"/>
        </w:rPr>
        <w:t xml:space="preserve"> that </w:t>
      </w:r>
      <w:r w:rsidR="00CB6D9C">
        <w:rPr>
          <w:color w:val="auto"/>
          <w:szCs w:val="24"/>
        </w:rPr>
        <w:t>were transferred from the second conveyance to the exposed conveyance are on board the exposed conveyance at any time it is in Australian territory</w:t>
      </w:r>
      <w:r w:rsidR="00EB65E1" w:rsidRPr="004F389B">
        <w:rPr>
          <w:color w:val="auto"/>
          <w:szCs w:val="24"/>
        </w:rPr>
        <w:t xml:space="preserve">. </w:t>
      </w:r>
      <w:r w:rsidR="00A203DA" w:rsidRPr="004F389B">
        <w:rPr>
          <w:color w:val="auto"/>
          <w:szCs w:val="24"/>
        </w:rPr>
        <w:t>For example,</w:t>
      </w:r>
      <w:r w:rsidR="00E03925" w:rsidRPr="004F389B">
        <w:rPr>
          <w:color w:val="auto"/>
          <w:szCs w:val="24"/>
        </w:rPr>
        <w:t xml:space="preserve"> </w:t>
      </w:r>
      <w:r w:rsidR="00A203DA" w:rsidRPr="004F389B">
        <w:rPr>
          <w:color w:val="auto"/>
          <w:szCs w:val="24"/>
        </w:rPr>
        <w:t>i</w:t>
      </w:r>
      <w:r w:rsidR="00A6321E" w:rsidRPr="004F389B">
        <w:rPr>
          <w:color w:val="auto"/>
          <w:szCs w:val="24"/>
        </w:rPr>
        <w:t>f the exposed conveya</w:t>
      </w:r>
      <w:r w:rsidR="00A203DA" w:rsidRPr="004F389B">
        <w:rPr>
          <w:color w:val="auto"/>
          <w:szCs w:val="24"/>
        </w:rPr>
        <w:t xml:space="preserve">nce </w:t>
      </w:r>
      <w:r w:rsidR="00A6321E" w:rsidRPr="004F389B">
        <w:rPr>
          <w:color w:val="auto"/>
          <w:szCs w:val="24"/>
        </w:rPr>
        <w:t>only</w:t>
      </w:r>
      <w:r w:rsidR="00A1546C" w:rsidRPr="004F389B">
        <w:rPr>
          <w:color w:val="auto"/>
          <w:szCs w:val="24"/>
        </w:rPr>
        <w:t xml:space="preserve"> received </w:t>
      </w:r>
      <w:r w:rsidR="00574EF4" w:rsidRPr="004F389B">
        <w:rPr>
          <w:color w:val="auto"/>
          <w:szCs w:val="24"/>
        </w:rPr>
        <w:t>petroleum (</w:t>
      </w:r>
      <w:r w:rsidR="00E03925" w:rsidRPr="004F389B">
        <w:rPr>
          <w:color w:val="auto"/>
          <w:szCs w:val="24"/>
        </w:rPr>
        <w:t>low-risk good</w:t>
      </w:r>
      <w:r w:rsidR="00574EF4" w:rsidRPr="004F389B">
        <w:rPr>
          <w:color w:val="auto"/>
          <w:szCs w:val="24"/>
        </w:rPr>
        <w:t>s</w:t>
      </w:r>
      <w:r w:rsidR="00E03925" w:rsidRPr="004F389B">
        <w:rPr>
          <w:color w:val="auto"/>
          <w:szCs w:val="24"/>
        </w:rPr>
        <w:t>) from an installation outside Australian territory</w:t>
      </w:r>
      <w:r w:rsidR="00A30D1C">
        <w:rPr>
          <w:color w:val="auto"/>
          <w:szCs w:val="24"/>
        </w:rPr>
        <w:t xml:space="preserve"> for bringing back into Australian territory</w:t>
      </w:r>
      <w:r w:rsidR="00E03925" w:rsidRPr="004F389B">
        <w:rPr>
          <w:color w:val="auto"/>
          <w:szCs w:val="24"/>
        </w:rPr>
        <w:t xml:space="preserve">, and </w:t>
      </w:r>
      <w:r w:rsidR="00A1546C" w:rsidRPr="004F389B">
        <w:rPr>
          <w:color w:val="auto"/>
          <w:szCs w:val="24"/>
        </w:rPr>
        <w:t>me</w:t>
      </w:r>
      <w:r w:rsidR="00A6321E" w:rsidRPr="004F389B">
        <w:rPr>
          <w:color w:val="auto"/>
          <w:szCs w:val="24"/>
        </w:rPr>
        <w:t>t</w:t>
      </w:r>
      <w:r w:rsidR="00A1546C" w:rsidRPr="004F389B">
        <w:rPr>
          <w:color w:val="auto"/>
          <w:szCs w:val="24"/>
        </w:rPr>
        <w:t xml:space="preserve"> </w:t>
      </w:r>
      <w:r w:rsidR="00E03925" w:rsidRPr="004F389B">
        <w:rPr>
          <w:color w:val="auto"/>
          <w:szCs w:val="24"/>
        </w:rPr>
        <w:t>all</w:t>
      </w:r>
      <w:r w:rsidR="00A1546C" w:rsidRPr="004F389B">
        <w:rPr>
          <w:color w:val="auto"/>
          <w:szCs w:val="24"/>
        </w:rPr>
        <w:t xml:space="preserve"> ot</w:t>
      </w:r>
      <w:r w:rsidR="00A6321E" w:rsidRPr="004F389B">
        <w:rPr>
          <w:color w:val="auto"/>
          <w:szCs w:val="24"/>
        </w:rPr>
        <w:t>her applicable circumstances, it would</w:t>
      </w:r>
      <w:r w:rsidR="00A1546C" w:rsidRPr="004F389B">
        <w:rPr>
          <w:color w:val="auto"/>
          <w:szCs w:val="24"/>
        </w:rPr>
        <w:t xml:space="preserve"> not be</w:t>
      </w:r>
      <w:r w:rsidR="00A6321E" w:rsidRPr="004F389B">
        <w:rPr>
          <w:color w:val="auto"/>
          <w:szCs w:val="24"/>
        </w:rPr>
        <w:t>come</w:t>
      </w:r>
      <w:r w:rsidR="00E03925" w:rsidRPr="004F389B">
        <w:rPr>
          <w:color w:val="auto"/>
          <w:szCs w:val="24"/>
        </w:rPr>
        <w:t xml:space="preserve"> subject to biosecurity control.</w:t>
      </w:r>
    </w:p>
    <w:p w14:paraId="6B034F90" w14:textId="77777777" w:rsidR="008D1E75" w:rsidRPr="004F389B" w:rsidRDefault="008D1E75" w:rsidP="00CB6D9C">
      <w:pPr>
        <w:pStyle w:val="Normal-em"/>
        <w:rPr>
          <w:color w:val="auto"/>
          <w:szCs w:val="24"/>
        </w:rPr>
      </w:pPr>
    </w:p>
    <w:p w14:paraId="79104304" w14:textId="77777777" w:rsidR="008D1E75" w:rsidRDefault="00574EF4" w:rsidP="00CB6D9C">
      <w:pPr>
        <w:pStyle w:val="Normal-em"/>
        <w:rPr>
          <w:color w:val="auto"/>
          <w:szCs w:val="24"/>
        </w:rPr>
      </w:pPr>
      <w:r w:rsidRPr="004F389B">
        <w:rPr>
          <w:color w:val="auto"/>
          <w:szCs w:val="24"/>
        </w:rPr>
        <w:t>Other examples whereby the c</w:t>
      </w:r>
      <w:r w:rsidR="004343D5" w:rsidRPr="004F389B">
        <w:rPr>
          <w:color w:val="auto"/>
          <w:szCs w:val="24"/>
        </w:rPr>
        <w:t xml:space="preserve">ircumstance under subparagraph </w:t>
      </w:r>
      <w:r w:rsidRPr="004F389B">
        <w:rPr>
          <w:color w:val="auto"/>
          <w:szCs w:val="24"/>
        </w:rPr>
        <w:t xml:space="preserve">(1)(f)(i) may apply include </w:t>
      </w:r>
      <w:r>
        <w:rPr>
          <w:color w:val="auto"/>
          <w:szCs w:val="24"/>
        </w:rPr>
        <w:t xml:space="preserve">when </w:t>
      </w:r>
      <w:r w:rsidR="00A30D1C">
        <w:rPr>
          <w:color w:val="auto"/>
          <w:szCs w:val="24"/>
        </w:rPr>
        <w:t xml:space="preserve">a vessel </w:t>
      </w:r>
      <w:r>
        <w:rPr>
          <w:color w:val="auto"/>
          <w:szCs w:val="24"/>
        </w:rPr>
        <w:t>has towed</w:t>
      </w:r>
      <w:r w:rsidR="003576D8">
        <w:rPr>
          <w:color w:val="auto"/>
          <w:szCs w:val="24"/>
        </w:rPr>
        <w:t xml:space="preserve"> an</w:t>
      </w:r>
      <w:r w:rsidR="00892E90">
        <w:rPr>
          <w:color w:val="auto"/>
          <w:szCs w:val="24"/>
        </w:rPr>
        <w:t xml:space="preserve"> installation or </w:t>
      </w:r>
      <w:r w:rsidR="003576D8">
        <w:rPr>
          <w:color w:val="auto"/>
          <w:szCs w:val="24"/>
        </w:rPr>
        <w:t xml:space="preserve">a </w:t>
      </w:r>
      <w:r w:rsidR="00892E90">
        <w:rPr>
          <w:color w:val="auto"/>
          <w:szCs w:val="24"/>
        </w:rPr>
        <w:t>petroleum industry vessel</w:t>
      </w:r>
      <w:r w:rsidR="003576D8">
        <w:rPr>
          <w:color w:val="auto"/>
          <w:szCs w:val="24"/>
        </w:rPr>
        <w:t xml:space="preserve"> that began its journey from outside Australian territory</w:t>
      </w:r>
      <w:r>
        <w:rPr>
          <w:color w:val="auto"/>
          <w:szCs w:val="24"/>
        </w:rPr>
        <w:t>, or</w:t>
      </w:r>
      <w:r w:rsidR="003576D8">
        <w:rPr>
          <w:color w:val="auto"/>
          <w:szCs w:val="24"/>
        </w:rPr>
        <w:t xml:space="preserve"> a conveyance has</w:t>
      </w:r>
      <w:r w:rsidR="00892E90">
        <w:rPr>
          <w:color w:val="auto"/>
          <w:szCs w:val="24"/>
        </w:rPr>
        <w:t xml:space="preserve"> </w:t>
      </w:r>
      <w:r>
        <w:rPr>
          <w:color w:val="auto"/>
          <w:szCs w:val="24"/>
        </w:rPr>
        <w:t>delivered</w:t>
      </w:r>
      <w:r w:rsidR="00892E90">
        <w:rPr>
          <w:color w:val="auto"/>
          <w:szCs w:val="24"/>
        </w:rPr>
        <w:t xml:space="preserve"> </w:t>
      </w:r>
      <w:r w:rsidR="008D1E75">
        <w:rPr>
          <w:color w:val="auto"/>
          <w:szCs w:val="24"/>
        </w:rPr>
        <w:t>one</w:t>
      </w:r>
      <w:r w:rsidR="003576D8">
        <w:rPr>
          <w:color w:val="auto"/>
          <w:szCs w:val="24"/>
        </w:rPr>
        <w:t xml:space="preserve"> or more of the following to an</w:t>
      </w:r>
      <w:r w:rsidR="008D1E75">
        <w:rPr>
          <w:color w:val="auto"/>
          <w:szCs w:val="24"/>
        </w:rPr>
        <w:t xml:space="preserve"> installation or </w:t>
      </w:r>
      <w:r w:rsidR="003576D8">
        <w:rPr>
          <w:color w:val="auto"/>
          <w:szCs w:val="24"/>
        </w:rPr>
        <w:t xml:space="preserve">a </w:t>
      </w:r>
      <w:r w:rsidR="008D1E75">
        <w:rPr>
          <w:color w:val="auto"/>
          <w:szCs w:val="24"/>
        </w:rPr>
        <w:t>petroleum industry vessel</w:t>
      </w:r>
      <w:r w:rsidR="003576D8">
        <w:rPr>
          <w:color w:val="auto"/>
          <w:szCs w:val="24"/>
        </w:rPr>
        <w:t xml:space="preserve"> outside Australian territory</w:t>
      </w:r>
      <w:r w:rsidR="008D1E75">
        <w:rPr>
          <w:color w:val="auto"/>
          <w:szCs w:val="24"/>
        </w:rPr>
        <w:t>:</w:t>
      </w:r>
    </w:p>
    <w:p w14:paraId="7FE7EC75" w14:textId="77777777" w:rsidR="008D1E75" w:rsidRDefault="00892E90" w:rsidP="008D1E75">
      <w:pPr>
        <w:pStyle w:val="Normal-em"/>
        <w:numPr>
          <w:ilvl w:val="0"/>
          <w:numId w:val="16"/>
        </w:numPr>
        <w:rPr>
          <w:color w:val="auto"/>
          <w:szCs w:val="24"/>
        </w:rPr>
      </w:pPr>
      <w:r>
        <w:rPr>
          <w:color w:val="auto"/>
          <w:szCs w:val="24"/>
        </w:rPr>
        <w:t xml:space="preserve">domestic goods, </w:t>
      </w:r>
    </w:p>
    <w:p w14:paraId="7F673604" w14:textId="77777777" w:rsidR="008D1E75" w:rsidRDefault="008D1E75" w:rsidP="008D1E75">
      <w:pPr>
        <w:pStyle w:val="Normal-em"/>
        <w:numPr>
          <w:ilvl w:val="0"/>
          <w:numId w:val="16"/>
        </w:numPr>
        <w:rPr>
          <w:color w:val="auto"/>
          <w:szCs w:val="24"/>
        </w:rPr>
      </w:pPr>
      <w:r>
        <w:rPr>
          <w:color w:val="auto"/>
          <w:szCs w:val="24"/>
        </w:rPr>
        <w:t>low-risk goods</w:t>
      </w:r>
    </w:p>
    <w:p w14:paraId="35903ED9" w14:textId="77777777" w:rsidR="00CB6D9C" w:rsidRDefault="00892E90" w:rsidP="008D1E75">
      <w:pPr>
        <w:pStyle w:val="Normal-em"/>
        <w:numPr>
          <w:ilvl w:val="0"/>
          <w:numId w:val="16"/>
        </w:numPr>
        <w:rPr>
          <w:color w:val="auto"/>
          <w:szCs w:val="24"/>
        </w:rPr>
      </w:pPr>
      <w:r>
        <w:rPr>
          <w:color w:val="auto"/>
          <w:szCs w:val="24"/>
        </w:rPr>
        <w:t>domestic persons</w:t>
      </w:r>
      <w:r w:rsidR="00574EF4">
        <w:rPr>
          <w:color w:val="auto"/>
          <w:szCs w:val="24"/>
        </w:rPr>
        <w:t>.</w:t>
      </w:r>
    </w:p>
    <w:p w14:paraId="79C7ED5C" w14:textId="77777777" w:rsidR="00A54597" w:rsidRDefault="00A54597" w:rsidP="00E560B5">
      <w:pPr>
        <w:pStyle w:val="Normal-em"/>
        <w:rPr>
          <w:color w:val="auto"/>
          <w:szCs w:val="24"/>
        </w:rPr>
      </w:pPr>
    </w:p>
    <w:p w14:paraId="05E9DD29" w14:textId="77777777" w:rsidR="0085482B" w:rsidRDefault="00BA42E0" w:rsidP="00E560B5">
      <w:pPr>
        <w:pStyle w:val="Normal-em"/>
        <w:rPr>
          <w:color w:val="auto"/>
          <w:szCs w:val="24"/>
        </w:rPr>
      </w:pPr>
      <w:r>
        <w:rPr>
          <w:color w:val="auto"/>
          <w:szCs w:val="24"/>
        </w:rPr>
        <w:t>Subparagraph</w:t>
      </w:r>
      <w:r w:rsidR="004343D5">
        <w:rPr>
          <w:color w:val="auto"/>
          <w:szCs w:val="24"/>
        </w:rPr>
        <w:t xml:space="preserve"> </w:t>
      </w:r>
      <w:r w:rsidR="0085482B">
        <w:rPr>
          <w:color w:val="auto"/>
          <w:szCs w:val="24"/>
        </w:rPr>
        <w:t>(1)</w:t>
      </w:r>
      <w:r w:rsidR="00A54597">
        <w:rPr>
          <w:color w:val="auto"/>
          <w:szCs w:val="24"/>
        </w:rPr>
        <w:t xml:space="preserve">(f)(ii) provides that </w:t>
      </w:r>
      <w:r>
        <w:rPr>
          <w:color w:val="auto"/>
          <w:szCs w:val="24"/>
        </w:rPr>
        <w:t xml:space="preserve">if </w:t>
      </w:r>
      <w:r w:rsidR="00A54597">
        <w:rPr>
          <w:color w:val="auto"/>
          <w:szCs w:val="24"/>
        </w:rPr>
        <w:t>the level of biosecurity risk associated with the installation or petroleum industry vessel is low wi</w:t>
      </w:r>
      <w:r w:rsidR="004343D5">
        <w:rPr>
          <w:color w:val="auto"/>
          <w:szCs w:val="24"/>
        </w:rPr>
        <w:t xml:space="preserve">thin the meaning of subsection </w:t>
      </w:r>
      <w:r w:rsidR="00A54597">
        <w:rPr>
          <w:color w:val="auto"/>
          <w:szCs w:val="24"/>
        </w:rPr>
        <w:t>(2) or (3)</w:t>
      </w:r>
      <w:r>
        <w:rPr>
          <w:color w:val="auto"/>
          <w:szCs w:val="24"/>
        </w:rPr>
        <w:t xml:space="preserve">, then </w:t>
      </w:r>
      <w:r w:rsidR="007C78A7">
        <w:rPr>
          <w:color w:val="auto"/>
          <w:szCs w:val="24"/>
        </w:rPr>
        <w:t>the exposed conveyance</w:t>
      </w:r>
      <w:r w:rsidR="009D3245">
        <w:rPr>
          <w:color w:val="auto"/>
          <w:szCs w:val="24"/>
        </w:rPr>
        <w:t xml:space="preserve"> would not become subject to biosecurity control</w:t>
      </w:r>
      <w:r w:rsidR="004C5ABE">
        <w:rPr>
          <w:color w:val="auto"/>
          <w:szCs w:val="24"/>
        </w:rPr>
        <w:t>, as long as</w:t>
      </w:r>
      <w:r w:rsidR="00A1546C">
        <w:rPr>
          <w:color w:val="auto"/>
          <w:szCs w:val="24"/>
        </w:rPr>
        <w:t xml:space="preserve"> all</w:t>
      </w:r>
      <w:r w:rsidR="005D0B24">
        <w:rPr>
          <w:color w:val="auto"/>
          <w:szCs w:val="24"/>
        </w:rPr>
        <w:t xml:space="preserve"> </w:t>
      </w:r>
      <w:r w:rsidR="00ED0307">
        <w:rPr>
          <w:color w:val="auto"/>
          <w:szCs w:val="24"/>
        </w:rPr>
        <w:t xml:space="preserve">other </w:t>
      </w:r>
      <w:r w:rsidR="00E03925">
        <w:rPr>
          <w:color w:val="auto"/>
          <w:szCs w:val="24"/>
        </w:rPr>
        <w:t xml:space="preserve">applicable </w:t>
      </w:r>
      <w:r w:rsidR="005D0B24">
        <w:rPr>
          <w:color w:val="auto"/>
          <w:szCs w:val="24"/>
        </w:rPr>
        <w:t>circumstances are met</w:t>
      </w:r>
      <w:r w:rsidR="00A54597">
        <w:rPr>
          <w:color w:val="auto"/>
          <w:szCs w:val="24"/>
        </w:rPr>
        <w:t xml:space="preserve">. </w:t>
      </w:r>
      <w:r w:rsidR="007C78A7">
        <w:rPr>
          <w:color w:val="auto"/>
          <w:szCs w:val="24"/>
        </w:rPr>
        <w:t xml:space="preserve">An exposed conveyance may bring back into Australian territory any person and/or goods </w:t>
      </w:r>
      <w:r w:rsidR="008D1E75">
        <w:rPr>
          <w:color w:val="auto"/>
          <w:szCs w:val="24"/>
        </w:rPr>
        <w:t>(including waste</w:t>
      </w:r>
      <w:r w:rsidR="001A1C42">
        <w:rPr>
          <w:color w:val="auto"/>
          <w:szCs w:val="24"/>
        </w:rPr>
        <w:t xml:space="preserve">) </w:t>
      </w:r>
      <w:r w:rsidR="007C78A7">
        <w:rPr>
          <w:color w:val="auto"/>
          <w:szCs w:val="24"/>
        </w:rPr>
        <w:t xml:space="preserve">from an installation or </w:t>
      </w:r>
      <w:r w:rsidR="008D1E75">
        <w:rPr>
          <w:color w:val="auto"/>
          <w:szCs w:val="24"/>
        </w:rPr>
        <w:t xml:space="preserve">a </w:t>
      </w:r>
      <w:r w:rsidR="007C78A7">
        <w:rPr>
          <w:color w:val="auto"/>
          <w:szCs w:val="24"/>
        </w:rPr>
        <w:t xml:space="preserve">petroleum industry vessel that meets either </w:t>
      </w:r>
      <w:r w:rsidR="004343D5">
        <w:rPr>
          <w:color w:val="auto"/>
          <w:szCs w:val="24"/>
        </w:rPr>
        <w:t xml:space="preserve">the circumstance in subsection </w:t>
      </w:r>
      <w:r w:rsidR="007C78A7">
        <w:rPr>
          <w:color w:val="auto"/>
          <w:szCs w:val="24"/>
        </w:rPr>
        <w:t>(2) or (3).</w:t>
      </w:r>
    </w:p>
    <w:p w14:paraId="77D60F62" w14:textId="77777777" w:rsidR="0085482B" w:rsidRDefault="0085482B" w:rsidP="00E560B5">
      <w:pPr>
        <w:pStyle w:val="Normal-em"/>
        <w:rPr>
          <w:color w:val="auto"/>
          <w:szCs w:val="24"/>
        </w:rPr>
      </w:pPr>
    </w:p>
    <w:p w14:paraId="6A192A38" w14:textId="77777777" w:rsidR="002C6D99" w:rsidRDefault="00292334" w:rsidP="002C6D99">
      <w:pPr>
        <w:pStyle w:val="Normal-em"/>
        <w:rPr>
          <w:color w:val="auto"/>
          <w:szCs w:val="24"/>
        </w:rPr>
      </w:pPr>
      <w:r>
        <w:rPr>
          <w:color w:val="auto"/>
          <w:szCs w:val="24"/>
        </w:rPr>
        <w:t>Subsection (</w:t>
      </w:r>
      <w:r w:rsidR="00A54597" w:rsidRPr="004343D5">
        <w:rPr>
          <w:color w:val="auto"/>
          <w:szCs w:val="24"/>
        </w:rPr>
        <w:t>2)</w:t>
      </w:r>
      <w:r>
        <w:rPr>
          <w:color w:val="auto"/>
          <w:szCs w:val="24"/>
        </w:rPr>
        <w:t xml:space="preserve"> </w:t>
      </w:r>
      <w:r w:rsidR="00A54597" w:rsidRPr="004343D5">
        <w:rPr>
          <w:color w:val="auto"/>
          <w:szCs w:val="24"/>
        </w:rPr>
        <w:t xml:space="preserve">provides </w:t>
      </w:r>
      <w:r w:rsidR="002558B3" w:rsidRPr="004343D5">
        <w:rPr>
          <w:color w:val="auto"/>
          <w:szCs w:val="24"/>
        </w:rPr>
        <w:t xml:space="preserve">that </w:t>
      </w:r>
      <w:r w:rsidR="00BA42E0" w:rsidRPr="004343D5">
        <w:rPr>
          <w:color w:val="auto"/>
          <w:szCs w:val="24"/>
        </w:rPr>
        <w:t xml:space="preserve">the biosecurity risk of the second conveyance </w:t>
      </w:r>
      <w:r w:rsidR="004343D5" w:rsidRPr="004343D5">
        <w:rPr>
          <w:color w:val="auto"/>
          <w:szCs w:val="24"/>
        </w:rPr>
        <w:t xml:space="preserve">(installation or petroleum industry vessel) </w:t>
      </w:r>
      <w:r w:rsidR="008D1E75">
        <w:rPr>
          <w:color w:val="auto"/>
          <w:szCs w:val="24"/>
        </w:rPr>
        <w:t>is low if both the conditions</w:t>
      </w:r>
      <w:r>
        <w:rPr>
          <w:color w:val="auto"/>
          <w:szCs w:val="24"/>
        </w:rPr>
        <w:t xml:space="preserve"> in paragraphs (2)(a) and (b) are met. Paragraph (2)(a) provides that</w:t>
      </w:r>
      <w:r w:rsidR="00BA42E0" w:rsidRPr="004343D5">
        <w:rPr>
          <w:color w:val="auto"/>
          <w:szCs w:val="24"/>
        </w:rPr>
        <w:t xml:space="preserve"> </w:t>
      </w:r>
      <w:r w:rsidR="002558B3" w:rsidRPr="004343D5">
        <w:rPr>
          <w:color w:val="auto"/>
          <w:szCs w:val="24"/>
        </w:rPr>
        <w:t xml:space="preserve">only </w:t>
      </w:r>
      <w:r w:rsidR="00A54597" w:rsidRPr="004343D5">
        <w:rPr>
          <w:color w:val="auto"/>
          <w:szCs w:val="24"/>
        </w:rPr>
        <w:t>domestic persons</w:t>
      </w:r>
      <w:r w:rsidR="004343D5" w:rsidRPr="004343D5">
        <w:rPr>
          <w:color w:val="auto"/>
          <w:szCs w:val="24"/>
        </w:rPr>
        <w:t xml:space="preserve"> have ever been on board the second conveyance.</w:t>
      </w:r>
      <w:r w:rsidR="00A54597" w:rsidRPr="004343D5">
        <w:rPr>
          <w:color w:val="auto"/>
          <w:szCs w:val="24"/>
        </w:rPr>
        <w:t xml:space="preserve"> </w:t>
      </w:r>
      <w:r w:rsidR="002C6D99">
        <w:rPr>
          <w:color w:val="auto"/>
          <w:szCs w:val="24"/>
        </w:rPr>
        <w:t>Domestic persons would include, for example, a ship’s pilot who was brought from a place in Australian territory to an installation outside Australian territory, who then transferred temporarily to a second vessel outside Australian territory to perform their role, and subsequently returned to the installation.</w:t>
      </w:r>
    </w:p>
    <w:p w14:paraId="62759DDA" w14:textId="77777777" w:rsidR="002C6D99" w:rsidRDefault="002C6D99" w:rsidP="002C6D99">
      <w:pPr>
        <w:pStyle w:val="Normal-em"/>
        <w:rPr>
          <w:color w:val="auto"/>
          <w:szCs w:val="24"/>
        </w:rPr>
      </w:pPr>
    </w:p>
    <w:p w14:paraId="5535A988" w14:textId="77777777" w:rsidR="004343D5" w:rsidRPr="004343D5" w:rsidRDefault="004343D5" w:rsidP="00E560B5">
      <w:pPr>
        <w:pStyle w:val="Normal-em"/>
        <w:rPr>
          <w:color w:val="auto"/>
          <w:szCs w:val="24"/>
        </w:rPr>
      </w:pPr>
      <w:r w:rsidRPr="004343D5">
        <w:rPr>
          <w:color w:val="auto"/>
          <w:szCs w:val="24"/>
        </w:rPr>
        <w:lastRenderedPageBreak/>
        <w:t xml:space="preserve">Paragraph (2)(b) provides that only the following </w:t>
      </w:r>
      <w:r w:rsidR="004F389B">
        <w:rPr>
          <w:color w:val="auto"/>
          <w:szCs w:val="24"/>
        </w:rPr>
        <w:t xml:space="preserve">goods </w:t>
      </w:r>
      <w:r w:rsidRPr="004343D5">
        <w:rPr>
          <w:color w:val="auto"/>
          <w:szCs w:val="24"/>
        </w:rPr>
        <w:t>have ever been on board the second conveyance:</w:t>
      </w:r>
    </w:p>
    <w:p w14:paraId="06B5B17C" w14:textId="77777777" w:rsidR="004343D5" w:rsidRPr="004343D5" w:rsidRDefault="004343D5" w:rsidP="004343D5">
      <w:pPr>
        <w:pStyle w:val="Normal-em"/>
        <w:numPr>
          <w:ilvl w:val="0"/>
          <w:numId w:val="12"/>
        </w:numPr>
        <w:rPr>
          <w:color w:val="auto"/>
          <w:szCs w:val="24"/>
        </w:rPr>
      </w:pPr>
      <w:r w:rsidRPr="004343D5">
        <w:rPr>
          <w:color w:val="auto"/>
          <w:szCs w:val="24"/>
        </w:rPr>
        <w:t>domestic goods</w:t>
      </w:r>
      <w:r w:rsidR="007C2229" w:rsidRPr="004343D5">
        <w:rPr>
          <w:color w:val="auto"/>
          <w:szCs w:val="24"/>
        </w:rPr>
        <w:t xml:space="preserve"> </w:t>
      </w:r>
    </w:p>
    <w:p w14:paraId="036684D1" w14:textId="77777777" w:rsidR="004343D5" w:rsidRPr="004343D5" w:rsidRDefault="004343D5" w:rsidP="004343D5">
      <w:pPr>
        <w:pStyle w:val="Normal-em"/>
        <w:numPr>
          <w:ilvl w:val="0"/>
          <w:numId w:val="12"/>
        </w:numPr>
        <w:rPr>
          <w:color w:val="auto"/>
          <w:szCs w:val="24"/>
        </w:rPr>
      </w:pPr>
      <w:r w:rsidRPr="004343D5">
        <w:rPr>
          <w:color w:val="auto"/>
          <w:szCs w:val="24"/>
        </w:rPr>
        <w:t>low-risk goods</w:t>
      </w:r>
    </w:p>
    <w:p w14:paraId="0F020432" w14:textId="2693A9EA" w:rsidR="004343D5" w:rsidRPr="004343D5" w:rsidRDefault="00A54597" w:rsidP="004343D5">
      <w:pPr>
        <w:pStyle w:val="Normal-em"/>
        <w:numPr>
          <w:ilvl w:val="0"/>
          <w:numId w:val="12"/>
        </w:numPr>
        <w:rPr>
          <w:color w:val="auto"/>
          <w:szCs w:val="24"/>
        </w:rPr>
      </w:pPr>
      <w:r w:rsidRPr="004343D5">
        <w:rPr>
          <w:color w:val="auto"/>
          <w:szCs w:val="24"/>
        </w:rPr>
        <w:t>goods</w:t>
      </w:r>
      <w:r w:rsidR="00AB73AE" w:rsidRPr="004343D5">
        <w:rPr>
          <w:color w:val="auto"/>
          <w:szCs w:val="24"/>
        </w:rPr>
        <w:t xml:space="preserve"> </w:t>
      </w:r>
      <w:r w:rsidRPr="004343D5">
        <w:rPr>
          <w:color w:val="auto"/>
          <w:szCs w:val="24"/>
        </w:rPr>
        <w:t>that are to be deployed to the sea or seabed</w:t>
      </w:r>
      <w:r w:rsidR="004343D5" w:rsidRPr="004343D5">
        <w:rPr>
          <w:color w:val="auto"/>
          <w:szCs w:val="24"/>
        </w:rPr>
        <w:t xml:space="preserve"> (including goods that have been brought on board the second conveyance for the purpose of being deployed to the sea or seabed). For example, </w:t>
      </w:r>
      <w:r w:rsidR="008D1E75">
        <w:rPr>
          <w:color w:val="auto"/>
          <w:szCs w:val="24"/>
        </w:rPr>
        <w:t xml:space="preserve">these may include </w:t>
      </w:r>
      <w:r w:rsidR="004343D5" w:rsidRPr="004343D5">
        <w:rPr>
          <w:color w:val="auto"/>
          <w:szCs w:val="24"/>
        </w:rPr>
        <w:t xml:space="preserve">pipes that that are brought on board the </w:t>
      </w:r>
      <w:r w:rsidR="002F3D5C">
        <w:rPr>
          <w:color w:val="auto"/>
          <w:szCs w:val="24"/>
        </w:rPr>
        <w:t>installation</w:t>
      </w:r>
      <w:r w:rsidR="004343D5" w:rsidRPr="004343D5">
        <w:rPr>
          <w:color w:val="auto"/>
          <w:szCs w:val="24"/>
        </w:rPr>
        <w:t xml:space="preserve"> to be unpacked first prior to deployment to the sea or seabed.</w:t>
      </w:r>
    </w:p>
    <w:p w14:paraId="5B67A377" w14:textId="2F839FA1" w:rsidR="0085482B" w:rsidRPr="004343D5" w:rsidRDefault="00AB73AE" w:rsidP="004343D5">
      <w:pPr>
        <w:pStyle w:val="Normal-em"/>
        <w:numPr>
          <w:ilvl w:val="0"/>
          <w:numId w:val="12"/>
        </w:numPr>
        <w:rPr>
          <w:color w:val="auto"/>
          <w:szCs w:val="24"/>
        </w:rPr>
      </w:pPr>
      <w:r w:rsidRPr="004343D5">
        <w:rPr>
          <w:color w:val="auto"/>
          <w:szCs w:val="24"/>
        </w:rPr>
        <w:t xml:space="preserve">goods that are in the possession of a domestic person who </w:t>
      </w:r>
      <w:r w:rsidR="00A559CE" w:rsidRPr="004343D5">
        <w:rPr>
          <w:color w:val="auto"/>
          <w:szCs w:val="24"/>
        </w:rPr>
        <w:t>left the second conveyance temporarily and later returned to it</w:t>
      </w:r>
      <w:r w:rsidRPr="004343D5">
        <w:rPr>
          <w:color w:val="auto"/>
          <w:szCs w:val="24"/>
        </w:rPr>
        <w:t xml:space="preserve">, </w:t>
      </w:r>
      <w:r w:rsidR="004343D5" w:rsidRPr="004343D5">
        <w:rPr>
          <w:color w:val="auto"/>
          <w:szCs w:val="24"/>
        </w:rPr>
        <w:t>being goods that were in the possession of the person at the time the person left the second conveyance</w:t>
      </w:r>
      <w:r w:rsidR="007C2229" w:rsidRPr="004343D5">
        <w:rPr>
          <w:color w:val="auto"/>
          <w:szCs w:val="24"/>
        </w:rPr>
        <w:t xml:space="preserve">. </w:t>
      </w:r>
      <w:r w:rsidRPr="004343D5">
        <w:rPr>
          <w:color w:val="auto"/>
          <w:szCs w:val="24"/>
        </w:rPr>
        <w:t xml:space="preserve">For example, </w:t>
      </w:r>
      <w:r w:rsidR="004C5ABE" w:rsidRPr="004343D5">
        <w:rPr>
          <w:color w:val="auto"/>
          <w:szCs w:val="24"/>
        </w:rPr>
        <w:t>a domestic person</w:t>
      </w:r>
      <w:r w:rsidR="00ED0307" w:rsidRPr="004343D5">
        <w:rPr>
          <w:color w:val="auto"/>
          <w:szCs w:val="24"/>
        </w:rPr>
        <w:t xml:space="preserve"> </w:t>
      </w:r>
      <w:r w:rsidR="00012D13">
        <w:rPr>
          <w:color w:val="auto"/>
          <w:szCs w:val="24"/>
        </w:rPr>
        <w:t>such as a ship’s pilot or mechanic</w:t>
      </w:r>
      <w:r w:rsidR="004C5ABE" w:rsidRPr="004343D5">
        <w:rPr>
          <w:color w:val="auto"/>
          <w:szCs w:val="24"/>
        </w:rPr>
        <w:t xml:space="preserve">, may bring tools with him or her when temporarily leaving </w:t>
      </w:r>
      <w:r w:rsidR="00ED0307" w:rsidRPr="004343D5">
        <w:rPr>
          <w:color w:val="auto"/>
          <w:szCs w:val="24"/>
        </w:rPr>
        <w:t>the</w:t>
      </w:r>
      <w:r w:rsidR="004C5ABE" w:rsidRPr="004343D5">
        <w:rPr>
          <w:color w:val="auto"/>
          <w:szCs w:val="24"/>
        </w:rPr>
        <w:t xml:space="preserve"> installation </w:t>
      </w:r>
      <w:r w:rsidR="00012D13">
        <w:rPr>
          <w:color w:val="auto"/>
          <w:szCs w:val="24"/>
        </w:rPr>
        <w:t>t</w:t>
      </w:r>
      <w:r w:rsidR="002F3D5C">
        <w:rPr>
          <w:color w:val="auto"/>
          <w:szCs w:val="24"/>
        </w:rPr>
        <w:t>o conduct activities on another</w:t>
      </w:r>
      <w:r w:rsidR="004C5ABE" w:rsidRPr="004343D5">
        <w:rPr>
          <w:color w:val="auto"/>
          <w:szCs w:val="24"/>
        </w:rPr>
        <w:t xml:space="preserve"> vessel and then return with those same tools</w:t>
      </w:r>
      <w:r w:rsidRPr="004343D5">
        <w:rPr>
          <w:color w:val="auto"/>
          <w:szCs w:val="24"/>
        </w:rPr>
        <w:t xml:space="preserve"> </w:t>
      </w:r>
      <w:r w:rsidR="004C5ABE" w:rsidRPr="004343D5">
        <w:rPr>
          <w:color w:val="auto"/>
          <w:szCs w:val="24"/>
        </w:rPr>
        <w:t>t</w:t>
      </w:r>
      <w:r w:rsidR="00ED0307" w:rsidRPr="004343D5">
        <w:rPr>
          <w:color w:val="auto"/>
          <w:szCs w:val="24"/>
        </w:rPr>
        <w:t>o that</w:t>
      </w:r>
      <w:r w:rsidR="004C5ABE" w:rsidRPr="004343D5">
        <w:rPr>
          <w:color w:val="auto"/>
          <w:szCs w:val="24"/>
        </w:rPr>
        <w:t xml:space="preserve"> installation</w:t>
      </w:r>
      <w:r w:rsidR="00553DA1" w:rsidRPr="004343D5">
        <w:rPr>
          <w:color w:val="auto"/>
          <w:szCs w:val="24"/>
        </w:rPr>
        <w:t>.</w:t>
      </w:r>
    </w:p>
    <w:p w14:paraId="31F6FA00" w14:textId="77777777" w:rsidR="0085482B" w:rsidRDefault="0085482B" w:rsidP="00E560B5">
      <w:pPr>
        <w:pStyle w:val="Normal-em"/>
        <w:rPr>
          <w:color w:val="auto"/>
          <w:szCs w:val="24"/>
        </w:rPr>
      </w:pPr>
    </w:p>
    <w:p w14:paraId="6AE1AFCF" w14:textId="77777777" w:rsidR="00721399" w:rsidRDefault="00292334" w:rsidP="00721399">
      <w:pPr>
        <w:pStyle w:val="Normal-em"/>
        <w:rPr>
          <w:color w:val="auto"/>
          <w:szCs w:val="24"/>
        </w:rPr>
      </w:pPr>
      <w:r>
        <w:rPr>
          <w:color w:val="auto"/>
          <w:szCs w:val="24"/>
        </w:rPr>
        <w:t xml:space="preserve">Subsection </w:t>
      </w:r>
      <w:r w:rsidR="0085482B">
        <w:rPr>
          <w:color w:val="auto"/>
          <w:szCs w:val="24"/>
        </w:rPr>
        <w:t>(3) provides</w:t>
      </w:r>
      <w:r w:rsidR="005D0B24" w:rsidRPr="005D0B24">
        <w:rPr>
          <w:color w:val="auto"/>
          <w:szCs w:val="24"/>
        </w:rPr>
        <w:t xml:space="preserve"> </w:t>
      </w:r>
      <w:r w:rsidR="005D0B24">
        <w:rPr>
          <w:color w:val="auto"/>
          <w:szCs w:val="24"/>
        </w:rPr>
        <w:t xml:space="preserve">that the biosecurity risk of the second conveyance </w:t>
      </w:r>
      <w:r w:rsidRPr="004343D5">
        <w:rPr>
          <w:color w:val="auto"/>
          <w:szCs w:val="24"/>
        </w:rPr>
        <w:t>(installation or petroleum industry vessel)</w:t>
      </w:r>
      <w:r>
        <w:rPr>
          <w:color w:val="auto"/>
          <w:szCs w:val="24"/>
        </w:rPr>
        <w:t xml:space="preserve"> </w:t>
      </w:r>
      <w:r w:rsidR="005D0B24">
        <w:rPr>
          <w:color w:val="auto"/>
          <w:szCs w:val="24"/>
        </w:rPr>
        <w:t>is low</w:t>
      </w:r>
      <w:r>
        <w:rPr>
          <w:color w:val="auto"/>
          <w:szCs w:val="24"/>
        </w:rPr>
        <w:t xml:space="preserve"> if</w:t>
      </w:r>
      <w:r w:rsidRPr="00292334">
        <w:rPr>
          <w:color w:val="auto"/>
          <w:szCs w:val="24"/>
        </w:rPr>
        <w:t xml:space="preserve"> </w:t>
      </w:r>
      <w:r>
        <w:rPr>
          <w:color w:val="auto"/>
          <w:szCs w:val="24"/>
        </w:rPr>
        <w:t xml:space="preserve">both the </w:t>
      </w:r>
      <w:r w:rsidR="008D1E75">
        <w:rPr>
          <w:color w:val="auto"/>
          <w:szCs w:val="24"/>
        </w:rPr>
        <w:t>conditions</w:t>
      </w:r>
      <w:r>
        <w:rPr>
          <w:color w:val="auto"/>
          <w:szCs w:val="24"/>
        </w:rPr>
        <w:t xml:space="preserve"> in paragraphs (3)(a) and (b) are met. Paragraph (3)(a) provides that </w:t>
      </w:r>
      <w:r w:rsidR="0085482B">
        <w:rPr>
          <w:color w:val="auto"/>
          <w:szCs w:val="24"/>
        </w:rPr>
        <w:t xml:space="preserve">the </w:t>
      </w:r>
      <w:r w:rsidR="001D14B5">
        <w:rPr>
          <w:color w:val="auto"/>
          <w:szCs w:val="24"/>
        </w:rPr>
        <w:t xml:space="preserve">Director of Biosecurity is satisfied, on the basis of the information provided by the </w:t>
      </w:r>
      <w:r w:rsidR="0085482B">
        <w:rPr>
          <w:color w:val="auto"/>
          <w:szCs w:val="24"/>
        </w:rPr>
        <w:t xml:space="preserve">person in charge or operator </w:t>
      </w:r>
      <w:r w:rsidR="005D0B24">
        <w:rPr>
          <w:color w:val="auto"/>
          <w:szCs w:val="24"/>
        </w:rPr>
        <w:t>o</w:t>
      </w:r>
      <w:r w:rsidR="0085482B">
        <w:rPr>
          <w:color w:val="auto"/>
          <w:szCs w:val="24"/>
        </w:rPr>
        <w:t>f the conveyance</w:t>
      </w:r>
      <w:r w:rsidR="001D14B5">
        <w:rPr>
          <w:color w:val="auto"/>
          <w:szCs w:val="24"/>
        </w:rPr>
        <w:t xml:space="preserve">, </w:t>
      </w:r>
      <w:r w:rsidR="005D0B24">
        <w:rPr>
          <w:color w:val="auto"/>
          <w:szCs w:val="24"/>
        </w:rPr>
        <w:t>that the level of biosecurity ri</w:t>
      </w:r>
      <w:r>
        <w:rPr>
          <w:color w:val="auto"/>
          <w:szCs w:val="24"/>
        </w:rPr>
        <w:t>sk associated with the second conveyance</w:t>
      </w:r>
      <w:r w:rsidR="005D0B24">
        <w:rPr>
          <w:color w:val="auto"/>
          <w:szCs w:val="24"/>
        </w:rPr>
        <w:t xml:space="preserve"> was acceptable before the</w:t>
      </w:r>
      <w:r>
        <w:rPr>
          <w:color w:val="auto"/>
          <w:szCs w:val="24"/>
        </w:rPr>
        <w:t xml:space="preserve"> exposure to the exposed conveyance occurred. </w:t>
      </w:r>
      <w:r w:rsidRPr="00721399">
        <w:rPr>
          <w:color w:val="auto"/>
          <w:szCs w:val="24"/>
        </w:rPr>
        <w:t xml:space="preserve">Paragraph (3)(b) provides </w:t>
      </w:r>
      <w:r w:rsidR="005D0B24" w:rsidRPr="00721399">
        <w:rPr>
          <w:color w:val="auto"/>
          <w:szCs w:val="24"/>
        </w:rPr>
        <w:t xml:space="preserve">that, </w:t>
      </w:r>
      <w:r w:rsidRPr="00721399">
        <w:rPr>
          <w:color w:val="auto"/>
          <w:szCs w:val="24"/>
        </w:rPr>
        <w:t xml:space="preserve">during the period between the Director of Biosecurity becoming satisfied as referred to in paragraph (3)(a) and the exposure </w:t>
      </w:r>
      <w:r w:rsidR="00721399" w:rsidRPr="00721399">
        <w:rPr>
          <w:color w:val="auto"/>
          <w:szCs w:val="24"/>
        </w:rPr>
        <w:t>occurring</w:t>
      </w:r>
      <w:r w:rsidR="00721399">
        <w:rPr>
          <w:color w:val="auto"/>
          <w:szCs w:val="24"/>
        </w:rPr>
        <w:t>, both the following conditions must be met</w:t>
      </w:r>
      <w:r w:rsidR="00721399" w:rsidRPr="00721399">
        <w:rPr>
          <w:color w:val="auto"/>
          <w:szCs w:val="24"/>
        </w:rPr>
        <w:t xml:space="preserve">: </w:t>
      </w:r>
    </w:p>
    <w:p w14:paraId="6F2281EC" w14:textId="77777777" w:rsidR="00292334" w:rsidRDefault="00721399" w:rsidP="00721399">
      <w:pPr>
        <w:pStyle w:val="Normal-em"/>
        <w:numPr>
          <w:ilvl w:val="0"/>
          <w:numId w:val="17"/>
        </w:numPr>
        <w:rPr>
          <w:color w:val="auto"/>
          <w:szCs w:val="24"/>
        </w:rPr>
      </w:pPr>
      <w:r>
        <w:rPr>
          <w:color w:val="auto"/>
          <w:szCs w:val="24"/>
        </w:rPr>
        <w:t xml:space="preserve">no persons boarded the second conveyance or only </w:t>
      </w:r>
      <w:r w:rsidR="00292334">
        <w:rPr>
          <w:color w:val="auto"/>
          <w:szCs w:val="24"/>
        </w:rPr>
        <w:t>domestic persons</w:t>
      </w:r>
      <w:r>
        <w:rPr>
          <w:color w:val="auto"/>
          <w:szCs w:val="24"/>
        </w:rPr>
        <w:t xml:space="preserve"> boarded the second conveyance</w:t>
      </w:r>
    </w:p>
    <w:p w14:paraId="19DF1FF7" w14:textId="77777777" w:rsidR="00292334" w:rsidRDefault="00721399" w:rsidP="00292334">
      <w:pPr>
        <w:pStyle w:val="Normal-em"/>
        <w:numPr>
          <w:ilvl w:val="0"/>
          <w:numId w:val="13"/>
        </w:numPr>
        <w:rPr>
          <w:color w:val="auto"/>
          <w:szCs w:val="24"/>
        </w:rPr>
      </w:pPr>
      <w:r>
        <w:rPr>
          <w:color w:val="auto"/>
          <w:szCs w:val="24"/>
        </w:rPr>
        <w:t>no goods were brought on board the second conveyance or only goods of a kind referred to in paragraph (2)(b) were brought on board the second conveyance.</w:t>
      </w:r>
    </w:p>
    <w:p w14:paraId="1FDA097E" w14:textId="77777777" w:rsidR="00292334" w:rsidRDefault="00292334" w:rsidP="00721399">
      <w:pPr>
        <w:pStyle w:val="Normal-em"/>
        <w:ind w:left="720"/>
        <w:rPr>
          <w:color w:val="auto"/>
          <w:szCs w:val="24"/>
        </w:rPr>
      </w:pPr>
    </w:p>
    <w:p w14:paraId="0AAAFA8C" w14:textId="342D5F2B" w:rsidR="00721399" w:rsidRDefault="005D0B24" w:rsidP="00E560B5">
      <w:pPr>
        <w:pStyle w:val="Normal-em"/>
        <w:rPr>
          <w:color w:val="auto"/>
          <w:szCs w:val="24"/>
        </w:rPr>
      </w:pPr>
      <w:r>
        <w:rPr>
          <w:color w:val="auto"/>
          <w:szCs w:val="24"/>
        </w:rPr>
        <w:t xml:space="preserve">It is expected that the person in charge or operator of the installation or petroleum industry vessel will seek to satisfy the Director </w:t>
      </w:r>
      <w:r w:rsidR="00EE4F8C">
        <w:rPr>
          <w:color w:val="auto"/>
          <w:szCs w:val="24"/>
        </w:rPr>
        <w:t xml:space="preserve">of Biosecurity </w:t>
      </w:r>
      <w:r w:rsidR="00292334">
        <w:rPr>
          <w:color w:val="auto"/>
          <w:szCs w:val="24"/>
        </w:rPr>
        <w:t xml:space="preserve">under paragraph (3)(a) </w:t>
      </w:r>
      <w:r>
        <w:rPr>
          <w:color w:val="auto"/>
          <w:szCs w:val="24"/>
        </w:rPr>
        <w:t xml:space="preserve">by providing </w:t>
      </w:r>
      <w:r w:rsidR="00E2318D">
        <w:rPr>
          <w:color w:val="auto"/>
          <w:szCs w:val="24"/>
        </w:rPr>
        <w:t>the necessary information to enable the</w:t>
      </w:r>
      <w:r>
        <w:rPr>
          <w:color w:val="auto"/>
          <w:szCs w:val="24"/>
        </w:rPr>
        <w:t xml:space="preserve"> Director consider the level of biosecurity risk</w:t>
      </w:r>
      <w:r w:rsidR="00721399">
        <w:rPr>
          <w:color w:val="auto"/>
          <w:szCs w:val="24"/>
        </w:rPr>
        <w:t xml:space="preserve"> associated with the installation or petroleum industry vessel</w:t>
      </w:r>
      <w:r>
        <w:rPr>
          <w:color w:val="auto"/>
          <w:szCs w:val="24"/>
        </w:rPr>
        <w:t xml:space="preserve">. For example, this </w:t>
      </w:r>
      <w:r w:rsidR="001D14B5">
        <w:rPr>
          <w:color w:val="auto"/>
          <w:szCs w:val="24"/>
        </w:rPr>
        <w:t>could</w:t>
      </w:r>
      <w:r>
        <w:rPr>
          <w:color w:val="auto"/>
          <w:szCs w:val="24"/>
        </w:rPr>
        <w:t xml:space="preserve"> include </w:t>
      </w:r>
      <w:r w:rsidR="00762874">
        <w:rPr>
          <w:color w:val="auto"/>
          <w:szCs w:val="24"/>
        </w:rPr>
        <w:t xml:space="preserve">a report of the inspection or audit </w:t>
      </w:r>
      <w:r w:rsidR="001D14B5">
        <w:rPr>
          <w:color w:val="auto"/>
          <w:szCs w:val="24"/>
        </w:rPr>
        <w:t>of the installation or petroleum industry vessel conducted by the department</w:t>
      </w:r>
      <w:r>
        <w:rPr>
          <w:color w:val="auto"/>
          <w:szCs w:val="24"/>
        </w:rPr>
        <w:t xml:space="preserve"> or a</w:t>
      </w:r>
      <w:r w:rsidR="00BD5997">
        <w:rPr>
          <w:color w:val="auto"/>
          <w:szCs w:val="24"/>
        </w:rPr>
        <w:t>nother</w:t>
      </w:r>
      <w:r>
        <w:rPr>
          <w:color w:val="auto"/>
          <w:szCs w:val="24"/>
        </w:rPr>
        <w:t xml:space="preserve"> party </w:t>
      </w:r>
      <w:r w:rsidR="00BD5997">
        <w:rPr>
          <w:color w:val="auto"/>
          <w:szCs w:val="24"/>
        </w:rPr>
        <w:t>with suitable qualifications and expertise</w:t>
      </w:r>
      <w:r>
        <w:rPr>
          <w:color w:val="auto"/>
          <w:szCs w:val="24"/>
        </w:rPr>
        <w:t>.</w:t>
      </w:r>
    </w:p>
    <w:p w14:paraId="5C5A832E" w14:textId="77777777" w:rsidR="00721399" w:rsidRDefault="00721399" w:rsidP="00E560B5">
      <w:pPr>
        <w:pStyle w:val="Normal-em"/>
        <w:rPr>
          <w:color w:val="auto"/>
          <w:szCs w:val="24"/>
        </w:rPr>
      </w:pPr>
    </w:p>
    <w:p w14:paraId="17677001" w14:textId="21E44EA9" w:rsidR="00CB6D9C" w:rsidRDefault="00762874" w:rsidP="00E560B5">
      <w:pPr>
        <w:pStyle w:val="Normal-em"/>
        <w:rPr>
          <w:color w:val="auto"/>
          <w:szCs w:val="24"/>
        </w:rPr>
      </w:pPr>
      <w:r>
        <w:rPr>
          <w:color w:val="auto"/>
          <w:szCs w:val="24"/>
        </w:rPr>
        <w:t>I</w:t>
      </w:r>
      <w:r w:rsidR="004E3154">
        <w:rPr>
          <w:color w:val="auto"/>
          <w:szCs w:val="24"/>
        </w:rPr>
        <w:t xml:space="preserve">f </w:t>
      </w:r>
      <w:r w:rsidR="00773A72">
        <w:rPr>
          <w:color w:val="auto"/>
          <w:szCs w:val="24"/>
        </w:rPr>
        <w:t>the</w:t>
      </w:r>
      <w:r>
        <w:rPr>
          <w:color w:val="auto"/>
          <w:szCs w:val="24"/>
        </w:rPr>
        <w:t xml:space="preserve"> installation or petroleum industry vessel</w:t>
      </w:r>
      <w:r w:rsidR="004E3154">
        <w:rPr>
          <w:color w:val="auto"/>
          <w:szCs w:val="24"/>
        </w:rPr>
        <w:t xml:space="preserve"> </w:t>
      </w:r>
      <w:r w:rsidR="00CB4DE7">
        <w:rPr>
          <w:color w:val="auto"/>
          <w:szCs w:val="24"/>
        </w:rPr>
        <w:t xml:space="preserve">subsequently </w:t>
      </w:r>
      <w:r w:rsidR="004E3154">
        <w:rPr>
          <w:color w:val="auto"/>
          <w:szCs w:val="24"/>
        </w:rPr>
        <w:t>take</w:t>
      </w:r>
      <w:r w:rsidR="00CB4DE7">
        <w:rPr>
          <w:color w:val="auto"/>
          <w:szCs w:val="24"/>
        </w:rPr>
        <w:t>s</w:t>
      </w:r>
      <w:r w:rsidR="00C91DDE">
        <w:rPr>
          <w:color w:val="auto"/>
          <w:szCs w:val="24"/>
        </w:rPr>
        <w:t xml:space="preserve"> on persons</w:t>
      </w:r>
      <w:r w:rsidR="004E3154">
        <w:rPr>
          <w:color w:val="auto"/>
          <w:szCs w:val="24"/>
        </w:rPr>
        <w:t xml:space="preserve"> </w:t>
      </w:r>
      <w:r w:rsidR="00C91DDE">
        <w:rPr>
          <w:color w:val="auto"/>
          <w:szCs w:val="24"/>
        </w:rPr>
        <w:t>or goods</w:t>
      </w:r>
      <w:r w:rsidR="00CB4DE7">
        <w:rPr>
          <w:color w:val="auto"/>
          <w:szCs w:val="24"/>
        </w:rPr>
        <w:t xml:space="preserve"> </w:t>
      </w:r>
      <w:r w:rsidR="004E3154">
        <w:rPr>
          <w:color w:val="auto"/>
          <w:szCs w:val="24"/>
        </w:rPr>
        <w:t xml:space="preserve">other than </w:t>
      </w:r>
      <w:r w:rsidR="00CB4DE7">
        <w:rPr>
          <w:color w:val="auto"/>
          <w:szCs w:val="24"/>
        </w:rPr>
        <w:t>those listed in subsecti</w:t>
      </w:r>
      <w:r w:rsidR="00C91DDE">
        <w:rPr>
          <w:color w:val="auto"/>
          <w:szCs w:val="24"/>
        </w:rPr>
        <w:t>on (3</w:t>
      </w:r>
      <w:r w:rsidR="00CB4DE7">
        <w:rPr>
          <w:color w:val="auto"/>
          <w:szCs w:val="24"/>
        </w:rPr>
        <w:t>)</w:t>
      </w:r>
      <w:r w:rsidR="00C91DDE">
        <w:rPr>
          <w:color w:val="auto"/>
          <w:szCs w:val="24"/>
        </w:rPr>
        <w:t>(b)</w:t>
      </w:r>
      <w:r>
        <w:rPr>
          <w:color w:val="auto"/>
          <w:szCs w:val="24"/>
        </w:rPr>
        <w:t>,</w:t>
      </w:r>
      <w:r w:rsidR="00CB4DE7">
        <w:rPr>
          <w:color w:val="auto"/>
          <w:szCs w:val="24"/>
        </w:rPr>
        <w:t xml:space="preserve"> </w:t>
      </w:r>
      <w:r w:rsidR="00D7452E">
        <w:rPr>
          <w:color w:val="auto"/>
          <w:szCs w:val="24"/>
        </w:rPr>
        <w:t xml:space="preserve">for example, food that is brought </w:t>
      </w:r>
      <w:r w:rsidR="00C81C16">
        <w:rPr>
          <w:color w:val="auto"/>
          <w:szCs w:val="24"/>
        </w:rPr>
        <w:t xml:space="preserve">directly </w:t>
      </w:r>
      <w:r w:rsidR="00D7452E">
        <w:rPr>
          <w:color w:val="auto"/>
          <w:szCs w:val="24"/>
        </w:rPr>
        <w:t xml:space="preserve">from a place outside Australian territory, </w:t>
      </w:r>
      <w:r>
        <w:rPr>
          <w:color w:val="auto"/>
          <w:szCs w:val="24"/>
        </w:rPr>
        <w:t xml:space="preserve">then the </w:t>
      </w:r>
      <w:r w:rsidR="00B739FA">
        <w:rPr>
          <w:color w:val="auto"/>
          <w:szCs w:val="24"/>
        </w:rPr>
        <w:t>circumstance in subsection (3) will no longer be met</w:t>
      </w:r>
      <w:r w:rsidR="00C91DDE">
        <w:rPr>
          <w:color w:val="auto"/>
          <w:szCs w:val="24"/>
        </w:rPr>
        <w:t xml:space="preserve">, and </w:t>
      </w:r>
      <w:r w:rsidR="00A04434">
        <w:rPr>
          <w:color w:val="auto"/>
          <w:szCs w:val="24"/>
        </w:rPr>
        <w:t>the exposed conveyance</w:t>
      </w:r>
      <w:r w:rsidR="00342A51">
        <w:rPr>
          <w:color w:val="auto"/>
          <w:szCs w:val="24"/>
        </w:rPr>
        <w:t xml:space="preserve"> would become subject to biosecurity cont</w:t>
      </w:r>
      <w:r w:rsidR="002C6D99">
        <w:rPr>
          <w:color w:val="auto"/>
          <w:szCs w:val="24"/>
        </w:rPr>
        <w:t>r</w:t>
      </w:r>
      <w:r w:rsidR="00342A51">
        <w:rPr>
          <w:color w:val="auto"/>
          <w:szCs w:val="24"/>
        </w:rPr>
        <w:t>ol</w:t>
      </w:r>
      <w:r>
        <w:rPr>
          <w:color w:val="auto"/>
          <w:szCs w:val="24"/>
        </w:rPr>
        <w:t>. However,</w:t>
      </w:r>
      <w:r w:rsidR="00874653">
        <w:rPr>
          <w:color w:val="auto"/>
          <w:szCs w:val="24"/>
        </w:rPr>
        <w:t xml:space="preserve"> </w:t>
      </w:r>
      <w:r w:rsidR="00CB4DE7">
        <w:rPr>
          <w:color w:val="auto"/>
          <w:szCs w:val="24"/>
        </w:rPr>
        <w:t xml:space="preserve">the </w:t>
      </w:r>
      <w:r w:rsidR="004E3154" w:rsidRPr="004E3154">
        <w:rPr>
          <w:color w:val="auto"/>
          <w:szCs w:val="24"/>
        </w:rPr>
        <w:t xml:space="preserve">person in charge </w:t>
      </w:r>
      <w:r>
        <w:rPr>
          <w:color w:val="auto"/>
          <w:szCs w:val="24"/>
        </w:rPr>
        <w:t xml:space="preserve">or operator </w:t>
      </w:r>
      <w:r w:rsidR="004E3154" w:rsidRPr="004E3154">
        <w:rPr>
          <w:color w:val="auto"/>
          <w:szCs w:val="24"/>
        </w:rPr>
        <w:t>of the installation or petroleum indus</w:t>
      </w:r>
      <w:r w:rsidR="00874653">
        <w:rPr>
          <w:color w:val="auto"/>
          <w:szCs w:val="24"/>
        </w:rPr>
        <w:t xml:space="preserve">try vessel may </w:t>
      </w:r>
      <w:r w:rsidR="004E3154" w:rsidRPr="004E3154">
        <w:rPr>
          <w:color w:val="auto"/>
          <w:szCs w:val="24"/>
        </w:rPr>
        <w:t xml:space="preserve">seek </w:t>
      </w:r>
      <w:r w:rsidR="00B739FA">
        <w:rPr>
          <w:color w:val="auto"/>
          <w:szCs w:val="24"/>
        </w:rPr>
        <w:t xml:space="preserve">again </w:t>
      </w:r>
      <w:r w:rsidR="00C91DDE">
        <w:rPr>
          <w:color w:val="auto"/>
          <w:szCs w:val="24"/>
        </w:rPr>
        <w:t>to satisfy</w:t>
      </w:r>
      <w:r w:rsidR="004E3154" w:rsidRPr="004E3154">
        <w:rPr>
          <w:color w:val="auto"/>
          <w:szCs w:val="24"/>
        </w:rPr>
        <w:t xml:space="preserve"> the Dir</w:t>
      </w:r>
      <w:r w:rsidR="00874653">
        <w:rPr>
          <w:color w:val="auto"/>
          <w:szCs w:val="24"/>
        </w:rPr>
        <w:t xml:space="preserve">ector </w:t>
      </w:r>
      <w:r w:rsidR="00773A72">
        <w:rPr>
          <w:color w:val="auto"/>
          <w:szCs w:val="24"/>
        </w:rPr>
        <w:t xml:space="preserve">of Biosecurity </w:t>
      </w:r>
      <w:r w:rsidR="00874653">
        <w:rPr>
          <w:color w:val="auto"/>
          <w:szCs w:val="24"/>
        </w:rPr>
        <w:t>for the purpose of</w:t>
      </w:r>
      <w:r w:rsidR="00C91DDE">
        <w:rPr>
          <w:color w:val="auto"/>
          <w:szCs w:val="24"/>
        </w:rPr>
        <w:t xml:space="preserve"> paragraph </w:t>
      </w:r>
      <w:r w:rsidR="004E3154" w:rsidRPr="004E3154">
        <w:rPr>
          <w:color w:val="auto"/>
          <w:szCs w:val="24"/>
        </w:rPr>
        <w:t>(3)</w:t>
      </w:r>
      <w:r w:rsidR="00C91DDE">
        <w:rPr>
          <w:color w:val="auto"/>
          <w:szCs w:val="24"/>
        </w:rPr>
        <w:t>(a)</w:t>
      </w:r>
      <w:r w:rsidR="00773A72">
        <w:rPr>
          <w:color w:val="auto"/>
          <w:szCs w:val="24"/>
        </w:rPr>
        <w:t xml:space="preserve">. Following </w:t>
      </w:r>
      <w:r w:rsidR="00874653">
        <w:rPr>
          <w:color w:val="auto"/>
          <w:szCs w:val="24"/>
        </w:rPr>
        <w:t>the Director becoming satisfied as referred to in paragraph (3)(a), the installation or petroleum industry vessel will be able to meet the circumstan</w:t>
      </w:r>
      <w:r w:rsidR="00593575">
        <w:rPr>
          <w:color w:val="auto"/>
          <w:szCs w:val="24"/>
        </w:rPr>
        <w:t>ce in subsection (3) again as long as it</w:t>
      </w:r>
      <w:r w:rsidR="00874653">
        <w:rPr>
          <w:color w:val="auto"/>
          <w:szCs w:val="24"/>
        </w:rPr>
        <w:t xml:space="preserve"> </w:t>
      </w:r>
      <w:r w:rsidR="00721399">
        <w:rPr>
          <w:color w:val="auto"/>
          <w:szCs w:val="24"/>
        </w:rPr>
        <w:t>continues to meet the conditions</w:t>
      </w:r>
      <w:r w:rsidR="00874653">
        <w:rPr>
          <w:color w:val="auto"/>
          <w:szCs w:val="24"/>
        </w:rPr>
        <w:t xml:space="preserve"> in paragraph (3)(b)</w:t>
      </w:r>
      <w:r w:rsidR="00553DA1">
        <w:rPr>
          <w:color w:val="auto"/>
          <w:szCs w:val="24"/>
        </w:rPr>
        <w:t>.</w:t>
      </w:r>
    </w:p>
    <w:p w14:paraId="7640863D" w14:textId="77777777" w:rsidR="00767FD7" w:rsidRDefault="00767FD7" w:rsidP="003051F2">
      <w:pPr>
        <w:pStyle w:val="Normal-em"/>
        <w:rPr>
          <w:color w:val="auto"/>
          <w:szCs w:val="24"/>
        </w:rPr>
      </w:pPr>
    </w:p>
    <w:p w14:paraId="246AD4FD" w14:textId="66CFAD22" w:rsidR="00EA3202" w:rsidRDefault="004542B6" w:rsidP="00EA3202">
      <w:pPr>
        <w:pStyle w:val="Normal-em"/>
        <w:rPr>
          <w:color w:val="auto"/>
          <w:szCs w:val="24"/>
        </w:rPr>
      </w:pPr>
      <w:r>
        <w:rPr>
          <w:color w:val="auto"/>
          <w:szCs w:val="24"/>
        </w:rPr>
        <w:t xml:space="preserve">Subparagraph </w:t>
      </w:r>
      <w:r w:rsidR="001129DB">
        <w:rPr>
          <w:color w:val="auto"/>
          <w:szCs w:val="24"/>
        </w:rPr>
        <w:t xml:space="preserve">(1)(f)(iii) </w:t>
      </w:r>
      <w:r w:rsidR="00EA3202">
        <w:rPr>
          <w:color w:val="auto"/>
          <w:szCs w:val="24"/>
        </w:rPr>
        <w:t xml:space="preserve">provides that </w:t>
      </w:r>
      <w:r w:rsidR="001129DB">
        <w:rPr>
          <w:color w:val="auto"/>
          <w:szCs w:val="24"/>
        </w:rPr>
        <w:t>biosecurity risk</w:t>
      </w:r>
      <w:r w:rsidR="00EA3202">
        <w:rPr>
          <w:color w:val="auto"/>
          <w:szCs w:val="24"/>
        </w:rPr>
        <w:t>s</w:t>
      </w:r>
      <w:r w:rsidR="001129DB">
        <w:rPr>
          <w:color w:val="auto"/>
          <w:szCs w:val="24"/>
        </w:rPr>
        <w:t xml:space="preserve"> associated with the </w:t>
      </w:r>
      <w:r w:rsidR="00405099">
        <w:rPr>
          <w:color w:val="auto"/>
          <w:szCs w:val="24"/>
        </w:rPr>
        <w:t>second conveyance (</w:t>
      </w:r>
      <w:r w:rsidR="001129DB">
        <w:rPr>
          <w:color w:val="auto"/>
          <w:szCs w:val="24"/>
        </w:rPr>
        <w:t xml:space="preserve">installation or petroleum </w:t>
      </w:r>
      <w:r w:rsidR="00EA3202">
        <w:rPr>
          <w:color w:val="auto"/>
          <w:szCs w:val="24"/>
        </w:rPr>
        <w:t>industry vessel</w:t>
      </w:r>
      <w:r w:rsidR="00405099">
        <w:rPr>
          <w:color w:val="auto"/>
          <w:szCs w:val="24"/>
        </w:rPr>
        <w:t>)</w:t>
      </w:r>
      <w:r w:rsidR="00EA3202">
        <w:rPr>
          <w:color w:val="auto"/>
          <w:szCs w:val="24"/>
        </w:rPr>
        <w:t xml:space="preserve"> are </w:t>
      </w:r>
      <w:r w:rsidR="006815CE">
        <w:rPr>
          <w:color w:val="auto"/>
          <w:szCs w:val="24"/>
        </w:rPr>
        <w:t xml:space="preserve">being </w:t>
      </w:r>
      <w:r w:rsidR="00EA3202">
        <w:rPr>
          <w:color w:val="auto"/>
          <w:szCs w:val="24"/>
        </w:rPr>
        <w:t>managed in accordance with an approved a</w:t>
      </w:r>
      <w:r w:rsidR="00080FAF">
        <w:rPr>
          <w:color w:val="auto"/>
          <w:szCs w:val="24"/>
        </w:rPr>
        <w:t xml:space="preserve">rrangement covering the </w:t>
      </w:r>
      <w:r w:rsidR="00AD43DF" w:rsidRPr="00AD43DF">
        <w:rPr>
          <w:color w:val="auto"/>
          <w:szCs w:val="24"/>
        </w:rPr>
        <w:t>operator</w:t>
      </w:r>
      <w:r w:rsidR="00EA3202">
        <w:rPr>
          <w:color w:val="auto"/>
          <w:szCs w:val="24"/>
        </w:rPr>
        <w:t xml:space="preserve"> of the </w:t>
      </w:r>
      <w:r w:rsidR="00405099">
        <w:rPr>
          <w:color w:val="auto"/>
          <w:szCs w:val="24"/>
        </w:rPr>
        <w:t xml:space="preserve">second conveyance </w:t>
      </w:r>
      <w:r w:rsidR="00AD43DF">
        <w:rPr>
          <w:color w:val="auto"/>
          <w:szCs w:val="24"/>
        </w:rPr>
        <w:t xml:space="preserve">in relation to the operations of the </w:t>
      </w:r>
      <w:r w:rsidR="00405099">
        <w:rPr>
          <w:color w:val="auto"/>
          <w:szCs w:val="24"/>
        </w:rPr>
        <w:t>second conveyance</w:t>
      </w:r>
      <w:r w:rsidR="00355F96">
        <w:rPr>
          <w:color w:val="auto"/>
          <w:szCs w:val="24"/>
        </w:rPr>
        <w:t>.</w:t>
      </w:r>
      <w:r w:rsidR="00CC6817">
        <w:rPr>
          <w:color w:val="auto"/>
          <w:szCs w:val="24"/>
        </w:rPr>
        <w:t xml:space="preserve"> </w:t>
      </w:r>
      <w:r w:rsidR="00355F96">
        <w:rPr>
          <w:color w:val="auto"/>
          <w:szCs w:val="24"/>
        </w:rPr>
        <w:t>T</w:t>
      </w:r>
      <w:r w:rsidR="00CC6817">
        <w:rPr>
          <w:color w:val="auto"/>
          <w:szCs w:val="24"/>
        </w:rPr>
        <w:t>he exposed conveyance would not become subject to biosecurity control, as long as all other applicable circumstances are met</w:t>
      </w:r>
      <w:r w:rsidR="00355F96">
        <w:rPr>
          <w:color w:val="auto"/>
          <w:szCs w:val="24"/>
        </w:rPr>
        <w:t>, including</w:t>
      </w:r>
      <w:r w:rsidR="00A64691">
        <w:rPr>
          <w:color w:val="auto"/>
          <w:szCs w:val="24"/>
        </w:rPr>
        <w:t xml:space="preserve"> </w:t>
      </w:r>
      <w:r w:rsidR="00EA3202">
        <w:rPr>
          <w:color w:val="auto"/>
          <w:szCs w:val="24"/>
        </w:rPr>
        <w:t>the end of journey requi</w:t>
      </w:r>
      <w:r w:rsidR="000A381C">
        <w:rPr>
          <w:color w:val="auto"/>
          <w:szCs w:val="24"/>
        </w:rPr>
        <w:t xml:space="preserve">rements </w:t>
      </w:r>
      <w:r w:rsidR="000A381C">
        <w:rPr>
          <w:color w:val="auto"/>
          <w:szCs w:val="24"/>
        </w:rPr>
        <w:lastRenderedPageBreak/>
        <w:t xml:space="preserve">provided in subsection </w:t>
      </w:r>
      <w:r w:rsidR="00EA3202">
        <w:rPr>
          <w:color w:val="auto"/>
          <w:szCs w:val="24"/>
        </w:rPr>
        <w:t>(4), (5)</w:t>
      </w:r>
      <w:r w:rsidR="000A381C">
        <w:rPr>
          <w:color w:val="auto"/>
          <w:szCs w:val="24"/>
        </w:rPr>
        <w:t>, (6) or (7</w:t>
      </w:r>
      <w:r w:rsidR="00EA3202">
        <w:rPr>
          <w:color w:val="auto"/>
          <w:szCs w:val="24"/>
        </w:rPr>
        <w:t xml:space="preserve">). </w:t>
      </w:r>
      <w:r w:rsidR="00080FAF">
        <w:rPr>
          <w:color w:val="auto"/>
          <w:szCs w:val="24"/>
        </w:rPr>
        <w:t>An exposed conveyance may bring back into Australian territory any person and/or goods</w:t>
      </w:r>
      <w:r w:rsidR="00405099">
        <w:rPr>
          <w:color w:val="auto"/>
          <w:szCs w:val="24"/>
        </w:rPr>
        <w:t xml:space="preserve"> (including waste</w:t>
      </w:r>
      <w:r w:rsidR="001A1C42">
        <w:rPr>
          <w:color w:val="auto"/>
          <w:szCs w:val="24"/>
        </w:rPr>
        <w:t>)</w:t>
      </w:r>
      <w:r w:rsidR="00080FAF">
        <w:rPr>
          <w:color w:val="auto"/>
          <w:szCs w:val="24"/>
        </w:rPr>
        <w:t xml:space="preserve"> from an installation or petroleum industry vessel that meets the circumstance in subparagraph (1)(f)(iii).</w:t>
      </w:r>
    </w:p>
    <w:p w14:paraId="3179A715" w14:textId="77777777" w:rsidR="00A046EE" w:rsidRDefault="00A046EE" w:rsidP="00EA3202">
      <w:pPr>
        <w:pStyle w:val="Normal-em"/>
        <w:rPr>
          <w:color w:val="auto"/>
          <w:szCs w:val="24"/>
        </w:rPr>
      </w:pPr>
    </w:p>
    <w:p w14:paraId="230B9ACF" w14:textId="77777777" w:rsidR="00EA3202" w:rsidRDefault="00877D11" w:rsidP="00EA3202">
      <w:pPr>
        <w:tabs>
          <w:tab w:val="left" w:pos="426"/>
          <w:tab w:val="left" w:pos="851"/>
        </w:tabs>
      </w:pPr>
      <w:r>
        <w:t xml:space="preserve">An </w:t>
      </w:r>
      <w:r w:rsidR="00EA3202">
        <w:t xml:space="preserve">approved arrangement </w:t>
      </w:r>
      <w:r>
        <w:t xml:space="preserve">would </w:t>
      </w:r>
      <w:r w:rsidR="00EA3202">
        <w:t xml:space="preserve">provide for specified activities to </w:t>
      </w:r>
      <w:r w:rsidR="00080FAF">
        <w:t xml:space="preserve">be carried out to </w:t>
      </w:r>
      <w:r w:rsidR="00EA3202">
        <w:t>manage biosecurity risks associated with</w:t>
      </w:r>
      <w:r w:rsidR="00080FAF">
        <w:t xml:space="preserve"> </w:t>
      </w:r>
      <w:r w:rsidR="00AD43DF" w:rsidRPr="00AD43DF">
        <w:t>operations</w:t>
      </w:r>
      <w:r w:rsidR="00080FAF">
        <w:t xml:space="preserve"> of </w:t>
      </w:r>
      <w:r w:rsidR="00EA3202">
        <w:t xml:space="preserve">the installation or </w:t>
      </w:r>
      <w:r w:rsidR="00EA5DA5">
        <w:t>petroleum</w:t>
      </w:r>
      <w:r w:rsidR="00EA3202">
        <w:t xml:space="preserve"> industry vessel, including its exposure to other convey</w:t>
      </w:r>
      <w:r w:rsidR="0045106A">
        <w:t>ances and the</w:t>
      </w:r>
      <w:r w:rsidR="00EA3202">
        <w:t xml:space="preserve"> goods </w:t>
      </w:r>
      <w:r w:rsidR="00080FAF">
        <w:t xml:space="preserve">and persons </w:t>
      </w:r>
      <w:r w:rsidR="00CE2F6F">
        <w:t>that are brought on board</w:t>
      </w:r>
      <w:r w:rsidR="00EA3202">
        <w:t xml:space="preserve"> the installation or</w:t>
      </w:r>
      <w:r w:rsidR="00B62569">
        <w:t xml:space="preserve"> </w:t>
      </w:r>
      <w:r w:rsidR="00EA5DA5">
        <w:t xml:space="preserve">petroleum </w:t>
      </w:r>
      <w:r w:rsidR="00080FAF">
        <w:t xml:space="preserve">industry vessel. </w:t>
      </w:r>
      <w:r w:rsidR="000E7FB1">
        <w:t xml:space="preserve">This will provide an option for installations or petroleum industry vessels </w:t>
      </w:r>
      <w:r w:rsidR="00860ADE">
        <w:t>to</w:t>
      </w:r>
      <w:r w:rsidR="00DF0440">
        <w:t xml:space="preserve"> meet the circumstance under paragraph (1)(f), if neither the circumstance</w:t>
      </w:r>
      <w:r w:rsidR="003C32FE">
        <w:t xml:space="preserve"> </w:t>
      </w:r>
      <w:r w:rsidR="00DF0440">
        <w:t>in subparagraph (1)(f)(i) nor (ii) applies to them</w:t>
      </w:r>
      <w:r w:rsidR="00A04434">
        <w:t>, for example, if they have taken on board</w:t>
      </w:r>
      <w:r w:rsidR="00A04434" w:rsidRPr="00A04434">
        <w:t xml:space="preserve"> </w:t>
      </w:r>
      <w:r w:rsidR="00A04434">
        <w:t>goods other than domestic goods and/or personnel who are not domestic persons</w:t>
      </w:r>
      <w:r w:rsidR="00860ADE">
        <w:t xml:space="preserve">. </w:t>
      </w:r>
      <w:r w:rsidR="00080FAF">
        <w:t xml:space="preserve">Biosecurity risks that are managed in accordance </w:t>
      </w:r>
      <w:r w:rsidR="0045106A">
        <w:t>with an approved arrangement are</w:t>
      </w:r>
      <w:r w:rsidR="00080FAF">
        <w:t xml:space="preserve"> managed to an acceptable level. The d</w:t>
      </w:r>
      <w:r w:rsidR="00EA3202">
        <w:t xml:space="preserve">epartment will monitor compliance with the approved arrangement in accordance with relevant provisions of the </w:t>
      </w:r>
      <w:r w:rsidR="00080FAF">
        <w:t xml:space="preserve">Biosecurity </w:t>
      </w:r>
      <w:r w:rsidR="00EA3202">
        <w:t>Act.</w:t>
      </w:r>
    </w:p>
    <w:p w14:paraId="0F3ECA4C" w14:textId="77777777" w:rsidR="0041024B" w:rsidRDefault="0041024B" w:rsidP="00EA3202">
      <w:pPr>
        <w:tabs>
          <w:tab w:val="left" w:pos="426"/>
          <w:tab w:val="left" w:pos="851"/>
        </w:tabs>
      </w:pPr>
    </w:p>
    <w:p w14:paraId="76E389F1" w14:textId="77777777" w:rsidR="00A046EE" w:rsidRDefault="00DF12A3" w:rsidP="00CC2E0B">
      <w:pPr>
        <w:pStyle w:val="Normal-em"/>
        <w:rPr>
          <w:color w:val="auto"/>
          <w:szCs w:val="24"/>
        </w:rPr>
      </w:pPr>
      <w:r>
        <w:rPr>
          <w:color w:val="auto"/>
          <w:szCs w:val="24"/>
        </w:rPr>
        <w:t>If the second conveyance is manage</w:t>
      </w:r>
      <w:r w:rsidR="00AD46EB">
        <w:rPr>
          <w:color w:val="auto"/>
          <w:szCs w:val="24"/>
        </w:rPr>
        <w:t>d under an approved arrangement</w:t>
      </w:r>
      <w:r w:rsidR="00EB14C1">
        <w:rPr>
          <w:color w:val="auto"/>
          <w:szCs w:val="24"/>
        </w:rPr>
        <w:t xml:space="preserve">, </w:t>
      </w:r>
      <w:r w:rsidR="001A1C42">
        <w:rPr>
          <w:color w:val="auto"/>
          <w:szCs w:val="24"/>
        </w:rPr>
        <w:t>the exposed conveyance</w:t>
      </w:r>
      <w:r w:rsidR="00224150">
        <w:rPr>
          <w:color w:val="auto"/>
          <w:szCs w:val="24"/>
        </w:rPr>
        <w:t xml:space="preserve"> would not become subject to biosecurity control</w:t>
      </w:r>
      <w:r w:rsidR="00EB14C1">
        <w:rPr>
          <w:color w:val="auto"/>
          <w:szCs w:val="24"/>
        </w:rPr>
        <w:t xml:space="preserve"> if </w:t>
      </w:r>
      <w:r w:rsidR="00EA1F96">
        <w:rPr>
          <w:color w:val="auto"/>
          <w:szCs w:val="24"/>
        </w:rPr>
        <w:t xml:space="preserve">it meets all other applicable circumstances, including </w:t>
      </w:r>
      <w:r w:rsidR="00EB14C1">
        <w:rPr>
          <w:color w:val="auto"/>
          <w:szCs w:val="24"/>
        </w:rPr>
        <w:t>the following end</w:t>
      </w:r>
      <w:r w:rsidR="00EA1F96">
        <w:rPr>
          <w:color w:val="auto"/>
          <w:szCs w:val="24"/>
        </w:rPr>
        <w:t xml:space="preserve"> of journey requirements</w:t>
      </w:r>
      <w:r w:rsidR="0041024B">
        <w:rPr>
          <w:color w:val="auto"/>
          <w:szCs w:val="24"/>
        </w:rPr>
        <w:t>:</w:t>
      </w:r>
    </w:p>
    <w:p w14:paraId="122FD592" w14:textId="77777777" w:rsidR="006815CE" w:rsidRDefault="0041024B" w:rsidP="008260DE">
      <w:pPr>
        <w:pStyle w:val="Normal-em"/>
        <w:numPr>
          <w:ilvl w:val="0"/>
          <w:numId w:val="7"/>
        </w:numPr>
        <w:rPr>
          <w:color w:val="auto"/>
          <w:szCs w:val="24"/>
        </w:rPr>
      </w:pPr>
      <w:r>
        <w:rPr>
          <w:color w:val="auto"/>
          <w:szCs w:val="24"/>
        </w:rPr>
        <w:t>s</w:t>
      </w:r>
      <w:r w:rsidR="000A381C">
        <w:rPr>
          <w:color w:val="auto"/>
          <w:szCs w:val="24"/>
        </w:rPr>
        <w:t xml:space="preserve">ubsection </w:t>
      </w:r>
      <w:r w:rsidR="00A046EE">
        <w:rPr>
          <w:color w:val="auto"/>
          <w:szCs w:val="24"/>
        </w:rPr>
        <w:t>(4)</w:t>
      </w:r>
      <w:r w:rsidR="000A381C">
        <w:rPr>
          <w:color w:val="auto"/>
          <w:szCs w:val="24"/>
        </w:rPr>
        <w:t xml:space="preserve"> applies to an</w:t>
      </w:r>
      <w:r w:rsidR="00A046EE">
        <w:rPr>
          <w:color w:val="auto"/>
          <w:szCs w:val="24"/>
        </w:rPr>
        <w:t xml:space="preserve"> exposed </w:t>
      </w:r>
      <w:r w:rsidR="000A381C">
        <w:rPr>
          <w:color w:val="auto"/>
          <w:szCs w:val="24"/>
        </w:rPr>
        <w:t>conveyance that is an aircraft</w:t>
      </w:r>
      <w:r w:rsidR="0092788F">
        <w:rPr>
          <w:color w:val="auto"/>
          <w:szCs w:val="24"/>
        </w:rPr>
        <w:t xml:space="preserve">, </w:t>
      </w:r>
      <w:r w:rsidR="000A381C">
        <w:rPr>
          <w:color w:val="auto"/>
          <w:szCs w:val="24"/>
        </w:rPr>
        <w:t>if its</w:t>
      </w:r>
      <w:r w:rsidR="00A046EE">
        <w:rPr>
          <w:color w:val="auto"/>
          <w:szCs w:val="24"/>
        </w:rPr>
        <w:t xml:space="preserve"> journey ends, or is intended to end, at a first p</w:t>
      </w:r>
      <w:r w:rsidR="000A381C">
        <w:rPr>
          <w:color w:val="auto"/>
          <w:szCs w:val="24"/>
        </w:rPr>
        <w:t>oint of entry for the aircraft</w:t>
      </w:r>
      <w:r w:rsidR="00A046EE">
        <w:rPr>
          <w:color w:val="auto"/>
          <w:szCs w:val="24"/>
        </w:rPr>
        <w:t xml:space="preserve">, </w:t>
      </w:r>
      <w:r w:rsidR="000A381C">
        <w:rPr>
          <w:color w:val="auto"/>
          <w:szCs w:val="24"/>
        </w:rPr>
        <w:t>and there is a biosecurity entry point for the aircra</w:t>
      </w:r>
      <w:r w:rsidR="0092788F">
        <w:rPr>
          <w:color w:val="auto"/>
          <w:szCs w:val="24"/>
        </w:rPr>
        <w:t xml:space="preserve">ft at the first point of entry – </w:t>
      </w:r>
      <w:r w:rsidR="000A381C" w:rsidRPr="00AD46EB">
        <w:rPr>
          <w:color w:val="auto"/>
          <w:szCs w:val="24"/>
        </w:rPr>
        <w:t xml:space="preserve">the aircraft </w:t>
      </w:r>
      <w:r w:rsidR="0092788F" w:rsidRPr="00AD46EB">
        <w:rPr>
          <w:color w:val="auto"/>
          <w:szCs w:val="24"/>
        </w:rPr>
        <w:t>is</w:t>
      </w:r>
      <w:r w:rsidR="000A381C" w:rsidRPr="00AD46EB">
        <w:rPr>
          <w:color w:val="auto"/>
          <w:szCs w:val="24"/>
        </w:rPr>
        <w:t xml:space="preserve"> brought to that biosecurity entry point </w:t>
      </w:r>
      <w:r w:rsidR="001A1C42" w:rsidRPr="00AD46EB">
        <w:rPr>
          <w:color w:val="auto"/>
          <w:szCs w:val="24"/>
        </w:rPr>
        <w:t>as soon as practicable</w:t>
      </w:r>
      <w:r w:rsidR="000A381C" w:rsidRPr="00AD46EB">
        <w:rPr>
          <w:color w:val="auto"/>
          <w:szCs w:val="24"/>
        </w:rPr>
        <w:t xml:space="preserve"> after arriving at the first point of entry</w:t>
      </w:r>
    </w:p>
    <w:p w14:paraId="5020EE9F" w14:textId="77777777" w:rsidR="00A046EE" w:rsidRDefault="0041024B" w:rsidP="008260DE">
      <w:pPr>
        <w:pStyle w:val="Normal-em"/>
        <w:numPr>
          <w:ilvl w:val="0"/>
          <w:numId w:val="7"/>
        </w:numPr>
        <w:rPr>
          <w:color w:val="auto"/>
          <w:szCs w:val="24"/>
        </w:rPr>
      </w:pPr>
      <w:r>
        <w:rPr>
          <w:color w:val="auto"/>
          <w:szCs w:val="24"/>
        </w:rPr>
        <w:t>s</w:t>
      </w:r>
      <w:r w:rsidR="0092788F">
        <w:rPr>
          <w:color w:val="auto"/>
          <w:szCs w:val="24"/>
        </w:rPr>
        <w:t xml:space="preserve">ubsection </w:t>
      </w:r>
      <w:r w:rsidR="00D84E49">
        <w:rPr>
          <w:color w:val="auto"/>
          <w:szCs w:val="24"/>
        </w:rPr>
        <w:t>(5)</w:t>
      </w:r>
      <w:r w:rsidR="0092788F">
        <w:rPr>
          <w:color w:val="auto"/>
          <w:szCs w:val="24"/>
        </w:rPr>
        <w:t xml:space="preserve"> applies to an exposed conveyance that is an aircraft, if </w:t>
      </w:r>
      <w:r w:rsidR="00D84E49">
        <w:rPr>
          <w:color w:val="auto"/>
          <w:szCs w:val="24"/>
        </w:rPr>
        <w:t>it</w:t>
      </w:r>
      <w:r w:rsidR="0092788F">
        <w:rPr>
          <w:color w:val="auto"/>
          <w:szCs w:val="24"/>
        </w:rPr>
        <w:t>s journey ends</w:t>
      </w:r>
      <w:r w:rsidR="00D84E49">
        <w:rPr>
          <w:color w:val="auto"/>
          <w:szCs w:val="24"/>
        </w:rPr>
        <w:t xml:space="preserve">, or </w:t>
      </w:r>
      <w:r w:rsidR="0092788F">
        <w:rPr>
          <w:color w:val="auto"/>
          <w:szCs w:val="24"/>
        </w:rPr>
        <w:t xml:space="preserve">is </w:t>
      </w:r>
      <w:r w:rsidR="00D84E49">
        <w:rPr>
          <w:color w:val="auto"/>
          <w:szCs w:val="24"/>
        </w:rPr>
        <w:t>intend</w:t>
      </w:r>
      <w:r w:rsidR="0092788F">
        <w:rPr>
          <w:color w:val="auto"/>
          <w:szCs w:val="24"/>
        </w:rPr>
        <w:t>ed to end</w:t>
      </w:r>
      <w:r w:rsidR="00D84E49">
        <w:rPr>
          <w:color w:val="auto"/>
          <w:szCs w:val="24"/>
        </w:rPr>
        <w:t xml:space="preserve">, at a </w:t>
      </w:r>
      <w:r w:rsidR="0092788F">
        <w:rPr>
          <w:color w:val="auto"/>
          <w:szCs w:val="24"/>
        </w:rPr>
        <w:t xml:space="preserve">landing place </w:t>
      </w:r>
      <w:r w:rsidR="00AD46EB">
        <w:rPr>
          <w:color w:val="auto"/>
          <w:szCs w:val="24"/>
        </w:rPr>
        <w:t xml:space="preserve">in Australian territory </w:t>
      </w:r>
      <w:r w:rsidR="0092788F">
        <w:rPr>
          <w:color w:val="auto"/>
          <w:szCs w:val="24"/>
        </w:rPr>
        <w:t xml:space="preserve">that is not a first point of entry for the aircraft – </w:t>
      </w:r>
      <w:r w:rsidR="00D84E49">
        <w:rPr>
          <w:color w:val="auto"/>
          <w:szCs w:val="24"/>
        </w:rPr>
        <w:t xml:space="preserve">permission </w:t>
      </w:r>
      <w:r w:rsidR="0092788F">
        <w:rPr>
          <w:color w:val="auto"/>
          <w:szCs w:val="24"/>
        </w:rPr>
        <w:t xml:space="preserve">has been given </w:t>
      </w:r>
      <w:r w:rsidR="00D84E49">
        <w:rPr>
          <w:color w:val="auto"/>
          <w:szCs w:val="24"/>
        </w:rPr>
        <w:t xml:space="preserve">under subsection 239(2) of the </w:t>
      </w:r>
      <w:r w:rsidR="001A1C42">
        <w:rPr>
          <w:color w:val="auto"/>
          <w:szCs w:val="24"/>
        </w:rPr>
        <w:t xml:space="preserve">Biosecurity </w:t>
      </w:r>
      <w:r w:rsidR="0092788F">
        <w:rPr>
          <w:color w:val="auto"/>
          <w:szCs w:val="24"/>
        </w:rPr>
        <w:t xml:space="preserve">Act </w:t>
      </w:r>
      <w:r w:rsidR="00110DF1">
        <w:rPr>
          <w:color w:val="auto"/>
          <w:szCs w:val="24"/>
        </w:rPr>
        <w:t xml:space="preserve">for the aircraft </w:t>
      </w:r>
      <w:r w:rsidR="0092788F">
        <w:rPr>
          <w:color w:val="auto"/>
          <w:szCs w:val="24"/>
        </w:rPr>
        <w:t xml:space="preserve">to land at that landing place and any conditions of the permission have been or are intended to be complied with, or </w:t>
      </w:r>
      <w:r w:rsidR="00D84E49">
        <w:rPr>
          <w:color w:val="auto"/>
          <w:szCs w:val="24"/>
        </w:rPr>
        <w:t xml:space="preserve">a direction </w:t>
      </w:r>
      <w:r w:rsidR="0092788F">
        <w:rPr>
          <w:color w:val="auto"/>
          <w:szCs w:val="24"/>
        </w:rPr>
        <w:t xml:space="preserve">has been given </w:t>
      </w:r>
      <w:r w:rsidR="00D84E49">
        <w:rPr>
          <w:color w:val="auto"/>
          <w:szCs w:val="24"/>
        </w:rPr>
        <w:t xml:space="preserve">under paragraph 240(1)(a) or 242(1)(a) of the </w:t>
      </w:r>
      <w:r w:rsidR="001A1C42">
        <w:rPr>
          <w:color w:val="auto"/>
          <w:szCs w:val="24"/>
        </w:rPr>
        <w:t xml:space="preserve">Biosecurity </w:t>
      </w:r>
      <w:r w:rsidR="00AD46EB">
        <w:rPr>
          <w:color w:val="auto"/>
          <w:szCs w:val="24"/>
        </w:rPr>
        <w:t>Act requiring</w:t>
      </w:r>
      <w:r w:rsidR="00D84E49">
        <w:rPr>
          <w:color w:val="auto"/>
          <w:szCs w:val="24"/>
        </w:rPr>
        <w:t xml:space="preserve"> </w:t>
      </w:r>
      <w:r w:rsidR="00110DF1">
        <w:rPr>
          <w:color w:val="auto"/>
          <w:szCs w:val="24"/>
        </w:rPr>
        <w:t xml:space="preserve">the aircraft to </w:t>
      </w:r>
      <w:r w:rsidR="00D84E49">
        <w:rPr>
          <w:color w:val="auto"/>
          <w:szCs w:val="24"/>
        </w:rPr>
        <w:t>land at</w:t>
      </w:r>
      <w:r w:rsidR="0092788F">
        <w:rPr>
          <w:color w:val="auto"/>
          <w:szCs w:val="24"/>
        </w:rPr>
        <w:t xml:space="preserve"> that landing</w:t>
      </w:r>
      <w:r w:rsidR="001F0523">
        <w:rPr>
          <w:color w:val="auto"/>
          <w:szCs w:val="24"/>
        </w:rPr>
        <w:t xml:space="preserve"> place</w:t>
      </w:r>
    </w:p>
    <w:p w14:paraId="1A6F2687" w14:textId="77777777" w:rsidR="0092788F" w:rsidRDefault="0092788F" w:rsidP="0092788F">
      <w:pPr>
        <w:pStyle w:val="Normal-em"/>
        <w:numPr>
          <w:ilvl w:val="0"/>
          <w:numId w:val="7"/>
        </w:numPr>
        <w:rPr>
          <w:color w:val="auto"/>
          <w:szCs w:val="24"/>
        </w:rPr>
      </w:pPr>
      <w:r>
        <w:rPr>
          <w:color w:val="auto"/>
          <w:szCs w:val="24"/>
        </w:rPr>
        <w:t xml:space="preserve">subsection (6) applies to an exposed conveyance that is a vessel, if its journey ends, or is intended to end, at a first point of entry for the vessel, and there is a biosecurity entry point for the vessel at the first point of entry – </w:t>
      </w:r>
      <w:r w:rsidRPr="00AD46EB">
        <w:rPr>
          <w:color w:val="auto"/>
          <w:szCs w:val="24"/>
        </w:rPr>
        <w:t>the vessel is brought to that biosecurity entry point as soon as practicable after arriving at the first point of entry</w:t>
      </w:r>
    </w:p>
    <w:p w14:paraId="3525B793" w14:textId="77777777" w:rsidR="0092788F" w:rsidRDefault="0092788F" w:rsidP="0092788F">
      <w:pPr>
        <w:pStyle w:val="Normal-em"/>
        <w:numPr>
          <w:ilvl w:val="0"/>
          <w:numId w:val="7"/>
        </w:numPr>
        <w:rPr>
          <w:color w:val="auto"/>
          <w:szCs w:val="24"/>
        </w:rPr>
      </w:pPr>
      <w:r>
        <w:rPr>
          <w:color w:val="auto"/>
          <w:szCs w:val="24"/>
        </w:rPr>
        <w:t xml:space="preserve">subsection (7) applies to an exposed conveyance that is a vessel, if its journey ends, or is intended to end, at a port </w:t>
      </w:r>
      <w:r w:rsidR="00440FDB">
        <w:rPr>
          <w:color w:val="auto"/>
          <w:szCs w:val="24"/>
        </w:rPr>
        <w:t xml:space="preserve">in Australian territory </w:t>
      </w:r>
      <w:r>
        <w:rPr>
          <w:color w:val="auto"/>
          <w:szCs w:val="24"/>
        </w:rPr>
        <w:t xml:space="preserve">that is not a first point of entry for the vessel – permission has been given under subsection 247(2) of the Biosecurity Act </w:t>
      </w:r>
      <w:r w:rsidR="00110DF1">
        <w:rPr>
          <w:color w:val="auto"/>
          <w:szCs w:val="24"/>
        </w:rPr>
        <w:t xml:space="preserve">for the vessel </w:t>
      </w:r>
      <w:r>
        <w:rPr>
          <w:color w:val="auto"/>
          <w:szCs w:val="24"/>
        </w:rPr>
        <w:t xml:space="preserve">to be moored at that port and any conditions of the permission have been or are intended to be complied with, or a direction has been given under paragraph 248(1)(a) or 250(1)(a) of the Biosecurity Act </w:t>
      </w:r>
      <w:r w:rsidR="00110DF1">
        <w:rPr>
          <w:color w:val="auto"/>
          <w:szCs w:val="24"/>
        </w:rPr>
        <w:t xml:space="preserve">requiring the vessel </w:t>
      </w:r>
      <w:r>
        <w:rPr>
          <w:color w:val="auto"/>
          <w:szCs w:val="24"/>
        </w:rPr>
        <w:t>to be moored at</w:t>
      </w:r>
      <w:r w:rsidR="00110DF1">
        <w:rPr>
          <w:color w:val="auto"/>
          <w:szCs w:val="24"/>
        </w:rPr>
        <w:t xml:space="preserve"> that port.</w:t>
      </w:r>
    </w:p>
    <w:p w14:paraId="03005487" w14:textId="77777777" w:rsidR="003051F2" w:rsidRDefault="003051F2">
      <w:pPr>
        <w:pStyle w:val="Normal-em"/>
        <w:rPr>
          <w:color w:val="auto"/>
          <w:szCs w:val="24"/>
        </w:rPr>
      </w:pPr>
    </w:p>
    <w:p w14:paraId="3EB77584" w14:textId="14CB47CF" w:rsidR="001F16E9" w:rsidRDefault="00DF12A3">
      <w:pPr>
        <w:pStyle w:val="Normal-em"/>
      </w:pPr>
      <w:r>
        <w:rPr>
          <w:color w:val="auto"/>
          <w:szCs w:val="24"/>
        </w:rPr>
        <w:t>The end of journey requi</w:t>
      </w:r>
      <w:r w:rsidR="00110DF1">
        <w:rPr>
          <w:color w:val="auto"/>
          <w:szCs w:val="24"/>
        </w:rPr>
        <w:t xml:space="preserve">rements provided in subsection </w:t>
      </w:r>
      <w:r>
        <w:rPr>
          <w:color w:val="auto"/>
          <w:szCs w:val="24"/>
        </w:rPr>
        <w:t>(4), (5</w:t>
      </w:r>
      <w:r w:rsidR="0045106A">
        <w:rPr>
          <w:color w:val="auto"/>
          <w:szCs w:val="24"/>
        </w:rPr>
        <w:t>)</w:t>
      </w:r>
      <w:r w:rsidR="00110DF1">
        <w:rPr>
          <w:color w:val="auto"/>
          <w:szCs w:val="24"/>
        </w:rPr>
        <w:t>, (6) or (7</w:t>
      </w:r>
      <w:r w:rsidR="0045106A">
        <w:rPr>
          <w:color w:val="auto"/>
          <w:szCs w:val="24"/>
        </w:rPr>
        <w:t>) are necessary to provide</w:t>
      </w:r>
      <w:r>
        <w:rPr>
          <w:color w:val="auto"/>
          <w:szCs w:val="24"/>
        </w:rPr>
        <w:t xml:space="preserve"> that an exposed conveyance arrives at a landing place or port that </w:t>
      </w:r>
      <w:r>
        <w:t>has the approp</w:t>
      </w:r>
      <w:r w:rsidR="0045106A">
        <w:t>riate facilities and services that could</w:t>
      </w:r>
      <w:r>
        <w:t xml:space="preserve"> manage any associated biosecurity risk, if req</w:t>
      </w:r>
      <w:r w:rsidR="0045106A">
        <w:t xml:space="preserve">uired. </w:t>
      </w:r>
      <w:r w:rsidR="0045106A" w:rsidRPr="00CB0EA0">
        <w:t>This provides recognition that the level of biosecurity risk associated with a conveyance that is exposed to an installation or petroleum industry vessel that is covered by an approved arrangement</w:t>
      </w:r>
      <w:r w:rsidR="000E7FB1" w:rsidRPr="00CB0EA0">
        <w:t xml:space="preserve"> is managed to an acceptable level, however, in the event that</w:t>
      </w:r>
      <w:r w:rsidR="00CB0EA0">
        <w:t xml:space="preserve"> any of the other applicable circumstances could not be met, then</w:t>
      </w:r>
      <w:r w:rsidR="000E7FB1">
        <w:t xml:space="preserve"> </w:t>
      </w:r>
      <w:r w:rsidR="00CB0EA0">
        <w:t xml:space="preserve">the biosecurity risk associated with the exposed conveyance can be assessed and if necessary, managed </w:t>
      </w:r>
      <w:r w:rsidR="00726EA6">
        <w:t xml:space="preserve">upon arrival </w:t>
      </w:r>
      <w:r w:rsidR="00CB0EA0">
        <w:t>at those landing place or port.</w:t>
      </w:r>
    </w:p>
    <w:p w14:paraId="1F2424D2" w14:textId="77777777" w:rsidR="00275013" w:rsidRDefault="00275013">
      <w:pPr>
        <w:pStyle w:val="Normal-em"/>
      </w:pPr>
    </w:p>
    <w:p w14:paraId="48A54AEE" w14:textId="77777777" w:rsidR="00B853AC" w:rsidRDefault="00110DF1">
      <w:pPr>
        <w:pStyle w:val="Normal-em"/>
      </w:pPr>
      <w:r>
        <w:t xml:space="preserve">Subsection </w:t>
      </w:r>
      <w:r w:rsidR="00B03B24">
        <w:t>(8</w:t>
      </w:r>
      <w:r w:rsidR="00275013">
        <w:t xml:space="preserve">) provides that section 6 does not apply </w:t>
      </w:r>
      <w:r>
        <w:t xml:space="preserve">in relation to a conveyance that is exposed to </w:t>
      </w:r>
      <w:r w:rsidR="00275013">
        <w:t xml:space="preserve">a protected zone vessel </w:t>
      </w:r>
      <w:r>
        <w:t xml:space="preserve">in </w:t>
      </w:r>
      <w:r w:rsidRPr="00B03B24">
        <w:t>the</w:t>
      </w:r>
      <w:r w:rsidR="00275013">
        <w:t xml:space="preserve"> protected zone area.</w:t>
      </w:r>
      <w:r w:rsidR="00B853AC">
        <w:t xml:space="preserve"> The circumstance that applies to an exposure to a protected zone vessel in a protected zone area is provided for under section 7 of this Determination. The note to this subsection refers to subsection 617(4) of the Biosecurity Act for the definitions of ‘protected zone area’ and ‘protected zone vessel’.</w:t>
      </w:r>
    </w:p>
    <w:p w14:paraId="0838609C" w14:textId="77777777" w:rsidR="00B853AC" w:rsidRDefault="00B853AC">
      <w:pPr>
        <w:pStyle w:val="Normal-em"/>
      </w:pPr>
    </w:p>
    <w:p w14:paraId="75DEF378" w14:textId="77777777" w:rsidR="00B853AC" w:rsidRDefault="00B853AC" w:rsidP="00B853AC">
      <w:pPr>
        <w:pStyle w:val="Normal-em"/>
        <w:rPr>
          <w:color w:val="auto"/>
          <w:szCs w:val="24"/>
          <w:u w:val="single"/>
        </w:rPr>
      </w:pPr>
      <w:r>
        <w:rPr>
          <w:color w:val="auto"/>
          <w:szCs w:val="24"/>
          <w:u w:val="single"/>
        </w:rPr>
        <w:t>Section 7</w:t>
      </w:r>
      <w:r w:rsidRPr="00D066E0">
        <w:rPr>
          <w:color w:val="auto"/>
          <w:szCs w:val="24"/>
          <w:u w:val="single"/>
        </w:rPr>
        <w:t xml:space="preserve"> – Circumstances in which exposed conveyance does not become subject to biosecurity control</w:t>
      </w:r>
      <w:r>
        <w:rPr>
          <w:color w:val="auto"/>
          <w:szCs w:val="24"/>
          <w:u w:val="single"/>
        </w:rPr>
        <w:t>–exposure to protected zone vessel in protected zone area</w:t>
      </w:r>
    </w:p>
    <w:p w14:paraId="052F48A5" w14:textId="77777777" w:rsidR="00B853AC" w:rsidRDefault="00B853AC" w:rsidP="00B853AC">
      <w:pPr>
        <w:pStyle w:val="Normal-em"/>
        <w:rPr>
          <w:color w:val="auto"/>
          <w:szCs w:val="24"/>
          <w:u w:val="single"/>
        </w:rPr>
      </w:pPr>
    </w:p>
    <w:p w14:paraId="020293C6" w14:textId="77777777" w:rsidR="00253C90" w:rsidRPr="00035351" w:rsidRDefault="00B853AC" w:rsidP="00B853AC">
      <w:pPr>
        <w:pStyle w:val="Normal-em"/>
        <w:rPr>
          <w:color w:val="auto"/>
          <w:szCs w:val="24"/>
        </w:rPr>
      </w:pPr>
      <w:r>
        <w:rPr>
          <w:color w:val="auto"/>
          <w:szCs w:val="24"/>
        </w:rPr>
        <w:t>This section provides that</w:t>
      </w:r>
      <w:r w:rsidR="00B03B24">
        <w:rPr>
          <w:color w:val="auto"/>
          <w:szCs w:val="24"/>
        </w:rPr>
        <w:t xml:space="preserve"> section 192 of the B</w:t>
      </w:r>
      <w:r>
        <w:rPr>
          <w:color w:val="auto"/>
          <w:szCs w:val="24"/>
        </w:rPr>
        <w:t>iosecurity Act does not apply in relation to a conveyance that is exposed</w:t>
      </w:r>
      <w:r w:rsidR="00AC310E">
        <w:rPr>
          <w:color w:val="auto"/>
          <w:szCs w:val="24"/>
        </w:rPr>
        <w:t xml:space="preserve"> to a protected zone vessel in </w:t>
      </w:r>
      <w:r w:rsidR="00AC310E" w:rsidRPr="00B03B24">
        <w:rPr>
          <w:color w:val="auto"/>
          <w:szCs w:val="24"/>
        </w:rPr>
        <w:t>the</w:t>
      </w:r>
      <w:r>
        <w:rPr>
          <w:color w:val="auto"/>
          <w:szCs w:val="24"/>
        </w:rPr>
        <w:t xml:space="preserve"> protected zone area</w:t>
      </w:r>
      <w:r w:rsidR="00035351">
        <w:rPr>
          <w:color w:val="auto"/>
          <w:szCs w:val="24"/>
        </w:rPr>
        <w:t xml:space="preserve">, as </w:t>
      </w:r>
      <w:r w:rsidR="00035351" w:rsidRPr="00035351">
        <w:rPr>
          <w:color w:val="auto"/>
          <w:szCs w:val="24"/>
        </w:rPr>
        <w:t>referred to in section 5</w:t>
      </w:r>
      <w:r w:rsidRPr="00035351">
        <w:rPr>
          <w:color w:val="auto"/>
          <w:szCs w:val="24"/>
        </w:rPr>
        <w:t>.</w:t>
      </w:r>
      <w:r w:rsidR="00A16CAD">
        <w:rPr>
          <w:color w:val="auto"/>
          <w:szCs w:val="24"/>
        </w:rPr>
        <w:t xml:space="preserve"> This means that a</w:t>
      </w:r>
      <w:r w:rsidR="005A46D6" w:rsidRPr="00035351">
        <w:rPr>
          <w:color w:val="auto"/>
          <w:szCs w:val="24"/>
        </w:rPr>
        <w:t xml:space="preserve"> conveyance that is exposed to a protected zone vessel in </w:t>
      </w:r>
      <w:r w:rsidR="00AC310E" w:rsidRPr="00035351">
        <w:rPr>
          <w:color w:val="auto"/>
          <w:szCs w:val="24"/>
        </w:rPr>
        <w:t>the</w:t>
      </w:r>
      <w:r w:rsidR="005A46D6" w:rsidRPr="00035351">
        <w:rPr>
          <w:color w:val="auto"/>
          <w:szCs w:val="24"/>
        </w:rPr>
        <w:t xml:space="preserve"> protected zone area would not become subject to biosecurity control when it is in</w:t>
      </w:r>
      <w:r w:rsidR="00640264" w:rsidRPr="00035351">
        <w:rPr>
          <w:color w:val="auto"/>
          <w:szCs w:val="24"/>
        </w:rPr>
        <w:t>, or when it re-enters</w:t>
      </w:r>
      <w:r w:rsidR="005A46D6" w:rsidRPr="00035351">
        <w:rPr>
          <w:color w:val="auto"/>
          <w:szCs w:val="24"/>
        </w:rPr>
        <w:t xml:space="preserve"> Australian territory. Protected zone area and protected zone vessels are defined in subsection 617(4) of the Biosecurity Act.</w:t>
      </w:r>
      <w:r w:rsidR="00B57794" w:rsidRPr="00035351">
        <w:rPr>
          <w:color w:val="auto"/>
          <w:szCs w:val="24"/>
        </w:rPr>
        <w:t xml:space="preserve"> </w:t>
      </w:r>
    </w:p>
    <w:p w14:paraId="37EBBE64" w14:textId="77777777" w:rsidR="00253C90" w:rsidRPr="00035351" w:rsidRDefault="00253C90" w:rsidP="00B853AC">
      <w:pPr>
        <w:pStyle w:val="Normal-em"/>
        <w:rPr>
          <w:color w:val="auto"/>
          <w:szCs w:val="24"/>
        </w:rPr>
      </w:pPr>
    </w:p>
    <w:p w14:paraId="69F3C34B" w14:textId="77777777" w:rsidR="00AC310E" w:rsidRPr="00AC310E" w:rsidRDefault="00AC310E" w:rsidP="00AC310E">
      <w:pPr>
        <w:pStyle w:val="Normal-em"/>
        <w:rPr>
          <w:color w:val="auto"/>
          <w:szCs w:val="24"/>
        </w:rPr>
      </w:pPr>
      <w:r w:rsidRPr="00035351">
        <w:rPr>
          <w:color w:val="auto"/>
          <w:szCs w:val="24"/>
        </w:rPr>
        <w:t>Protected zone vessels are exempt by regulation from certain requirements under the Biosecurity Act in order to enable free movement of traditional inhabitants within the</w:t>
      </w:r>
      <w:r w:rsidRPr="00AC310E">
        <w:rPr>
          <w:color w:val="auto"/>
          <w:szCs w:val="24"/>
        </w:rPr>
        <w:t xml:space="preserve"> protected zone in connection with traditional activities. Because protected zone vessels and goods on board those vessels are in Australian territory for the purpose of traditional activities rather than for commercial purposes, the </w:t>
      </w:r>
      <w:r>
        <w:rPr>
          <w:color w:val="auto"/>
          <w:szCs w:val="24"/>
        </w:rPr>
        <w:t xml:space="preserve">level of biosecurity </w:t>
      </w:r>
      <w:r w:rsidRPr="00AC310E">
        <w:rPr>
          <w:color w:val="auto"/>
          <w:szCs w:val="24"/>
        </w:rPr>
        <w:t xml:space="preserve">risk associated with the vessel and </w:t>
      </w:r>
      <w:r>
        <w:rPr>
          <w:color w:val="auto"/>
          <w:szCs w:val="24"/>
        </w:rPr>
        <w:t>goods on board the vessel is acceptable</w:t>
      </w:r>
      <w:r w:rsidRPr="00AC310E">
        <w:rPr>
          <w:color w:val="auto"/>
          <w:szCs w:val="24"/>
        </w:rPr>
        <w:t xml:space="preserve">. For this reason, </w:t>
      </w:r>
      <w:r w:rsidR="003139F2">
        <w:rPr>
          <w:color w:val="auto"/>
          <w:szCs w:val="24"/>
        </w:rPr>
        <w:t>it is the department’s intent that s</w:t>
      </w:r>
      <w:r w:rsidR="00A16CAD">
        <w:rPr>
          <w:color w:val="auto"/>
          <w:szCs w:val="24"/>
        </w:rPr>
        <w:t>ection 192 does not apply to a</w:t>
      </w:r>
      <w:r w:rsidRPr="00AC310E">
        <w:rPr>
          <w:color w:val="auto"/>
          <w:szCs w:val="24"/>
        </w:rPr>
        <w:t xml:space="preserve"> conveyance that is exposed to a protected zone vessel in the protected zone area.</w:t>
      </w:r>
    </w:p>
    <w:p w14:paraId="4797F13B" w14:textId="77777777" w:rsidR="00275013" w:rsidRDefault="00275013">
      <w:pPr>
        <w:pStyle w:val="Normal-em"/>
        <w:rPr>
          <w:color w:val="auto"/>
          <w:szCs w:val="24"/>
        </w:rPr>
      </w:pPr>
    </w:p>
    <w:p w14:paraId="2B0E4E3C" w14:textId="77777777" w:rsidR="00F550F1" w:rsidRDefault="00F550F1">
      <w:r>
        <w:br w:type="page"/>
      </w:r>
    </w:p>
    <w:p w14:paraId="284BDE29" w14:textId="77777777" w:rsidR="00F550F1" w:rsidRDefault="00F550F1" w:rsidP="005712F5">
      <w:pPr>
        <w:spacing w:before="360" w:after="120"/>
        <w:jc w:val="center"/>
        <w:rPr>
          <w:b/>
        </w:rPr>
      </w:pPr>
      <w:bookmarkStart w:id="0" w:name="_GoBack"/>
      <w:bookmarkEnd w:id="0"/>
      <w:r>
        <w:rPr>
          <w:b/>
        </w:rPr>
        <w:lastRenderedPageBreak/>
        <w:t>Statement of Compatibility with Human Rights</w:t>
      </w:r>
    </w:p>
    <w:p w14:paraId="01968172" w14:textId="77777777" w:rsidR="00F550F1" w:rsidRDefault="00F550F1" w:rsidP="005712F5">
      <w:pPr>
        <w:contextualSpacing/>
        <w:jc w:val="center"/>
        <w:rPr>
          <w:i/>
        </w:rPr>
      </w:pPr>
      <w:r>
        <w:t>Prepared in accordance with Part 3 of the</w:t>
      </w:r>
      <w:r>
        <w:rPr>
          <w:i/>
        </w:rPr>
        <w:t xml:space="preserve"> Human Rights (Parliamentary Scrutiny) Act 2011</w:t>
      </w:r>
    </w:p>
    <w:p w14:paraId="05F0AEE3" w14:textId="77777777" w:rsidR="00F550F1" w:rsidRDefault="00F550F1" w:rsidP="005712F5">
      <w:pPr>
        <w:tabs>
          <w:tab w:val="left" w:pos="3491"/>
        </w:tabs>
        <w:contextualSpacing/>
        <w:rPr>
          <w:i/>
        </w:rPr>
      </w:pPr>
      <w:r>
        <w:rPr>
          <w:i/>
        </w:rPr>
        <w:tab/>
      </w:r>
    </w:p>
    <w:p w14:paraId="7D71DDFB" w14:textId="77777777" w:rsidR="00F550F1" w:rsidRDefault="00F550F1" w:rsidP="005712F5">
      <w:pPr>
        <w:jc w:val="center"/>
        <w:rPr>
          <w:b/>
          <w:i/>
          <w:lang w:eastAsia="en-AU"/>
        </w:rPr>
      </w:pPr>
      <w:r>
        <w:rPr>
          <w:b/>
          <w:i/>
          <w:lang w:eastAsia="en-AU"/>
        </w:rPr>
        <w:t>Biosecurity (Exposed Conveyances–Exceptions from Biosecurity Control) Determination 2016</w:t>
      </w:r>
    </w:p>
    <w:p w14:paraId="145DCF45" w14:textId="77777777" w:rsidR="00F550F1" w:rsidRDefault="00F550F1" w:rsidP="005712F5">
      <w:pPr>
        <w:jc w:val="center"/>
      </w:pPr>
    </w:p>
    <w:p w14:paraId="6DE53FA3" w14:textId="77777777" w:rsidR="00F550F1" w:rsidRDefault="00F550F1" w:rsidP="005712F5">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0EC74B8D" w14:textId="77777777" w:rsidR="00F550F1" w:rsidRDefault="00F550F1" w:rsidP="005712F5"/>
    <w:p w14:paraId="0EAA131A" w14:textId="77777777" w:rsidR="00F550F1" w:rsidRDefault="00F550F1" w:rsidP="005712F5">
      <w:pPr>
        <w:spacing w:after="120"/>
        <w:jc w:val="both"/>
        <w:rPr>
          <w:b/>
        </w:rPr>
      </w:pPr>
      <w:r>
        <w:rPr>
          <w:b/>
        </w:rPr>
        <w:t>Overview of the Legislative Instrument</w:t>
      </w:r>
    </w:p>
    <w:p w14:paraId="2DAB8CBC" w14:textId="77777777" w:rsidR="00F550F1" w:rsidRPr="006A2764" w:rsidRDefault="00F550F1" w:rsidP="005712F5">
      <w:pPr>
        <w:rPr>
          <w:i/>
          <w:lang w:val="en-GB"/>
        </w:rPr>
      </w:pPr>
      <w:r>
        <w:rPr>
          <w:rFonts w:eastAsia="Calibri"/>
        </w:rPr>
        <w:t xml:space="preserve">This Legislative Instrument provides that </w:t>
      </w:r>
      <w:r>
        <w:rPr>
          <w:lang w:val="en-GB"/>
        </w:rPr>
        <w:t xml:space="preserve">conveyances that are exposed to other conveyances, </w:t>
      </w:r>
      <w:r w:rsidR="002809E3">
        <w:rPr>
          <w:lang w:val="en-GB"/>
        </w:rPr>
        <w:t xml:space="preserve">including installations and petroleum industry vessels, </w:t>
      </w:r>
      <w:r>
        <w:rPr>
          <w:lang w:val="en-GB"/>
        </w:rPr>
        <w:t>where the exposure</w:t>
      </w:r>
      <w:r w:rsidR="003B3A05">
        <w:rPr>
          <w:lang w:val="en-GB"/>
        </w:rPr>
        <w:t>s</w:t>
      </w:r>
      <w:r>
        <w:rPr>
          <w:lang w:val="en-GB"/>
        </w:rPr>
        <w:t xml:space="preserve"> pose</w:t>
      </w:r>
      <w:r w:rsidR="003B3A05">
        <w:rPr>
          <w:lang w:val="en-GB"/>
        </w:rPr>
        <w:t xml:space="preserve"> </w:t>
      </w:r>
      <w:r>
        <w:rPr>
          <w:lang w:val="en-GB"/>
        </w:rPr>
        <w:t xml:space="preserve">acceptable level of biosecurity risk, </w:t>
      </w:r>
      <w:r w:rsidR="003B3A05">
        <w:rPr>
          <w:lang w:val="en-GB"/>
        </w:rPr>
        <w:t xml:space="preserve">are </w:t>
      </w:r>
      <w:r w:rsidR="006A2764">
        <w:rPr>
          <w:lang w:val="en-GB"/>
        </w:rPr>
        <w:t>not</w:t>
      </w:r>
      <w:r w:rsidR="003B3A05">
        <w:rPr>
          <w:lang w:val="en-GB"/>
        </w:rPr>
        <w:t xml:space="preserve"> </w:t>
      </w:r>
      <w:r>
        <w:rPr>
          <w:lang w:val="en-GB"/>
        </w:rPr>
        <w:t xml:space="preserve">subject to biosecurity control </w:t>
      </w:r>
      <w:r w:rsidR="006A2764">
        <w:rPr>
          <w:lang w:val="en-GB"/>
        </w:rPr>
        <w:t xml:space="preserve">under the </w:t>
      </w:r>
      <w:r w:rsidR="003B3A05">
        <w:rPr>
          <w:i/>
          <w:lang w:val="en-GB"/>
        </w:rPr>
        <w:t>Biosecu</w:t>
      </w:r>
      <w:r w:rsidR="006A2764" w:rsidRPr="006A2764">
        <w:rPr>
          <w:i/>
          <w:lang w:val="en-GB"/>
        </w:rPr>
        <w:t>rity Act 2015</w:t>
      </w:r>
      <w:r w:rsidR="006A2764">
        <w:rPr>
          <w:lang w:val="en-GB"/>
        </w:rPr>
        <w:t xml:space="preserve">, </w:t>
      </w:r>
      <w:r>
        <w:rPr>
          <w:lang w:val="en-GB"/>
        </w:rPr>
        <w:t xml:space="preserve">when is in, or when it re-enters Australian territory. </w:t>
      </w:r>
      <w:r w:rsidR="006A2764">
        <w:rPr>
          <w:lang w:val="en-GB"/>
        </w:rPr>
        <w:t xml:space="preserve">This </w:t>
      </w:r>
      <w:r w:rsidR="006A2764">
        <w:t>will minimise the unnecessary regulatory burden</w:t>
      </w:r>
      <w:r w:rsidR="006A2764" w:rsidRPr="00CE7EC5">
        <w:t xml:space="preserve"> </w:t>
      </w:r>
      <w:r w:rsidR="006A2764">
        <w:t xml:space="preserve">on the operator or person in charge of </w:t>
      </w:r>
      <w:r w:rsidR="00AD2A08">
        <w:t xml:space="preserve">an </w:t>
      </w:r>
      <w:r w:rsidR="006A2764">
        <w:t xml:space="preserve">exposed </w:t>
      </w:r>
      <w:r w:rsidR="00AD2A08">
        <w:t>conveyance</w:t>
      </w:r>
      <w:r w:rsidR="006A2764">
        <w:t xml:space="preserve"> that </w:t>
      </w:r>
      <w:r w:rsidR="00AD2A08">
        <w:t>is not required to be managed</w:t>
      </w:r>
      <w:r w:rsidR="006A2764">
        <w:t xml:space="preserve"> </w:t>
      </w:r>
      <w:r w:rsidR="00AD2A08">
        <w:t xml:space="preserve">in relation to </w:t>
      </w:r>
      <w:r w:rsidR="006A2764">
        <w:t>biosecurity risk.</w:t>
      </w:r>
    </w:p>
    <w:p w14:paraId="2942DC4B" w14:textId="77777777" w:rsidR="00F550F1" w:rsidRDefault="00F550F1" w:rsidP="005712F5">
      <w:pPr>
        <w:rPr>
          <w:lang w:val="en-GB"/>
        </w:rPr>
      </w:pPr>
    </w:p>
    <w:p w14:paraId="0509F47A" w14:textId="77777777" w:rsidR="00F550F1" w:rsidRDefault="00F550F1" w:rsidP="005712F5">
      <w:pPr>
        <w:rPr>
          <w:b/>
          <w:lang w:val="en-GB"/>
        </w:rPr>
      </w:pPr>
      <w:r w:rsidRPr="00767FD7">
        <w:rPr>
          <w:b/>
          <w:lang w:val="en-GB"/>
        </w:rPr>
        <w:t>Human rights implications</w:t>
      </w:r>
    </w:p>
    <w:p w14:paraId="69F4ADE1" w14:textId="77777777" w:rsidR="00F550F1" w:rsidRPr="00767FD7" w:rsidRDefault="00F550F1" w:rsidP="005712F5">
      <w:pPr>
        <w:rPr>
          <w:b/>
          <w:lang w:val="en-GB"/>
        </w:rPr>
      </w:pPr>
    </w:p>
    <w:p w14:paraId="6ABF8E77" w14:textId="77777777" w:rsidR="003B3A05" w:rsidRPr="00E275FD" w:rsidRDefault="003B3A05" w:rsidP="003B3A05">
      <w:pPr>
        <w:contextualSpacing/>
      </w:pPr>
      <w:r w:rsidRPr="00E275FD">
        <w:t>This Legislative Instrument engages the following rights:</w:t>
      </w:r>
    </w:p>
    <w:p w14:paraId="51C9637D" w14:textId="77777777" w:rsidR="003B3A05" w:rsidRPr="00E275FD" w:rsidRDefault="003B3A05" w:rsidP="003B3A05">
      <w:pPr>
        <w:numPr>
          <w:ilvl w:val="0"/>
          <w:numId w:val="11"/>
        </w:numPr>
        <w:ind w:left="714" w:hanging="357"/>
        <w:contextualSpacing/>
      </w:pPr>
      <w:r w:rsidRPr="00E275FD">
        <w:t>Article 17 of the ICCPR – Right to protection from arbitrary interference with privacy</w:t>
      </w:r>
      <w:r>
        <w:t>.</w:t>
      </w:r>
    </w:p>
    <w:p w14:paraId="35FAA0B5" w14:textId="77777777" w:rsidR="003B3A05" w:rsidRDefault="003B3A05" w:rsidP="003B3A05">
      <w:pPr>
        <w:contextualSpacing/>
      </w:pPr>
    </w:p>
    <w:p w14:paraId="6AF4019D" w14:textId="77777777" w:rsidR="003B3A05" w:rsidRPr="00E275FD" w:rsidRDefault="003B3A05" w:rsidP="003B3A05">
      <w:pPr>
        <w:contextualSpacing/>
        <w:rPr>
          <w:b/>
        </w:rPr>
      </w:pPr>
      <w:r w:rsidRPr="00E275FD">
        <w:rPr>
          <w:b/>
        </w:rPr>
        <w:t>Right to protection from arbitrary interference with privacy</w:t>
      </w:r>
    </w:p>
    <w:p w14:paraId="2DEED747" w14:textId="77777777" w:rsidR="003B3A05" w:rsidRDefault="003B3A05" w:rsidP="003B3A05">
      <w:pPr>
        <w:contextualSpacing/>
      </w:pPr>
    </w:p>
    <w:p w14:paraId="3EC5805B" w14:textId="77777777" w:rsidR="003B3A05" w:rsidRPr="006E6324" w:rsidRDefault="003B3A05" w:rsidP="003B3A05">
      <w:pPr>
        <w:contextualSpacing/>
      </w:pPr>
      <w:r w:rsidRPr="006E6324">
        <w:t>This Legislative Instrument engages the right to protection from arbitrary interference with privacy. Article 17 of the International Covenant on Civil and Political Rights protects the right to be free from arbitrary or unlawful interference with an individual’s privacy, family, home or correspondence. This right may be subject to permissible limitations where those limitations are provided by law and are non-arbitrary. In order for limitations not to be arbitrary, they must seek to achieve a legitimate objective and be reasonable, necessary and proportionate to this purpose.</w:t>
      </w:r>
    </w:p>
    <w:p w14:paraId="39D9FA6D" w14:textId="77777777" w:rsidR="003B3A05" w:rsidRPr="006E6324" w:rsidRDefault="003B3A05" w:rsidP="003B3A05">
      <w:pPr>
        <w:contextualSpacing/>
      </w:pPr>
    </w:p>
    <w:p w14:paraId="7A68F97E" w14:textId="77777777" w:rsidR="002D49E4" w:rsidRDefault="003B3A05" w:rsidP="003B3A05">
      <w:pPr>
        <w:contextualSpacing/>
        <w:rPr>
          <w:rFonts w:eastAsia="Calibri"/>
        </w:rPr>
      </w:pPr>
      <w:r w:rsidRPr="006E6324">
        <w:t>This Legislative Instrument contains provisions which may operate to limit this right.</w:t>
      </w:r>
      <w:r>
        <w:t xml:space="preserve"> It provides that information may be provided by the person in charge or operator of an installation or </w:t>
      </w:r>
      <w:r w:rsidR="002809E3">
        <w:t xml:space="preserve">a </w:t>
      </w:r>
      <w:r>
        <w:t>petroleum industry vessel to satisfy the Director of Biosecurity that the level of biosecurity risk associated with the installation or vessel is acceptable to meet the circumstance under subsection 6(3) of th</w:t>
      </w:r>
      <w:r w:rsidR="00205E2E">
        <w:t>e i</w:t>
      </w:r>
      <w:r w:rsidR="00A33A47">
        <w:t>nstrument</w:t>
      </w:r>
      <w:r w:rsidRPr="006E6324">
        <w:t>.</w:t>
      </w:r>
      <w:r w:rsidRPr="006E6324">
        <w:rPr>
          <w:rFonts w:eastAsia="Calibri"/>
        </w:rPr>
        <w:t xml:space="preserve"> </w:t>
      </w:r>
    </w:p>
    <w:p w14:paraId="28384512" w14:textId="77777777" w:rsidR="002D49E4" w:rsidRDefault="002D49E4" w:rsidP="003B3A05">
      <w:pPr>
        <w:contextualSpacing/>
        <w:rPr>
          <w:rFonts w:eastAsia="Calibri"/>
        </w:rPr>
      </w:pPr>
    </w:p>
    <w:p w14:paraId="11BE8567" w14:textId="77777777" w:rsidR="003B3A05" w:rsidRPr="006E6324" w:rsidRDefault="003B3A05" w:rsidP="003B3A05">
      <w:pPr>
        <w:contextualSpacing/>
        <w:rPr>
          <w:rFonts w:eastAsia="Calibri"/>
        </w:rPr>
      </w:pPr>
      <w:r>
        <w:rPr>
          <w:rFonts w:eastAsia="Calibri"/>
        </w:rPr>
        <w:t>The provision of information may incidentally require the provision of personal information, for example, the identification of the person in charge or operator</w:t>
      </w:r>
      <w:r w:rsidRPr="006E6324">
        <w:rPr>
          <w:rFonts w:eastAsia="Calibri"/>
        </w:rPr>
        <w:t xml:space="preserve">. </w:t>
      </w:r>
      <w:r w:rsidR="00A12B2A">
        <w:rPr>
          <w:rFonts w:eastAsia="Calibri"/>
        </w:rPr>
        <w:t>T</w:t>
      </w:r>
      <w:r w:rsidR="00A33A47" w:rsidRPr="006E6324">
        <w:rPr>
          <w:rFonts w:eastAsia="Calibri"/>
        </w:rPr>
        <w:t>he collection of information is necessary</w:t>
      </w:r>
      <w:r w:rsidR="00A33A47">
        <w:rPr>
          <w:rFonts w:eastAsia="Calibri"/>
        </w:rPr>
        <w:t xml:space="preserve"> for the legitimate objective of</w:t>
      </w:r>
      <w:r w:rsidR="00A33A47" w:rsidRPr="006E6324">
        <w:rPr>
          <w:rFonts w:eastAsia="Calibri"/>
        </w:rPr>
        <w:t xml:space="preserve"> assessing the level of biosecurity risk associated with </w:t>
      </w:r>
      <w:r w:rsidR="00A33A47">
        <w:rPr>
          <w:rFonts w:eastAsia="Calibri"/>
        </w:rPr>
        <w:t>the installation or petroleum industry vessel</w:t>
      </w:r>
      <w:r w:rsidR="00A12B2A">
        <w:rPr>
          <w:rFonts w:eastAsia="Calibri"/>
        </w:rPr>
        <w:t xml:space="preserve">. However, </w:t>
      </w:r>
      <w:r w:rsidR="00A33A47">
        <w:rPr>
          <w:rFonts w:eastAsia="Calibri"/>
        </w:rPr>
        <w:t>t</w:t>
      </w:r>
      <w:r w:rsidR="0053083A">
        <w:rPr>
          <w:rFonts w:eastAsia="Calibri"/>
        </w:rPr>
        <w:t>his</w:t>
      </w:r>
      <w:r w:rsidR="007063E1">
        <w:rPr>
          <w:rFonts w:eastAsia="Calibri"/>
        </w:rPr>
        <w:t xml:space="preserve"> information is to be provided on a voluntary basis</w:t>
      </w:r>
      <w:r w:rsidR="006514F2">
        <w:rPr>
          <w:rFonts w:eastAsia="Calibri"/>
        </w:rPr>
        <w:t xml:space="preserve"> </w:t>
      </w:r>
      <w:r w:rsidR="007063E1">
        <w:rPr>
          <w:rFonts w:eastAsia="Calibri"/>
        </w:rPr>
        <w:t>as</w:t>
      </w:r>
      <w:r w:rsidR="00A12B2A">
        <w:rPr>
          <w:rFonts w:eastAsia="Calibri"/>
        </w:rPr>
        <w:t xml:space="preserve"> the </w:t>
      </w:r>
      <w:r w:rsidR="00A12B2A">
        <w:t xml:space="preserve">person in charge or operator of an installation or petroleum industry vessel </w:t>
      </w:r>
      <w:r w:rsidR="002D49E4">
        <w:rPr>
          <w:rFonts w:eastAsia="Calibri"/>
        </w:rPr>
        <w:t>is</w:t>
      </w:r>
      <w:r w:rsidR="007063E1">
        <w:rPr>
          <w:rFonts w:eastAsia="Calibri"/>
        </w:rPr>
        <w:t xml:space="preserve"> not obligated to meet the circumstance under subsection 6(3) in order to conduct their business.</w:t>
      </w:r>
      <w:r w:rsidR="005F68D5">
        <w:rPr>
          <w:rFonts w:eastAsia="Calibri"/>
        </w:rPr>
        <w:t xml:space="preserve"> </w:t>
      </w:r>
      <w:r w:rsidR="002D49E4">
        <w:rPr>
          <w:rFonts w:eastAsia="Calibri"/>
        </w:rPr>
        <w:t>However, m</w:t>
      </w:r>
      <w:r w:rsidR="005F68D5">
        <w:rPr>
          <w:rFonts w:eastAsia="Calibri"/>
        </w:rPr>
        <w:t>eeting this circumstan</w:t>
      </w:r>
      <w:r w:rsidR="00DC1A8F">
        <w:rPr>
          <w:rFonts w:eastAsia="Calibri"/>
        </w:rPr>
        <w:t>ce will provide a benefit to businesses by minimising regulatory burden on conveyances that are servicing</w:t>
      </w:r>
      <w:r w:rsidR="002D49E4">
        <w:rPr>
          <w:rFonts w:eastAsia="Calibri"/>
        </w:rPr>
        <w:t xml:space="preserve"> the</w:t>
      </w:r>
      <w:r w:rsidR="005F68D5">
        <w:rPr>
          <w:rFonts w:eastAsia="Calibri"/>
        </w:rPr>
        <w:t xml:space="preserve"> installation or petroleum industry vessel.</w:t>
      </w:r>
    </w:p>
    <w:p w14:paraId="55108D4B" w14:textId="77777777" w:rsidR="00F550F1" w:rsidRDefault="00F550F1" w:rsidP="005712F5">
      <w:pPr>
        <w:rPr>
          <w:lang w:val="en-GB"/>
        </w:rPr>
      </w:pPr>
    </w:p>
    <w:p w14:paraId="77095E05" w14:textId="77777777" w:rsidR="00F550F1" w:rsidRPr="00767FD7" w:rsidRDefault="00F550F1" w:rsidP="005712F5">
      <w:pPr>
        <w:rPr>
          <w:b/>
          <w:lang w:val="en-GB"/>
        </w:rPr>
      </w:pPr>
      <w:r w:rsidRPr="00767FD7">
        <w:rPr>
          <w:b/>
          <w:lang w:val="en-GB"/>
        </w:rPr>
        <w:lastRenderedPageBreak/>
        <w:t>Conclusion</w:t>
      </w:r>
    </w:p>
    <w:p w14:paraId="3D68D59C" w14:textId="77777777" w:rsidR="00F550F1" w:rsidRDefault="00F550F1" w:rsidP="005712F5">
      <w:pPr>
        <w:rPr>
          <w:lang w:val="en-GB"/>
        </w:rPr>
      </w:pPr>
    </w:p>
    <w:p w14:paraId="79D79BCF" w14:textId="77777777" w:rsidR="003B3A05" w:rsidRPr="006E6324" w:rsidRDefault="003B3A05" w:rsidP="003B3A05">
      <w:pPr>
        <w:contextualSpacing/>
      </w:pPr>
      <w:r w:rsidRPr="006E6324">
        <w:t xml:space="preserve">This Legislative Instrument is compatible with human rights because </w:t>
      </w:r>
      <w:r w:rsidRPr="006E6324">
        <w:rPr>
          <w:lang w:val="en-GB"/>
        </w:rPr>
        <w:t xml:space="preserve">to the extent that it may limit human rights, those limitations are reasonable, necessary and </w:t>
      </w:r>
      <w:r w:rsidRPr="006E6324">
        <w:t>proportionate.</w:t>
      </w:r>
    </w:p>
    <w:p w14:paraId="5F8141BE" w14:textId="77777777" w:rsidR="00F550F1" w:rsidRDefault="00F550F1" w:rsidP="005712F5">
      <w:pPr>
        <w:rPr>
          <w:lang w:val="en-GB"/>
        </w:rPr>
      </w:pPr>
    </w:p>
    <w:p w14:paraId="7CC40570" w14:textId="77777777" w:rsidR="00F550F1" w:rsidRPr="00BE6861" w:rsidRDefault="00F550F1" w:rsidP="00F550F1">
      <w:pPr>
        <w:contextualSpacing/>
        <w:jc w:val="center"/>
        <w:rPr>
          <w:b/>
          <w:bCs/>
        </w:rPr>
      </w:pPr>
      <w:r>
        <w:rPr>
          <w:b/>
          <w:bCs/>
        </w:rPr>
        <w:t>Daryl Quinlivan</w:t>
      </w:r>
    </w:p>
    <w:p w14:paraId="07119DB7" w14:textId="77777777" w:rsidR="00F550F1" w:rsidRPr="0031091C" w:rsidRDefault="00613722" w:rsidP="00F550F1">
      <w:pPr>
        <w:contextualSpacing/>
        <w:jc w:val="center"/>
        <w:rPr>
          <w:b/>
          <w:bCs/>
        </w:rPr>
      </w:pPr>
      <w:r>
        <w:rPr>
          <w:b/>
          <w:bCs/>
        </w:rPr>
        <w:t>Director of Biosecurity</w:t>
      </w:r>
    </w:p>
    <w:p w14:paraId="49DC2B0E" w14:textId="77777777" w:rsidR="005C3B05" w:rsidRDefault="005C3B05"/>
    <w:sectPr w:rsidR="005C3B05" w:rsidSect="005C3B05">
      <w:footerReference w:type="default" r:id="rId9"/>
      <w:headerReference w:type="first" r:id="rId10"/>
      <w:pgSz w:w="11906" w:h="16838"/>
      <w:pgMar w:top="1440" w:right="1247" w:bottom="1440" w:left="1191" w:header="709" w:footer="709" w:gutter="17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EEE6" w14:textId="77777777" w:rsidR="00627299" w:rsidRDefault="00627299">
      <w:r>
        <w:separator/>
      </w:r>
    </w:p>
  </w:endnote>
  <w:endnote w:type="continuationSeparator" w:id="0">
    <w:p w14:paraId="44A85B3E" w14:textId="77777777" w:rsidR="00627299" w:rsidRDefault="0062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80706"/>
      <w:docPartObj>
        <w:docPartGallery w:val="Page Numbers (Bottom of Page)"/>
        <w:docPartUnique/>
      </w:docPartObj>
    </w:sdtPr>
    <w:sdtEndPr>
      <w:rPr>
        <w:sz w:val="18"/>
        <w:szCs w:val="18"/>
      </w:rPr>
    </w:sdtEndPr>
    <w:sdtContent>
      <w:p w14:paraId="53FEC6E7" w14:textId="77777777" w:rsidR="005712F5" w:rsidRDefault="005712F5">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CF7F7B">
          <w:rPr>
            <w:noProof/>
            <w:sz w:val="18"/>
            <w:szCs w:val="18"/>
          </w:rPr>
          <w:t>12</w:t>
        </w:r>
        <w:r>
          <w:rPr>
            <w:sz w:val="18"/>
            <w:szCs w:val="18"/>
          </w:rPr>
          <w:fldChar w:fldCharType="end"/>
        </w:r>
      </w:p>
    </w:sdtContent>
  </w:sdt>
  <w:p w14:paraId="70218094" w14:textId="77777777" w:rsidR="005712F5" w:rsidRDefault="005712F5">
    <w:pPr>
      <w:pStyle w:val="Footer"/>
      <w:tabs>
        <w:tab w:val="left" w:pos="4388"/>
        <w:tab w:val="center" w:pos="4649"/>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EFFAD" w14:textId="77777777" w:rsidR="00627299" w:rsidRDefault="00627299">
      <w:r>
        <w:separator/>
      </w:r>
    </w:p>
  </w:footnote>
  <w:footnote w:type="continuationSeparator" w:id="0">
    <w:p w14:paraId="62C5AA95" w14:textId="77777777" w:rsidR="00627299" w:rsidRDefault="0062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C10C" w14:textId="77777777" w:rsidR="005712F5" w:rsidRDefault="005712F5">
    <w:pPr>
      <w:pStyle w:val="Header"/>
      <w:jc w:val="center"/>
    </w:pPr>
  </w:p>
  <w:p w14:paraId="31F1F0FB" w14:textId="77777777" w:rsidR="005712F5" w:rsidRDefault="00571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 w15:restartNumberingAfterBreak="0">
    <w:nsid w:val="0B416D3C"/>
    <w:multiLevelType w:val="hybridMultilevel"/>
    <w:tmpl w:val="AAA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F16B8"/>
    <w:multiLevelType w:val="hybridMultilevel"/>
    <w:tmpl w:val="6A14018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1162028C"/>
    <w:multiLevelType w:val="hybridMultilevel"/>
    <w:tmpl w:val="D8747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000ECE"/>
    <w:multiLevelType w:val="hybridMultilevel"/>
    <w:tmpl w:val="38520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F6394"/>
    <w:multiLevelType w:val="hybridMultilevel"/>
    <w:tmpl w:val="F814D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90CA5"/>
    <w:multiLevelType w:val="hybridMultilevel"/>
    <w:tmpl w:val="4BC8BB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7DC1F9C"/>
    <w:multiLevelType w:val="hybridMultilevel"/>
    <w:tmpl w:val="AD9C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6187A"/>
    <w:multiLevelType w:val="hybridMultilevel"/>
    <w:tmpl w:val="47588954"/>
    <w:lvl w:ilvl="0" w:tplc="60D061AA">
      <w:start w:val="1"/>
      <w:numFmt w:val="lowerLetter"/>
      <w:lvlText w:val="(%1)"/>
      <w:lvlJc w:val="left"/>
      <w:pPr>
        <w:ind w:left="390" w:hanging="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9F6C76"/>
    <w:multiLevelType w:val="hybridMultilevel"/>
    <w:tmpl w:val="6B7CE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D4AC5"/>
    <w:multiLevelType w:val="hybridMultilevel"/>
    <w:tmpl w:val="5CDA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BB481B"/>
    <w:multiLevelType w:val="hybridMultilevel"/>
    <w:tmpl w:val="DA381DF8"/>
    <w:lvl w:ilvl="0" w:tplc="E9F885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17469F"/>
    <w:multiLevelType w:val="hybridMultilevel"/>
    <w:tmpl w:val="FEE894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65456429"/>
    <w:multiLevelType w:val="multilevel"/>
    <w:tmpl w:val="CB58864E"/>
    <w:lvl w:ilvl="0">
      <w:start w:val="1"/>
      <w:numFmt w:val="decimal"/>
      <w:pStyle w:val="ListNumber2"/>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60153D7"/>
    <w:multiLevelType w:val="hybridMultilevel"/>
    <w:tmpl w:val="4118BC9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798A0056"/>
    <w:multiLevelType w:val="hybridMultilevel"/>
    <w:tmpl w:val="2260FF1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7"/>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5"/>
  </w:num>
  <w:num w:numId="7">
    <w:abstractNumId w:val="11"/>
  </w:num>
  <w:num w:numId="8">
    <w:abstractNumId w:val="0"/>
  </w:num>
  <w:num w:numId="9">
    <w:abstractNumId w:val="12"/>
  </w:num>
  <w:num w:numId="10">
    <w:abstractNumId w:val="9"/>
  </w:num>
  <w:num w:numId="11">
    <w:abstractNumId w:val="4"/>
  </w:num>
  <w:num w:numId="12">
    <w:abstractNumId w:val="10"/>
  </w:num>
  <w:num w:numId="13">
    <w:abstractNumId w:val="1"/>
  </w:num>
  <w:num w:numId="14">
    <w:abstractNumId w:val="15"/>
  </w:num>
  <w:num w:numId="15">
    <w:abstractNumId w:val="6"/>
  </w:num>
  <w:num w:numId="16">
    <w:abstractNumId w:val="1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5"/>
    <w:rsid w:val="00012D13"/>
    <w:rsid w:val="000333A5"/>
    <w:rsid w:val="000341D5"/>
    <w:rsid w:val="00035351"/>
    <w:rsid w:val="000366FB"/>
    <w:rsid w:val="000616FA"/>
    <w:rsid w:val="0006673F"/>
    <w:rsid w:val="000767C2"/>
    <w:rsid w:val="00080FAF"/>
    <w:rsid w:val="00085AFF"/>
    <w:rsid w:val="00085E23"/>
    <w:rsid w:val="00092746"/>
    <w:rsid w:val="000949B7"/>
    <w:rsid w:val="000A000F"/>
    <w:rsid w:val="000A381C"/>
    <w:rsid w:val="000A3E5D"/>
    <w:rsid w:val="000A56CE"/>
    <w:rsid w:val="000A71A0"/>
    <w:rsid w:val="000A7E73"/>
    <w:rsid w:val="000B031B"/>
    <w:rsid w:val="000D200D"/>
    <w:rsid w:val="000D2C39"/>
    <w:rsid w:val="000D4055"/>
    <w:rsid w:val="000D4CB5"/>
    <w:rsid w:val="000D703B"/>
    <w:rsid w:val="000E7FB1"/>
    <w:rsid w:val="001028B5"/>
    <w:rsid w:val="00110CAC"/>
    <w:rsid w:val="00110DF1"/>
    <w:rsid w:val="0011114F"/>
    <w:rsid w:val="001129DB"/>
    <w:rsid w:val="00113A5C"/>
    <w:rsid w:val="00141919"/>
    <w:rsid w:val="00145BF2"/>
    <w:rsid w:val="001503EF"/>
    <w:rsid w:val="001528AA"/>
    <w:rsid w:val="0015786E"/>
    <w:rsid w:val="00162304"/>
    <w:rsid w:val="001828B3"/>
    <w:rsid w:val="00196FBF"/>
    <w:rsid w:val="001A14DE"/>
    <w:rsid w:val="001A1C42"/>
    <w:rsid w:val="001D0F3E"/>
    <w:rsid w:val="001D14B5"/>
    <w:rsid w:val="001E24C6"/>
    <w:rsid w:val="001F0523"/>
    <w:rsid w:val="001F1433"/>
    <w:rsid w:val="001F16E9"/>
    <w:rsid w:val="001F5433"/>
    <w:rsid w:val="002000EF"/>
    <w:rsid w:val="00205E2E"/>
    <w:rsid w:val="0020684C"/>
    <w:rsid w:val="00224150"/>
    <w:rsid w:val="0022538E"/>
    <w:rsid w:val="0022797D"/>
    <w:rsid w:val="00230E43"/>
    <w:rsid w:val="00232BDB"/>
    <w:rsid w:val="00235053"/>
    <w:rsid w:val="00245232"/>
    <w:rsid w:val="00253C90"/>
    <w:rsid w:val="002558B3"/>
    <w:rsid w:val="00266698"/>
    <w:rsid w:val="00275013"/>
    <w:rsid w:val="00276245"/>
    <w:rsid w:val="002809E3"/>
    <w:rsid w:val="00292334"/>
    <w:rsid w:val="002C1E88"/>
    <w:rsid w:val="002C211B"/>
    <w:rsid w:val="002C6D99"/>
    <w:rsid w:val="002D49C6"/>
    <w:rsid w:val="002D49E4"/>
    <w:rsid w:val="002D5A07"/>
    <w:rsid w:val="002E7E07"/>
    <w:rsid w:val="002F3D5C"/>
    <w:rsid w:val="003051F2"/>
    <w:rsid w:val="003139F2"/>
    <w:rsid w:val="00316247"/>
    <w:rsid w:val="003179C0"/>
    <w:rsid w:val="00324623"/>
    <w:rsid w:val="00335887"/>
    <w:rsid w:val="00335FDD"/>
    <w:rsid w:val="0033695C"/>
    <w:rsid w:val="00342A51"/>
    <w:rsid w:val="00344474"/>
    <w:rsid w:val="00346A52"/>
    <w:rsid w:val="0035057D"/>
    <w:rsid w:val="00350D3B"/>
    <w:rsid w:val="00351CBD"/>
    <w:rsid w:val="003550BB"/>
    <w:rsid w:val="00355F96"/>
    <w:rsid w:val="003576D8"/>
    <w:rsid w:val="00385A12"/>
    <w:rsid w:val="003B3A05"/>
    <w:rsid w:val="003C32FE"/>
    <w:rsid w:val="003C460D"/>
    <w:rsid w:val="003D12ED"/>
    <w:rsid w:val="003D1BBA"/>
    <w:rsid w:val="003D3452"/>
    <w:rsid w:val="003E0D04"/>
    <w:rsid w:val="003E5135"/>
    <w:rsid w:val="003F32E5"/>
    <w:rsid w:val="003F5D07"/>
    <w:rsid w:val="0040234E"/>
    <w:rsid w:val="00405099"/>
    <w:rsid w:val="0041024B"/>
    <w:rsid w:val="004343D5"/>
    <w:rsid w:val="00440FDB"/>
    <w:rsid w:val="00450B49"/>
    <w:rsid w:val="0045106A"/>
    <w:rsid w:val="004515CD"/>
    <w:rsid w:val="004542B6"/>
    <w:rsid w:val="004635BA"/>
    <w:rsid w:val="004671FA"/>
    <w:rsid w:val="00467908"/>
    <w:rsid w:val="00472AB0"/>
    <w:rsid w:val="00476404"/>
    <w:rsid w:val="00486D63"/>
    <w:rsid w:val="004940EC"/>
    <w:rsid w:val="00494C05"/>
    <w:rsid w:val="00494F26"/>
    <w:rsid w:val="00496A9F"/>
    <w:rsid w:val="004B585E"/>
    <w:rsid w:val="004C135C"/>
    <w:rsid w:val="004C5ABE"/>
    <w:rsid w:val="004C5E25"/>
    <w:rsid w:val="004D1FC9"/>
    <w:rsid w:val="004E175E"/>
    <w:rsid w:val="004E3154"/>
    <w:rsid w:val="004F389B"/>
    <w:rsid w:val="00506047"/>
    <w:rsid w:val="00511352"/>
    <w:rsid w:val="00512A13"/>
    <w:rsid w:val="0051512A"/>
    <w:rsid w:val="0052527B"/>
    <w:rsid w:val="0053083A"/>
    <w:rsid w:val="00553DA1"/>
    <w:rsid w:val="005712F5"/>
    <w:rsid w:val="00574EF4"/>
    <w:rsid w:val="00576982"/>
    <w:rsid w:val="00585E1E"/>
    <w:rsid w:val="00593575"/>
    <w:rsid w:val="00594084"/>
    <w:rsid w:val="00594182"/>
    <w:rsid w:val="00594DEF"/>
    <w:rsid w:val="005A3A91"/>
    <w:rsid w:val="005A46D6"/>
    <w:rsid w:val="005A74D1"/>
    <w:rsid w:val="005C3B05"/>
    <w:rsid w:val="005C744D"/>
    <w:rsid w:val="005D0B24"/>
    <w:rsid w:val="005D1F0E"/>
    <w:rsid w:val="005D4543"/>
    <w:rsid w:val="005E026B"/>
    <w:rsid w:val="005F68D5"/>
    <w:rsid w:val="005F69E5"/>
    <w:rsid w:val="00601CC6"/>
    <w:rsid w:val="00602313"/>
    <w:rsid w:val="006026F1"/>
    <w:rsid w:val="00613722"/>
    <w:rsid w:val="00615639"/>
    <w:rsid w:val="00627299"/>
    <w:rsid w:val="006335FC"/>
    <w:rsid w:val="00640264"/>
    <w:rsid w:val="00642C17"/>
    <w:rsid w:val="00646B68"/>
    <w:rsid w:val="006514F2"/>
    <w:rsid w:val="00664F6E"/>
    <w:rsid w:val="006651B0"/>
    <w:rsid w:val="00680B00"/>
    <w:rsid w:val="006815CE"/>
    <w:rsid w:val="00692DCC"/>
    <w:rsid w:val="00697E31"/>
    <w:rsid w:val="006A2764"/>
    <w:rsid w:val="006A62F2"/>
    <w:rsid w:val="006C2A37"/>
    <w:rsid w:val="006D2884"/>
    <w:rsid w:val="006E070D"/>
    <w:rsid w:val="006E37AA"/>
    <w:rsid w:val="006E38CE"/>
    <w:rsid w:val="006E5655"/>
    <w:rsid w:val="006F1D0E"/>
    <w:rsid w:val="00704E65"/>
    <w:rsid w:val="007063E1"/>
    <w:rsid w:val="007132F6"/>
    <w:rsid w:val="00716A1F"/>
    <w:rsid w:val="00721399"/>
    <w:rsid w:val="00726EA6"/>
    <w:rsid w:val="00740C52"/>
    <w:rsid w:val="00762874"/>
    <w:rsid w:val="00767FD7"/>
    <w:rsid w:val="00773A72"/>
    <w:rsid w:val="00790F52"/>
    <w:rsid w:val="00795C06"/>
    <w:rsid w:val="0079648A"/>
    <w:rsid w:val="007965CD"/>
    <w:rsid w:val="00796C61"/>
    <w:rsid w:val="007A1FC0"/>
    <w:rsid w:val="007A6AB2"/>
    <w:rsid w:val="007B1EC9"/>
    <w:rsid w:val="007C2229"/>
    <w:rsid w:val="007C25AF"/>
    <w:rsid w:val="007C78A7"/>
    <w:rsid w:val="007F03B1"/>
    <w:rsid w:val="007F1DA9"/>
    <w:rsid w:val="007F44C6"/>
    <w:rsid w:val="0080269A"/>
    <w:rsid w:val="008079CB"/>
    <w:rsid w:val="00822D3B"/>
    <w:rsid w:val="008260DE"/>
    <w:rsid w:val="00826F70"/>
    <w:rsid w:val="008334B9"/>
    <w:rsid w:val="0085482B"/>
    <w:rsid w:val="00860ADE"/>
    <w:rsid w:val="00862FD5"/>
    <w:rsid w:val="00864765"/>
    <w:rsid w:val="00874653"/>
    <w:rsid w:val="0087589F"/>
    <w:rsid w:val="00877D11"/>
    <w:rsid w:val="00883C40"/>
    <w:rsid w:val="0089090D"/>
    <w:rsid w:val="0089157C"/>
    <w:rsid w:val="00892993"/>
    <w:rsid w:val="00892D7B"/>
    <w:rsid w:val="00892E90"/>
    <w:rsid w:val="008A0C49"/>
    <w:rsid w:val="008A1EF2"/>
    <w:rsid w:val="008A21A8"/>
    <w:rsid w:val="008B0575"/>
    <w:rsid w:val="008C340E"/>
    <w:rsid w:val="008C34A5"/>
    <w:rsid w:val="008D1E75"/>
    <w:rsid w:val="008D3229"/>
    <w:rsid w:val="008D64E5"/>
    <w:rsid w:val="008F11CC"/>
    <w:rsid w:val="008F1B59"/>
    <w:rsid w:val="008F52D2"/>
    <w:rsid w:val="00914D48"/>
    <w:rsid w:val="009203EC"/>
    <w:rsid w:val="0092788F"/>
    <w:rsid w:val="0093196C"/>
    <w:rsid w:val="00932A10"/>
    <w:rsid w:val="00941994"/>
    <w:rsid w:val="00944927"/>
    <w:rsid w:val="00963773"/>
    <w:rsid w:val="00970456"/>
    <w:rsid w:val="00971462"/>
    <w:rsid w:val="0097445F"/>
    <w:rsid w:val="00982C96"/>
    <w:rsid w:val="00990532"/>
    <w:rsid w:val="009946D0"/>
    <w:rsid w:val="00995E5E"/>
    <w:rsid w:val="009A1CE3"/>
    <w:rsid w:val="009B1496"/>
    <w:rsid w:val="009B1823"/>
    <w:rsid w:val="009C63A7"/>
    <w:rsid w:val="009D3245"/>
    <w:rsid w:val="009D4718"/>
    <w:rsid w:val="009E623C"/>
    <w:rsid w:val="00A01BB3"/>
    <w:rsid w:val="00A01DCC"/>
    <w:rsid w:val="00A03F98"/>
    <w:rsid w:val="00A04434"/>
    <w:rsid w:val="00A046EE"/>
    <w:rsid w:val="00A07008"/>
    <w:rsid w:val="00A1269E"/>
    <w:rsid w:val="00A12B2A"/>
    <w:rsid w:val="00A12E7C"/>
    <w:rsid w:val="00A1546C"/>
    <w:rsid w:val="00A16CAD"/>
    <w:rsid w:val="00A203DA"/>
    <w:rsid w:val="00A30D1C"/>
    <w:rsid w:val="00A3225E"/>
    <w:rsid w:val="00A32CA3"/>
    <w:rsid w:val="00A33A47"/>
    <w:rsid w:val="00A45C52"/>
    <w:rsid w:val="00A52710"/>
    <w:rsid w:val="00A54597"/>
    <w:rsid w:val="00A559CE"/>
    <w:rsid w:val="00A6321E"/>
    <w:rsid w:val="00A64691"/>
    <w:rsid w:val="00A66AE0"/>
    <w:rsid w:val="00A751E4"/>
    <w:rsid w:val="00A86672"/>
    <w:rsid w:val="00AB1EE0"/>
    <w:rsid w:val="00AB73AE"/>
    <w:rsid w:val="00AC1224"/>
    <w:rsid w:val="00AC310E"/>
    <w:rsid w:val="00AC40EB"/>
    <w:rsid w:val="00AD2A08"/>
    <w:rsid w:val="00AD34E5"/>
    <w:rsid w:val="00AD3D12"/>
    <w:rsid w:val="00AD43DF"/>
    <w:rsid w:val="00AD46EB"/>
    <w:rsid w:val="00AD689D"/>
    <w:rsid w:val="00AE4AFA"/>
    <w:rsid w:val="00AE5E2F"/>
    <w:rsid w:val="00AF21AD"/>
    <w:rsid w:val="00B03B24"/>
    <w:rsid w:val="00B05B10"/>
    <w:rsid w:val="00B05C12"/>
    <w:rsid w:val="00B060A2"/>
    <w:rsid w:val="00B22ACF"/>
    <w:rsid w:val="00B24BE2"/>
    <w:rsid w:val="00B25AA6"/>
    <w:rsid w:val="00B45C24"/>
    <w:rsid w:val="00B45DEE"/>
    <w:rsid w:val="00B55DAE"/>
    <w:rsid w:val="00B57794"/>
    <w:rsid w:val="00B62569"/>
    <w:rsid w:val="00B7116F"/>
    <w:rsid w:val="00B739FA"/>
    <w:rsid w:val="00B83A5A"/>
    <w:rsid w:val="00B853AC"/>
    <w:rsid w:val="00B86B3F"/>
    <w:rsid w:val="00B86C53"/>
    <w:rsid w:val="00B972AC"/>
    <w:rsid w:val="00BA42E0"/>
    <w:rsid w:val="00BB2955"/>
    <w:rsid w:val="00BC1DC5"/>
    <w:rsid w:val="00BD5427"/>
    <w:rsid w:val="00BD5997"/>
    <w:rsid w:val="00BD59BA"/>
    <w:rsid w:val="00BD79A5"/>
    <w:rsid w:val="00BF7381"/>
    <w:rsid w:val="00C219EE"/>
    <w:rsid w:val="00C31A45"/>
    <w:rsid w:val="00C3497F"/>
    <w:rsid w:val="00C34CC6"/>
    <w:rsid w:val="00C35507"/>
    <w:rsid w:val="00C36A7F"/>
    <w:rsid w:val="00C36FD6"/>
    <w:rsid w:val="00C404FF"/>
    <w:rsid w:val="00C5300A"/>
    <w:rsid w:val="00C57074"/>
    <w:rsid w:val="00C7556D"/>
    <w:rsid w:val="00C81C16"/>
    <w:rsid w:val="00C84C7C"/>
    <w:rsid w:val="00C90852"/>
    <w:rsid w:val="00C91DDE"/>
    <w:rsid w:val="00C9280A"/>
    <w:rsid w:val="00C95002"/>
    <w:rsid w:val="00C9604B"/>
    <w:rsid w:val="00C965F3"/>
    <w:rsid w:val="00C974D5"/>
    <w:rsid w:val="00CA6A90"/>
    <w:rsid w:val="00CB0EA0"/>
    <w:rsid w:val="00CB39BC"/>
    <w:rsid w:val="00CB4DE7"/>
    <w:rsid w:val="00CB5E46"/>
    <w:rsid w:val="00CB6D9C"/>
    <w:rsid w:val="00CC2E0B"/>
    <w:rsid w:val="00CC6817"/>
    <w:rsid w:val="00CD4621"/>
    <w:rsid w:val="00CE2F6F"/>
    <w:rsid w:val="00CE743A"/>
    <w:rsid w:val="00CF7F7B"/>
    <w:rsid w:val="00D066E0"/>
    <w:rsid w:val="00D10FD7"/>
    <w:rsid w:val="00D215E9"/>
    <w:rsid w:val="00D34640"/>
    <w:rsid w:val="00D458A4"/>
    <w:rsid w:val="00D466B1"/>
    <w:rsid w:val="00D5399F"/>
    <w:rsid w:val="00D55F8B"/>
    <w:rsid w:val="00D7452E"/>
    <w:rsid w:val="00D84E49"/>
    <w:rsid w:val="00D971E3"/>
    <w:rsid w:val="00DA5FBA"/>
    <w:rsid w:val="00DC0782"/>
    <w:rsid w:val="00DC1A8F"/>
    <w:rsid w:val="00DD6D64"/>
    <w:rsid w:val="00DE580A"/>
    <w:rsid w:val="00DF0440"/>
    <w:rsid w:val="00DF12A3"/>
    <w:rsid w:val="00DF733E"/>
    <w:rsid w:val="00E03925"/>
    <w:rsid w:val="00E11804"/>
    <w:rsid w:val="00E20198"/>
    <w:rsid w:val="00E204D1"/>
    <w:rsid w:val="00E2318D"/>
    <w:rsid w:val="00E26615"/>
    <w:rsid w:val="00E32DBB"/>
    <w:rsid w:val="00E44509"/>
    <w:rsid w:val="00E532C9"/>
    <w:rsid w:val="00E54435"/>
    <w:rsid w:val="00E560B5"/>
    <w:rsid w:val="00E810F5"/>
    <w:rsid w:val="00E8183C"/>
    <w:rsid w:val="00E93294"/>
    <w:rsid w:val="00E9404E"/>
    <w:rsid w:val="00E97F47"/>
    <w:rsid w:val="00EA1F96"/>
    <w:rsid w:val="00EA3202"/>
    <w:rsid w:val="00EA5DA5"/>
    <w:rsid w:val="00EB14C1"/>
    <w:rsid w:val="00EB65E1"/>
    <w:rsid w:val="00EB725D"/>
    <w:rsid w:val="00ED0307"/>
    <w:rsid w:val="00EE30A8"/>
    <w:rsid w:val="00EE4F8C"/>
    <w:rsid w:val="00EE58B1"/>
    <w:rsid w:val="00EF0A22"/>
    <w:rsid w:val="00EF6B3D"/>
    <w:rsid w:val="00EF722C"/>
    <w:rsid w:val="00F02160"/>
    <w:rsid w:val="00F17FC3"/>
    <w:rsid w:val="00F2363D"/>
    <w:rsid w:val="00F23990"/>
    <w:rsid w:val="00F3148C"/>
    <w:rsid w:val="00F34751"/>
    <w:rsid w:val="00F37DB9"/>
    <w:rsid w:val="00F44D5D"/>
    <w:rsid w:val="00F550F1"/>
    <w:rsid w:val="00F561F9"/>
    <w:rsid w:val="00F60C2E"/>
    <w:rsid w:val="00F62BB1"/>
    <w:rsid w:val="00F65629"/>
    <w:rsid w:val="00F70E01"/>
    <w:rsid w:val="00F74812"/>
    <w:rsid w:val="00FB7C8A"/>
    <w:rsid w:val="00FD3827"/>
    <w:rsid w:val="00FF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D4BEA7"/>
  <w15:docId w15:val="{1FAAC24B-CE54-4F84-A204-4F8BF00D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05"/>
    <w:pPr>
      <w:spacing w:before="100" w:beforeAutospacing="1" w:after="100" w:afterAutospacing="1"/>
    </w:pPr>
    <w:rPr>
      <w:rFonts w:ascii="Arial" w:eastAsia="Arial Unicode MS" w:hAnsi="Arial" w:cs="Arial"/>
      <w:sz w:val="20"/>
      <w:szCs w:val="20"/>
    </w:rPr>
  </w:style>
  <w:style w:type="paragraph" w:customStyle="1" w:styleId="paragraph">
    <w:name w:val="paragraph"/>
    <w:aliases w:val="a"/>
    <w:basedOn w:val="Normal"/>
    <w:rsid w:val="005C3B05"/>
    <w:pPr>
      <w:tabs>
        <w:tab w:val="right" w:pos="1531"/>
      </w:tabs>
      <w:spacing w:before="40"/>
      <w:ind w:left="1644" w:hanging="1644"/>
    </w:pPr>
    <w:rPr>
      <w:sz w:val="22"/>
      <w:szCs w:val="20"/>
      <w:lang w:eastAsia="en-AU"/>
    </w:rPr>
  </w:style>
  <w:style w:type="paragraph" w:customStyle="1" w:styleId="BodyText1">
    <w:name w:val="Body Text1"/>
    <w:basedOn w:val="Normal"/>
    <w:qFormat/>
    <w:rsid w:val="005C3B05"/>
    <w:pPr>
      <w:spacing w:after="200" w:line="260" w:lineRule="exact"/>
    </w:pPr>
    <w:rPr>
      <w:rFonts w:ascii="Arial" w:hAnsi="Arial"/>
      <w:sz w:val="22"/>
    </w:rPr>
  </w:style>
  <w:style w:type="paragraph" w:styleId="ListNumber">
    <w:name w:val="List Number"/>
    <w:basedOn w:val="Normal"/>
    <w:autoRedefine/>
    <w:uiPriority w:val="99"/>
    <w:qFormat/>
    <w:rsid w:val="005C3B05"/>
    <w:pPr>
      <w:widowControl w:val="0"/>
    </w:pPr>
    <w:rPr>
      <w:rFonts w:eastAsia="Calibri"/>
      <w:lang w:val="en-GB"/>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5C3B05"/>
    <w:pPr>
      <w:ind w:left="720"/>
      <w:contextualSpacing/>
    </w:pPr>
    <w:rPr>
      <w:rFonts w:ascii="Calibri" w:hAnsi="Calibri"/>
      <w:sz w:val="22"/>
    </w:rPr>
  </w:style>
  <w:style w:type="paragraph" w:customStyle="1" w:styleId="Normal-em">
    <w:name w:val="Normal-em"/>
    <w:basedOn w:val="Normal"/>
    <w:rsid w:val="005C3B05"/>
    <w:rPr>
      <w:color w:val="000000"/>
      <w:szCs w:val="20"/>
    </w:rPr>
  </w:style>
  <w:style w:type="character" w:styleId="CommentReference">
    <w:name w:val="annotation reference"/>
    <w:basedOn w:val="DefaultParagraphFont"/>
    <w:rsid w:val="005C3B05"/>
    <w:rPr>
      <w:sz w:val="16"/>
      <w:szCs w:val="16"/>
    </w:rPr>
  </w:style>
  <w:style w:type="paragraph" w:styleId="CommentText">
    <w:name w:val="annotation text"/>
    <w:basedOn w:val="Normal"/>
    <w:link w:val="CommentTextChar"/>
    <w:rsid w:val="005C3B05"/>
    <w:rPr>
      <w:sz w:val="20"/>
      <w:szCs w:val="20"/>
    </w:rPr>
  </w:style>
  <w:style w:type="character" w:customStyle="1" w:styleId="CommentTextChar">
    <w:name w:val="Comment Text Char"/>
    <w:basedOn w:val="DefaultParagraphFont"/>
    <w:link w:val="CommentText"/>
    <w:rsid w:val="005C3B05"/>
    <w:rPr>
      <w:sz w:val="20"/>
      <w:szCs w:val="20"/>
      <w:lang w:eastAsia="en-US"/>
    </w:rPr>
  </w:style>
  <w:style w:type="paragraph" w:styleId="CommentSubject">
    <w:name w:val="annotation subject"/>
    <w:basedOn w:val="CommentText"/>
    <w:next w:val="CommentText"/>
    <w:link w:val="CommentSubjectChar"/>
    <w:rsid w:val="005C3B05"/>
    <w:rPr>
      <w:b/>
      <w:bCs/>
    </w:rPr>
  </w:style>
  <w:style w:type="character" w:customStyle="1" w:styleId="CommentSubjectChar">
    <w:name w:val="Comment Subject Char"/>
    <w:basedOn w:val="CommentTextChar"/>
    <w:link w:val="CommentSubject"/>
    <w:rsid w:val="005C3B05"/>
    <w:rPr>
      <w:b/>
      <w:bCs/>
      <w:sz w:val="20"/>
      <w:szCs w:val="20"/>
      <w:lang w:eastAsia="en-US"/>
    </w:rPr>
  </w:style>
  <w:style w:type="paragraph" w:styleId="BalloonText">
    <w:name w:val="Balloon Text"/>
    <w:basedOn w:val="Normal"/>
    <w:link w:val="BalloonTextChar"/>
    <w:uiPriority w:val="99"/>
    <w:rsid w:val="005C3B05"/>
    <w:rPr>
      <w:rFonts w:ascii="Tahoma" w:hAnsi="Tahoma" w:cs="Tahoma"/>
      <w:sz w:val="16"/>
      <w:szCs w:val="16"/>
    </w:rPr>
  </w:style>
  <w:style w:type="character" w:customStyle="1" w:styleId="BalloonTextChar">
    <w:name w:val="Balloon Text Char"/>
    <w:basedOn w:val="DefaultParagraphFont"/>
    <w:link w:val="BalloonText"/>
    <w:uiPriority w:val="99"/>
    <w:rsid w:val="005C3B05"/>
    <w:rPr>
      <w:rFonts w:ascii="Tahoma" w:hAnsi="Tahoma" w:cs="Tahoma"/>
      <w:sz w:val="16"/>
      <w:szCs w:val="16"/>
      <w:lang w:eastAsia="en-US"/>
    </w:rPr>
  </w:style>
  <w:style w:type="paragraph" w:styleId="Header">
    <w:name w:val="header"/>
    <w:basedOn w:val="Normal"/>
    <w:link w:val="HeaderChar"/>
    <w:uiPriority w:val="99"/>
    <w:rsid w:val="005C3B05"/>
    <w:pPr>
      <w:tabs>
        <w:tab w:val="center" w:pos="4513"/>
        <w:tab w:val="right" w:pos="9026"/>
      </w:tabs>
    </w:pPr>
  </w:style>
  <w:style w:type="character" w:customStyle="1" w:styleId="HeaderChar">
    <w:name w:val="Header Char"/>
    <w:basedOn w:val="DefaultParagraphFont"/>
    <w:link w:val="Header"/>
    <w:uiPriority w:val="99"/>
    <w:rsid w:val="005C3B05"/>
    <w:rPr>
      <w:lang w:eastAsia="en-US"/>
    </w:rPr>
  </w:style>
  <w:style w:type="paragraph" w:styleId="Footer">
    <w:name w:val="footer"/>
    <w:basedOn w:val="Normal"/>
    <w:link w:val="FooterChar"/>
    <w:uiPriority w:val="99"/>
    <w:rsid w:val="005C3B05"/>
    <w:pPr>
      <w:tabs>
        <w:tab w:val="center" w:pos="4513"/>
        <w:tab w:val="right" w:pos="9026"/>
      </w:tabs>
    </w:pPr>
  </w:style>
  <w:style w:type="character" w:customStyle="1" w:styleId="FooterChar">
    <w:name w:val="Footer Char"/>
    <w:basedOn w:val="DefaultParagraphFont"/>
    <w:link w:val="Footer"/>
    <w:uiPriority w:val="99"/>
    <w:rsid w:val="005C3B05"/>
    <w:rPr>
      <w:lang w:eastAsia="en-US"/>
    </w:rPr>
  </w:style>
  <w:style w:type="paragraph" w:styleId="ListNumber2">
    <w:name w:val="List Number 2"/>
    <w:basedOn w:val="Normal"/>
    <w:autoRedefine/>
    <w:uiPriority w:val="99"/>
    <w:rsid w:val="005C3B05"/>
    <w:pPr>
      <w:numPr>
        <w:numId w:val="3"/>
      </w:numPr>
      <w:spacing w:after="200"/>
    </w:pPr>
    <w:rPr>
      <w:rFonts w:ascii="Calibri" w:eastAsia="Calibri" w:hAnsi="Calibri"/>
      <w:szCs w:val="22"/>
    </w:rPr>
  </w:style>
  <w:style w:type="paragraph" w:styleId="ListNumber3">
    <w:name w:val="List Number 3"/>
    <w:basedOn w:val="Normal"/>
    <w:uiPriority w:val="99"/>
    <w:rsid w:val="005C3B05"/>
    <w:pPr>
      <w:numPr>
        <w:ilvl w:val="2"/>
        <w:numId w:val="3"/>
      </w:numPr>
      <w:spacing w:after="200"/>
    </w:pPr>
    <w:rPr>
      <w:rFonts w:ascii="Calibri" w:eastAsia="Calibri" w:hAnsi="Calibri"/>
      <w:szCs w:val="22"/>
    </w:rPr>
  </w:style>
  <w:style w:type="paragraph" w:styleId="ListNumber4">
    <w:name w:val="List Number 4"/>
    <w:basedOn w:val="Normal"/>
    <w:uiPriority w:val="99"/>
    <w:rsid w:val="005C3B05"/>
    <w:pPr>
      <w:numPr>
        <w:ilvl w:val="3"/>
        <w:numId w:val="3"/>
      </w:numPr>
      <w:spacing w:after="200"/>
    </w:pPr>
    <w:rPr>
      <w:rFonts w:ascii="Calibri" w:eastAsia="Calibri" w:hAnsi="Calibri"/>
      <w:szCs w:val="22"/>
    </w:rPr>
  </w:style>
  <w:style w:type="paragraph" w:styleId="ListNumber5">
    <w:name w:val="List Number 5"/>
    <w:basedOn w:val="Normal"/>
    <w:uiPriority w:val="99"/>
    <w:rsid w:val="005C3B05"/>
    <w:pPr>
      <w:numPr>
        <w:ilvl w:val="4"/>
        <w:numId w:val="3"/>
      </w:numPr>
      <w:spacing w:after="200"/>
    </w:pPr>
    <w:rPr>
      <w:rFonts w:ascii="Calibri" w:eastAsia="Calibri" w:hAnsi="Calibri"/>
      <w:szCs w:val="22"/>
    </w:rPr>
  </w:style>
  <w:style w:type="paragraph" w:customStyle="1" w:styleId="Bullets1stindent">
    <w:name w:val="Bullets (1st indent)"/>
    <w:basedOn w:val="BodyText1"/>
    <w:qFormat/>
    <w:rsid w:val="005C3B05"/>
    <w:pPr>
      <w:spacing w:after="120"/>
    </w:pPr>
  </w:style>
  <w:style w:type="paragraph" w:styleId="Revision">
    <w:name w:val="Revision"/>
    <w:hidden/>
    <w:uiPriority w:val="99"/>
    <w:semiHidden/>
    <w:rsid w:val="006E38CE"/>
    <w:rPr>
      <w:lang w:eastAsia="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8C34A5"/>
    <w:rPr>
      <w:rFonts w:ascii="Calibri" w:hAnsi="Calibri"/>
      <w:sz w:val="22"/>
      <w:lang w:eastAsia="en-US"/>
    </w:rPr>
  </w:style>
  <w:style w:type="character" w:styleId="Hyperlink">
    <w:name w:val="Hyperlink"/>
    <w:basedOn w:val="DefaultParagraphFont"/>
    <w:unhideWhenUsed/>
    <w:rsid w:val="00CB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FEE176C7D04743A38B702368F1A689"/>
        <w:category>
          <w:name w:val="General"/>
          <w:gallery w:val="placeholder"/>
        </w:category>
        <w:types>
          <w:type w:val="bbPlcHdr"/>
        </w:types>
        <w:behaviors>
          <w:behavior w:val="content"/>
        </w:behaviors>
        <w:guid w:val="{0E5AB3A6-FE41-4E9B-A729-57E41A77531C}"/>
      </w:docPartPr>
      <w:docPartBody>
        <w:p w:rsidR="00877108" w:rsidRDefault="00FE6673" w:rsidP="00FE6673">
          <w:pPr>
            <w:pStyle w:val="27FEE176C7D04743A38B702368F1A68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73"/>
    <w:rsid w:val="00877108"/>
    <w:rsid w:val="00BF4705"/>
    <w:rsid w:val="00FE6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673"/>
    <w:rPr>
      <w:color w:val="808080"/>
    </w:rPr>
  </w:style>
  <w:style w:type="paragraph" w:customStyle="1" w:styleId="27FEE176C7D04743A38B702368F1A689">
    <w:name w:val="27FEE176C7D04743A38B702368F1A689"/>
    <w:rsid w:val="00FE6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EEDA-46A4-4065-87D9-A98DCBBD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5669</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Greathead Sherryl</dc:creator>
  <cp:lastModifiedBy>Martin, Lara</cp:lastModifiedBy>
  <cp:revision>2</cp:revision>
  <cp:lastPrinted>2015-03-02T04:44:00Z</cp:lastPrinted>
  <dcterms:created xsi:type="dcterms:W3CDTF">2016-05-23T05:13:00Z</dcterms:created>
  <dcterms:modified xsi:type="dcterms:W3CDTF">2016-05-23T05:13:00Z</dcterms:modified>
</cp:coreProperties>
</file>