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C54D8" w14:textId="77777777" w:rsidR="00E42CE1" w:rsidRDefault="00E42CE1" w:rsidP="00E42CE1">
      <w:pPr>
        <w:pStyle w:val="Heading2"/>
        <w:spacing w:before="0"/>
        <w:ind w:left="0" w:firstLine="0"/>
      </w:pPr>
      <w:r>
        <w:t>Explanatory Statement</w:t>
      </w:r>
    </w:p>
    <w:p w14:paraId="368FA8FA" w14:textId="77777777" w:rsidR="00E42CE1" w:rsidRPr="00CB729E" w:rsidRDefault="00E42CE1" w:rsidP="00E42CE1">
      <w:pPr>
        <w:rPr>
          <w:b/>
          <w:lang w:val="en-AU" w:eastAsia="en-GB" w:bidi="ar-SA"/>
        </w:rPr>
      </w:pPr>
      <w:r w:rsidRPr="00CB729E">
        <w:rPr>
          <w:b/>
          <w:lang w:val="en-AU" w:eastAsia="en-GB" w:bidi="ar-SA"/>
        </w:rPr>
        <w:t>1.</w:t>
      </w:r>
      <w:r w:rsidRPr="00CB729E">
        <w:rPr>
          <w:b/>
          <w:lang w:val="en-AU" w:eastAsia="en-GB" w:bidi="ar-SA"/>
        </w:rPr>
        <w:tab/>
        <w:t>Authority</w:t>
      </w:r>
    </w:p>
    <w:p w14:paraId="405255BD" w14:textId="77777777" w:rsidR="00E42CE1" w:rsidRPr="00CB729E" w:rsidRDefault="00E42CE1" w:rsidP="00E42CE1">
      <w:pPr>
        <w:rPr>
          <w:lang w:val="en-AU" w:eastAsia="en-GB" w:bidi="ar-SA"/>
        </w:rPr>
      </w:pPr>
    </w:p>
    <w:p w14:paraId="31B0021C" w14:textId="77777777" w:rsidR="00E42CE1" w:rsidRPr="00CB729E" w:rsidRDefault="00E42CE1" w:rsidP="00E42CE1">
      <w:pPr>
        <w:widowControl/>
        <w:autoSpaceDE w:val="0"/>
        <w:autoSpaceDN w:val="0"/>
        <w:adjustRightInd w:val="0"/>
        <w:rPr>
          <w:rFonts w:eastAsia="Calibri" w:cs="Arial"/>
          <w:bCs/>
          <w:szCs w:val="22"/>
          <w:lang w:val="en-AU" w:bidi="ar-SA"/>
        </w:rPr>
      </w:pPr>
      <w:r w:rsidRPr="00CB729E">
        <w:rPr>
          <w:rFonts w:eastAsia="Calibri" w:cs="Arial"/>
          <w:bCs/>
          <w:szCs w:val="22"/>
          <w:lang w:val="en-AU" w:bidi="ar-SA"/>
        </w:rPr>
        <w:t xml:space="preserve">Section 13 of the </w:t>
      </w:r>
      <w:r w:rsidRPr="00CB729E">
        <w:rPr>
          <w:rFonts w:eastAsia="Calibri" w:cs="Arial"/>
          <w:bCs/>
          <w:i/>
          <w:szCs w:val="22"/>
          <w:lang w:val="en-AU" w:bidi="ar-SA"/>
        </w:rPr>
        <w:t>Food Standards Australia New Zealand Act 1991</w:t>
      </w:r>
      <w:r w:rsidRPr="00CB729E">
        <w:rPr>
          <w:rFonts w:eastAsia="Calibri" w:cs="Arial"/>
          <w:bCs/>
          <w:szCs w:val="22"/>
          <w:lang w:val="en-AU" w:bidi="ar-SA"/>
        </w:rPr>
        <w:t xml:space="preserve"> (the FSANZ Act) provides that the functions of Food Standards Australia New Zealand (the Authority) include the development of standards and variations of standards for inclusion in the </w:t>
      </w:r>
      <w:r w:rsidRPr="00CB729E">
        <w:rPr>
          <w:rFonts w:eastAsia="Calibri" w:cs="Arial"/>
          <w:bCs/>
          <w:i/>
          <w:szCs w:val="22"/>
          <w:lang w:val="en-AU" w:bidi="ar-SA"/>
        </w:rPr>
        <w:t>Australia New Zealand Food Standards Code</w:t>
      </w:r>
      <w:r w:rsidRPr="00CB729E">
        <w:rPr>
          <w:rFonts w:eastAsia="Calibri" w:cs="Arial"/>
          <w:bCs/>
          <w:szCs w:val="22"/>
          <w:lang w:val="en-AU" w:bidi="ar-SA"/>
        </w:rPr>
        <w:t xml:space="preserve"> (the Code).</w:t>
      </w:r>
    </w:p>
    <w:p w14:paraId="484DCCD4" w14:textId="77777777" w:rsidR="00E42CE1" w:rsidRPr="00CB729E" w:rsidRDefault="00E42CE1" w:rsidP="00E42CE1">
      <w:pPr>
        <w:widowControl/>
        <w:autoSpaceDE w:val="0"/>
        <w:autoSpaceDN w:val="0"/>
        <w:adjustRightInd w:val="0"/>
        <w:rPr>
          <w:rFonts w:eastAsia="Calibri" w:cs="Arial"/>
          <w:bCs/>
          <w:szCs w:val="22"/>
          <w:lang w:val="en-AU" w:bidi="ar-SA"/>
        </w:rPr>
      </w:pPr>
    </w:p>
    <w:p w14:paraId="6BB7C6FE" w14:textId="77777777" w:rsidR="00E42CE1" w:rsidRPr="00CB729E" w:rsidRDefault="00E42CE1" w:rsidP="00E42CE1">
      <w:pPr>
        <w:widowControl/>
        <w:autoSpaceDE w:val="0"/>
        <w:autoSpaceDN w:val="0"/>
        <w:adjustRightInd w:val="0"/>
        <w:rPr>
          <w:rFonts w:eastAsia="Calibri" w:cs="Arial"/>
          <w:bCs/>
          <w:szCs w:val="22"/>
          <w:lang w:val="en-AU" w:bidi="ar-SA"/>
        </w:rPr>
      </w:pPr>
      <w:r w:rsidRPr="00CB729E">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0459E049" w14:textId="77777777" w:rsidR="00E42CE1" w:rsidRPr="00CB729E" w:rsidRDefault="00E42CE1" w:rsidP="00E42CE1">
      <w:pPr>
        <w:widowControl/>
        <w:autoSpaceDE w:val="0"/>
        <w:autoSpaceDN w:val="0"/>
        <w:adjustRightInd w:val="0"/>
        <w:rPr>
          <w:rFonts w:eastAsia="Calibri" w:cs="Arial"/>
          <w:bCs/>
          <w:szCs w:val="22"/>
          <w:lang w:val="en-AU" w:bidi="ar-SA"/>
        </w:rPr>
      </w:pPr>
    </w:p>
    <w:p w14:paraId="06FDF41D" w14:textId="77777777" w:rsidR="00E42CE1" w:rsidRDefault="00E42CE1" w:rsidP="00E42CE1">
      <w:pPr>
        <w:widowControl/>
        <w:autoSpaceDE w:val="0"/>
        <w:autoSpaceDN w:val="0"/>
        <w:adjustRightInd w:val="0"/>
        <w:rPr>
          <w:rFonts w:eastAsia="Calibri" w:cs="Arial"/>
          <w:bCs/>
          <w:szCs w:val="22"/>
          <w:lang w:val="en-AU" w:bidi="ar-SA"/>
        </w:rPr>
      </w:pPr>
      <w:r w:rsidRPr="00CB729E">
        <w:rPr>
          <w:rFonts w:eastAsia="Calibri" w:cs="Arial"/>
          <w:bCs/>
          <w:szCs w:val="22"/>
          <w:lang w:val="en-AU" w:bidi="ar-SA"/>
        </w:rPr>
        <w:t xml:space="preserve">FSANZ accepted Application A1111 which seeks approval for a preparation of two bacteriophages (S16 and FO1a) (tradename Salmonelex™) as a processing aid to reduce </w:t>
      </w:r>
      <w:r w:rsidRPr="00CB729E">
        <w:rPr>
          <w:rFonts w:eastAsia="Calibri" w:cs="Arial"/>
          <w:bCs/>
          <w:i/>
          <w:szCs w:val="22"/>
          <w:lang w:val="en-AU" w:bidi="ar-SA"/>
        </w:rPr>
        <w:t>Salmonella</w:t>
      </w:r>
      <w:r w:rsidRPr="00CB729E">
        <w:rPr>
          <w:rFonts w:eastAsia="Calibri" w:cs="Arial"/>
          <w:bCs/>
          <w:szCs w:val="22"/>
          <w:lang w:val="en-AU" w:bidi="ar-SA"/>
        </w:rPr>
        <w:t xml:space="preserve"> contamination in specific foods. The Authority considered the Application in accordance with Division 1 of Part 3 and has proposed a draft variation. </w:t>
      </w:r>
    </w:p>
    <w:p w14:paraId="578ABAB9" w14:textId="77777777" w:rsidR="00E42CE1" w:rsidRPr="00CB729E" w:rsidRDefault="00E42CE1" w:rsidP="00E42CE1">
      <w:pPr>
        <w:widowControl/>
        <w:autoSpaceDE w:val="0"/>
        <w:autoSpaceDN w:val="0"/>
        <w:adjustRightInd w:val="0"/>
        <w:rPr>
          <w:rFonts w:eastAsia="Calibri" w:cs="Arial"/>
          <w:bCs/>
          <w:szCs w:val="22"/>
          <w:lang w:val="en-AU" w:bidi="ar-SA"/>
        </w:rPr>
      </w:pPr>
    </w:p>
    <w:p w14:paraId="002A4246" w14:textId="77777777" w:rsidR="00E42CE1" w:rsidRPr="00A47C85" w:rsidRDefault="00E42CE1" w:rsidP="00E42CE1">
      <w:pPr>
        <w:widowControl/>
        <w:autoSpaceDE w:val="0"/>
        <w:autoSpaceDN w:val="0"/>
        <w:adjustRightInd w:val="0"/>
        <w:rPr>
          <w:rFonts w:eastAsia="Calibri" w:cs="Arial"/>
          <w:bCs/>
          <w:szCs w:val="22"/>
          <w:lang w:val="en-AU" w:bidi="ar-SA"/>
        </w:rPr>
      </w:pPr>
      <w:r w:rsidRPr="00A47C85">
        <w:rPr>
          <w:rFonts w:eastAsia="Calibri" w:cs="Arial"/>
          <w:bCs/>
          <w:szCs w:val="22"/>
          <w:lang w:val="en-AU" w:bidi="ar-SA"/>
        </w:rPr>
        <w:t xml:space="preserve">Following consideration by the </w:t>
      </w:r>
      <w:r w:rsidRPr="00A47C85">
        <w:rPr>
          <w:rFonts w:cs="Helvetica"/>
          <w:lang w:val="en-AU"/>
        </w:rPr>
        <w:t xml:space="preserve">Australia and New Zealand Ministerial Forum on Food </w:t>
      </w:r>
      <w:r w:rsidRPr="00A47C85">
        <w:rPr>
          <w:rFonts w:cs="Arial"/>
        </w:rPr>
        <w:t>Regulation</w:t>
      </w:r>
      <w:r w:rsidRPr="00A47C85">
        <w:rPr>
          <w:rFonts w:eastAsia="Calibri" w:cs="Arial"/>
          <w:bCs/>
          <w:szCs w:val="22"/>
          <w:lang w:val="en-AU" w:bidi="ar-SA"/>
        </w:rPr>
        <w:t xml:space="preserve">, section 92 of the FSANZ Act stipulates that the Authority must publish a notice about the standard or draft variation of a standard. </w:t>
      </w:r>
    </w:p>
    <w:p w14:paraId="703D1C97" w14:textId="77777777" w:rsidR="00E42CE1" w:rsidRPr="00A47C85" w:rsidRDefault="00E42CE1" w:rsidP="00E42CE1">
      <w:pPr>
        <w:widowControl/>
        <w:autoSpaceDE w:val="0"/>
        <w:autoSpaceDN w:val="0"/>
        <w:adjustRightInd w:val="0"/>
        <w:rPr>
          <w:rFonts w:eastAsia="Calibri" w:cs="Arial"/>
          <w:bCs/>
          <w:szCs w:val="22"/>
          <w:lang w:val="en-AU" w:bidi="ar-SA"/>
        </w:rPr>
      </w:pPr>
    </w:p>
    <w:p w14:paraId="737ED0A7" w14:textId="77777777" w:rsidR="00E42CE1" w:rsidRPr="00A47C85" w:rsidRDefault="00E42CE1" w:rsidP="00E42CE1">
      <w:pPr>
        <w:widowControl/>
        <w:autoSpaceDE w:val="0"/>
        <w:autoSpaceDN w:val="0"/>
        <w:adjustRightInd w:val="0"/>
        <w:rPr>
          <w:rFonts w:eastAsia="Calibri" w:cs="Arial"/>
          <w:color w:val="000000"/>
          <w:szCs w:val="22"/>
          <w:lang w:val="en-AU" w:bidi="ar-SA"/>
        </w:rPr>
      </w:pPr>
      <w:r w:rsidRPr="00A47C85">
        <w:rPr>
          <w:rFonts w:eastAsia="Calibri" w:cs="Arial"/>
          <w:bCs/>
          <w:color w:val="000000"/>
          <w:szCs w:val="22"/>
          <w:lang w:val="en-AU" w:bidi="ar-SA"/>
        </w:rPr>
        <w:t>Section 94 of the FSANZ Act specifies that a</w:t>
      </w:r>
      <w:r w:rsidRPr="00A47C85">
        <w:rPr>
          <w:rFonts w:eastAsia="Calibri" w:cs="Arial"/>
          <w:color w:val="000000"/>
          <w:szCs w:val="22"/>
          <w:lang w:val="en-AU" w:bidi="ar-SA"/>
        </w:rPr>
        <w:t xml:space="preserve"> standard, or a variation of a standard, in relation to which a notice is published under section 92 is a legislative instrument, but is not subject to parliamentary disallowance or sunsetting under the </w:t>
      </w:r>
      <w:r w:rsidRPr="00A47C85">
        <w:rPr>
          <w:rFonts w:eastAsia="Calibri" w:cs="Arial"/>
          <w:i/>
          <w:color w:val="000000"/>
          <w:szCs w:val="22"/>
          <w:lang w:val="en-AU" w:bidi="ar-SA"/>
        </w:rPr>
        <w:t>Legislati</w:t>
      </w:r>
      <w:r>
        <w:rPr>
          <w:rFonts w:eastAsia="Calibri" w:cs="Arial"/>
          <w:i/>
          <w:color w:val="000000"/>
          <w:szCs w:val="22"/>
          <w:lang w:val="en-AU" w:bidi="ar-SA"/>
        </w:rPr>
        <w:t>on</w:t>
      </w:r>
      <w:r w:rsidRPr="00A47C85">
        <w:rPr>
          <w:rFonts w:eastAsia="Calibri" w:cs="Arial"/>
          <w:i/>
          <w:color w:val="000000"/>
          <w:szCs w:val="22"/>
          <w:lang w:val="en-AU" w:bidi="ar-SA"/>
        </w:rPr>
        <w:t xml:space="preserve"> Act 2003</w:t>
      </w:r>
      <w:r w:rsidRPr="00A47C85">
        <w:rPr>
          <w:rFonts w:eastAsia="Calibri" w:cs="Arial"/>
          <w:color w:val="000000"/>
          <w:szCs w:val="22"/>
          <w:lang w:val="en-AU" w:bidi="ar-SA"/>
        </w:rPr>
        <w:t>.</w:t>
      </w:r>
    </w:p>
    <w:p w14:paraId="63179239" w14:textId="77777777" w:rsidR="00E42CE1" w:rsidRPr="00CB729E" w:rsidRDefault="00E42CE1" w:rsidP="00E42CE1">
      <w:pPr>
        <w:widowControl/>
        <w:autoSpaceDE w:val="0"/>
        <w:autoSpaceDN w:val="0"/>
        <w:adjustRightInd w:val="0"/>
        <w:rPr>
          <w:rFonts w:eastAsia="Calibri" w:cs="Arial"/>
          <w:bCs/>
          <w:szCs w:val="22"/>
          <w:lang w:val="en-AU" w:bidi="ar-SA"/>
        </w:rPr>
      </w:pPr>
    </w:p>
    <w:p w14:paraId="1A5182C8" w14:textId="77777777" w:rsidR="00E42CE1" w:rsidRPr="00CB729E" w:rsidRDefault="00E42CE1" w:rsidP="00E42CE1">
      <w:pPr>
        <w:rPr>
          <w:b/>
          <w:lang w:val="en-AU" w:eastAsia="en-GB" w:bidi="ar-SA"/>
        </w:rPr>
      </w:pPr>
      <w:r w:rsidRPr="00CB729E">
        <w:rPr>
          <w:b/>
          <w:lang w:val="en-AU" w:eastAsia="en-GB" w:bidi="ar-SA"/>
        </w:rPr>
        <w:t>2.</w:t>
      </w:r>
      <w:r w:rsidRPr="00CB729E">
        <w:rPr>
          <w:b/>
          <w:lang w:val="en-AU" w:eastAsia="en-GB" w:bidi="ar-SA"/>
        </w:rPr>
        <w:tab/>
        <w:t xml:space="preserve">Purpose </w:t>
      </w:r>
    </w:p>
    <w:p w14:paraId="4412DF9D" w14:textId="77777777" w:rsidR="00E42CE1" w:rsidRPr="00CB729E" w:rsidRDefault="00E42CE1" w:rsidP="00E42CE1">
      <w:pPr>
        <w:rPr>
          <w:lang w:val="en-AU" w:eastAsia="en-GB" w:bidi="ar-SA"/>
        </w:rPr>
      </w:pPr>
    </w:p>
    <w:p w14:paraId="23196347" w14:textId="77777777" w:rsidR="00E42CE1" w:rsidRPr="00CB729E" w:rsidRDefault="00E42CE1" w:rsidP="00E42CE1">
      <w:pPr>
        <w:rPr>
          <w:lang w:val="en-AU" w:eastAsia="en-GB" w:bidi="ar-SA"/>
        </w:rPr>
      </w:pPr>
      <w:r w:rsidRPr="00CB729E">
        <w:rPr>
          <w:lang w:val="en-AU" w:eastAsia="en-GB" w:bidi="ar-SA"/>
        </w:rPr>
        <w:t xml:space="preserve">The Authority has proposed that </w:t>
      </w:r>
      <w:r w:rsidRPr="00CB729E">
        <w:rPr>
          <w:i/>
          <w:lang w:val="en-AU" w:eastAsia="en-GB" w:bidi="ar-SA"/>
        </w:rPr>
        <w:t>Salmonella</w:t>
      </w:r>
      <w:r w:rsidRPr="00CB729E">
        <w:rPr>
          <w:lang w:val="en-AU" w:eastAsia="en-GB" w:bidi="ar-SA"/>
        </w:rPr>
        <w:t xml:space="preserve"> phage preparation (S16 and FO1a) be added to the list of approved processing aids with miscellaneous technological functions for use in specific foods. The table to section S18</w:t>
      </w:r>
      <w:r w:rsidRPr="00CB729E">
        <w:rPr>
          <w:rFonts w:cs="Arial"/>
          <w:lang w:val="en-AU" w:eastAsia="en-GB" w:bidi="ar-SA"/>
        </w:rPr>
        <w:t>―</w:t>
      </w:r>
      <w:r w:rsidRPr="00CB729E">
        <w:rPr>
          <w:lang w:val="en-AU" w:eastAsia="en-GB" w:bidi="ar-SA"/>
        </w:rPr>
        <w:t xml:space="preserve">9 in Schedule 18 lists permissions for these processing aids, as well as the foods and levels which are allowed. An entry for </w:t>
      </w:r>
      <w:r w:rsidRPr="00CB729E">
        <w:rPr>
          <w:i/>
          <w:lang w:val="en-AU" w:eastAsia="en-GB" w:bidi="ar-SA"/>
        </w:rPr>
        <w:t>Salmonella</w:t>
      </w:r>
      <w:r w:rsidRPr="00CB729E">
        <w:rPr>
          <w:lang w:val="en-AU" w:eastAsia="en-GB" w:bidi="ar-SA"/>
        </w:rPr>
        <w:t xml:space="preserve"> phage preparation (S16 and FO1a) will be included for use on </w:t>
      </w:r>
      <w:r>
        <w:rPr>
          <w:lang w:val="en-AU" w:eastAsia="en-GB" w:bidi="ar-SA"/>
        </w:rPr>
        <w:t xml:space="preserve">the surface of </w:t>
      </w:r>
      <w:r w:rsidRPr="00CB729E">
        <w:rPr>
          <w:lang w:val="en-AU" w:eastAsia="en-GB" w:bidi="ar-SA"/>
        </w:rPr>
        <w:t xml:space="preserve">raw meat </w:t>
      </w:r>
      <w:r>
        <w:rPr>
          <w:lang w:val="en-AU" w:eastAsia="en-GB" w:bidi="ar-SA"/>
        </w:rPr>
        <w:t xml:space="preserve">and raw poultry meat </w:t>
      </w:r>
      <w:r w:rsidRPr="00CB729E">
        <w:rPr>
          <w:lang w:val="en-AU" w:eastAsia="en-GB" w:bidi="ar-SA"/>
        </w:rPr>
        <w:t>during processing at levels up to Good Manufacturing Practice (GMP). A specification stating what the preparation is composed of will also be included into Schedule 3.</w:t>
      </w:r>
    </w:p>
    <w:p w14:paraId="20025B15" w14:textId="77777777" w:rsidR="00E42CE1" w:rsidRPr="00CB729E" w:rsidRDefault="00E42CE1" w:rsidP="00E42CE1">
      <w:pPr>
        <w:rPr>
          <w:lang w:val="en-AU" w:eastAsia="en-GB" w:bidi="ar-SA"/>
        </w:rPr>
      </w:pPr>
    </w:p>
    <w:p w14:paraId="156D08A0" w14:textId="77777777" w:rsidR="00E42CE1" w:rsidRPr="00CB729E" w:rsidRDefault="00E42CE1" w:rsidP="00E42CE1">
      <w:pPr>
        <w:rPr>
          <w:b/>
          <w:lang w:val="en-AU" w:eastAsia="en-GB" w:bidi="ar-SA"/>
        </w:rPr>
      </w:pPr>
      <w:r w:rsidRPr="00CB729E">
        <w:rPr>
          <w:b/>
          <w:lang w:val="en-AU" w:eastAsia="en-GB" w:bidi="ar-SA"/>
        </w:rPr>
        <w:t>3.</w:t>
      </w:r>
      <w:r w:rsidRPr="00CB729E">
        <w:rPr>
          <w:b/>
          <w:lang w:val="en-AU" w:eastAsia="en-GB" w:bidi="ar-SA"/>
        </w:rPr>
        <w:tab/>
        <w:t>Documents incorporated by reference</w:t>
      </w:r>
    </w:p>
    <w:p w14:paraId="12F0AD5B" w14:textId="77777777" w:rsidR="00E42CE1" w:rsidRPr="00CB729E" w:rsidRDefault="00E42CE1" w:rsidP="00E42CE1">
      <w:pPr>
        <w:rPr>
          <w:lang w:val="en-AU" w:eastAsia="en-GB" w:bidi="ar-SA"/>
        </w:rPr>
      </w:pPr>
    </w:p>
    <w:p w14:paraId="36373D9F" w14:textId="77777777" w:rsidR="00E42CE1" w:rsidRPr="00CB729E" w:rsidRDefault="00E42CE1" w:rsidP="00E42CE1">
      <w:pPr>
        <w:widowControl/>
        <w:autoSpaceDE w:val="0"/>
        <w:autoSpaceDN w:val="0"/>
        <w:adjustRightInd w:val="0"/>
        <w:rPr>
          <w:rFonts w:eastAsia="Calibri" w:cs="Arial"/>
          <w:bCs/>
          <w:szCs w:val="22"/>
          <w:lang w:val="en-AU" w:bidi="ar-SA"/>
        </w:rPr>
      </w:pPr>
      <w:r w:rsidRPr="00CB729E">
        <w:rPr>
          <w:rFonts w:eastAsia="Calibri" w:cs="Arial"/>
          <w:bCs/>
          <w:szCs w:val="22"/>
          <w:lang w:val="en-AU" w:bidi="ar-SA"/>
        </w:rPr>
        <w:t>The variations to food regulatory measures do not incorporate any documents by reference.</w:t>
      </w:r>
    </w:p>
    <w:p w14:paraId="0043D422" w14:textId="77777777" w:rsidR="00E42CE1" w:rsidRPr="00CB729E" w:rsidRDefault="00E42CE1" w:rsidP="00E42CE1">
      <w:pPr>
        <w:rPr>
          <w:lang w:val="en-AU" w:eastAsia="en-GB" w:bidi="ar-SA"/>
        </w:rPr>
      </w:pPr>
    </w:p>
    <w:p w14:paraId="452DC7E3" w14:textId="77777777" w:rsidR="00E42CE1" w:rsidRPr="00CB729E" w:rsidRDefault="00E42CE1" w:rsidP="00E42CE1">
      <w:pPr>
        <w:rPr>
          <w:b/>
          <w:lang w:val="en-AU" w:eastAsia="en-GB" w:bidi="ar-SA"/>
        </w:rPr>
      </w:pPr>
      <w:r w:rsidRPr="00CB729E">
        <w:rPr>
          <w:b/>
          <w:lang w:val="en-AU" w:eastAsia="en-GB" w:bidi="ar-SA"/>
        </w:rPr>
        <w:t>4.</w:t>
      </w:r>
      <w:r w:rsidRPr="00CB729E">
        <w:rPr>
          <w:b/>
          <w:lang w:val="en-AU" w:eastAsia="en-GB" w:bidi="ar-SA"/>
        </w:rPr>
        <w:tab/>
        <w:t>Consultation</w:t>
      </w:r>
    </w:p>
    <w:p w14:paraId="085A1767" w14:textId="77777777" w:rsidR="00E42CE1" w:rsidRPr="00CB729E" w:rsidRDefault="00E42CE1" w:rsidP="00E42CE1">
      <w:pPr>
        <w:rPr>
          <w:lang w:val="en-AU" w:eastAsia="en-GB" w:bidi="ar-SA"/>
        </w:rPr>
      </w:pPr>
    </w:p>
    <w:p w14:paraId="0340744F" w14:textId="77777777" w:rsidR="00E42CE1" w:rsidRPr="00CB729E" w:rsidRDefault="00E42CE1" w:rsidP="00E42CE1">
      <w:pPr>
        <w:rPr>
          <w:lang w:val="en-AU"/>
        </w:rPr>
      </w:pPr>
      <w:r w:rsidRPr="00CB729E">
        <w:rPr>
          <w:szCs w:val="22"/>
        </w:rPr>
        <w:t xml:space="preserve">In accordance with the procedure in Division 1 of Part 3 of the FSANZ Act, </w:t>
      </w:r>
      <w:r w:rsidRPr="00CB729E">
        <w:rPr>
          <w:rFonts w:eastAsia="Calibri" w:cs="Arial"/>
          <w:bCs/>
          <w:szCs w:val="22"/>
          <w:lang w:val="en-AU" w:bidi="ar-SA"/>
        </w:rPr>
        <w:t>the Authority</w:t>
      </w:r>
      <w:r w:rsidRPr="00CB729E">
        <w:rPr>
          <w:szCs w:val="22"/>
        </w:rPr>
        <w:t>’s consideration of Application A1111 include</w:t>
      </w:r>
      <w:r>
        <w:rPr>
          <w:szCs w:val="22"/>
        </w:rPr>
        <w:t>d</w:t>
      </w:r>
      <w:r w:rsidRPr="00CB729E">
        <w:rPr>
          <w:szCs w:val="22"/>
        </w:rPr>
        <w:t xml:space="preserve"> one round of public consultation following an assessment and the preparation of a draft variation and associated report. </w:t>
      </w:r>
    </w:p>
    <w:p w14:paraId="5ABA9C6A" w14:textId="77777777" w:rsidR="00E42CE1" w:rsidRPr="00CB729E" w:rsidRDefault="00E42CE1" w:rsidP="00E42CE1"/>
    <w:p w14:paraId="440F84AC" w14:textId="77777777" w:rsidR="00E42CE1" w:rsidRPr="00CB729E" w:rsidRDefault="00E42CE1" w:rsidP="00E42CE1">
      <w:pPr>
        <w:widowControl/>
        <w:autoSpaceDE w:val="0"/>
        <w:autoSpaceDN w:val="0"/>
        <w:adjustRightInd w:val="0"/>
        <w:rPr>
          <w:rFonts w:cs="Arial"/>
          <w:szCs w:val="22"/>
        </w:rPr>
      </w:pPr>
      <w:r w:rsidRPr="00CB729E">
        <w:rPr>
          <w:rFonts w:eastAsia="Calibri" w:cs="Arial"/>
          <w:bCs/>
          <w:szCs w:val="22"/>
          <w:lang w:val="en-AU" w:bidi="ar-SA"/>
        </w:rPr>
        <w:t xml:space="preserve">A Regulation Impact Statement was not required because the proposed variation to Schedule 18 and Schedule 3 </w:t>
      </w:r>
      <w:r w:rsidRPr="00CB729E">
        <w:t xml:space="preserve">are likely to have a minor impact on business and individuals. </w:t>
      </w:r>
    </w:p>
    <w:p w14:paraId="22619620" w14:textId="77777777" w:rsidR="00E42CE1" w:rsidRPr="00CB729E" w:rsidRDefault="00E42CE1" w:rsidP="00E42CE1">
      <w:pPr>
        <w:widowControl/>
        <w:rPr>
          <w:rFonts w:eastAsiaTheme="minorHAnsi" w:cs="Arial"/>
          <w:b/>
          <w:bCs/>
          <w:szCs w:val="22"/>
          <w:lang w:val="en-AU" w:bidi="ar-SA"/>
        </w:rPr>
      </w:pPr>
    </w:p>
    <w:p w14:paraId="14C902B9" w14:textId="77777777" w:rsidR="00E42CE1" w:rsidRPr="00CB729E" w:rsidRDefault="00E42CE1" w:rsidP="00E42CE1">
      <w:pPr>
        <w:widowControl/>
        <w:rPr>
          <w:rFonts w:eastAsiaTheme="minorHAnsi" w:cs="Arial"/>
          <w:b/>
          <w:bCs/>
          <w:szCs w:val="22"/>
          <w:lang w:val="en-AU" w:bidi="ar-SA"/>
        </w:rPr>
      </w:pPr>
      <w:r w:rsidRPr="00CB729E">
        <w:rPr>
          <w:rFonts w:eastAsiaTheme="minorHAnsi" w:cs="Arial"/>
          <w:b/>
          <w:bCs/>
          <w:szCs w:val="22"/>
          <w:lang w:val="en-AU" w:bidi="ar-SA"/>
        </w:rPr>
        <w:t>5.</w:t>
      </w:r>
      <w:r w:rsidRPr="00CB729E">
        <w:rPr>
          <w:rFonts w:eastAsiaTheme="minorHAnsi" w:cs="Arial"/>
          <w:b/>
          <w:bCs/>
          <w:szCs w:val="22"/>
          <w:lang w:val="en-AU" w:bidi="ar-SA"/>
        </w:rPr>
        <w:tab/>
        <w:t>Statement of compatibility with human rights</w:t>
      </w:r>
    </w:p>
    <w:p w14:paraId="7E7A366A" w14:textId="77777777" w:rsidR="00E42CE1" w:rsidRPr="00CB729E" w:rsidRDefault="00E42CE1" w:rsidP="00E42CE1">
      <w:pPr>
        <w:rPr>
          <w:rFonts w:eastAsiaTheme="minorHAnsi"/>
          <w:lang w:val="en-AU" w:bidi="ar-SA"/>
        </w:rPr>
      </w:pPr>
    </w:p>
    <w:p w14:paraId="31867E17" w14:textId="77777777" w:rsidR="00E42CE1" w:rsidRDefault="00E42CE1" w:rsidP="00E42CE1">
      <w:pPr>
        <w:rPr>
          <w:rFonts w:eastAsiaTheme="minorHAnsi"/>
          <w:lang w:val="en-AU" w:bidi="ar-SA"/>
        </w:rPr>
      </w:pPr>
      <w:r w:rsidRPr="00CB729E">
        <w:rPr>
          <w:rFonts w:eastAsiaTheme="minorHAnsi"/>
          <w:lang w:val="en-AU" w:bidi="ar-SA"/>
        </w:rPr>
        <w:t>This instrument is exempt from the requirements for a statement of compatibility with human rights as it is a non-disallowable instrument under section 94 of the FSANZ Act.</w:t>
      </w:r>
      <w:r>
        <w:rPr>
          <w:rFonts w:eastAsiaTheme="minorHAnsi"/>
          <w:lang w:val="en-AU" w:bidi="ar-SA"/>
        </w:rPr>
        <w:br w:type="page"/>
      </w:r>
    </w:p>
    <w:p w14:paraId="0F9FFC52" w14:textId="77777777" w:rsidR="00E42CE1" w:rsidRPr="00CB729E" w:rsidRDefault="00E42CE1" w:rsidP="00E42CE1">
      <w:pPr>
        <w:rPr>
          <w:b/>
          <w:lang w:val="en-AU" w:eastAsia="en-GB" w:bidi="ar-SA"/>
        </w:rPr>
      </w:pPr>
      <w:r w:rsidRPr="00CB729E">
        <w:rPr>
          <w:b/>
        </w:rPr>
        <w:lastRenderedPageBreak/>
        <w:t>6.</w:t>
      </w:r>
      <w:r w:rsidRPr="00CB729E">
        <w:rPr>
          <w:b/>
        </w:rPr>
        <w:tab/>
      </w:r>
      <w:r w:rsidRPr="00CB729E">
        <w:rPr>
          <w:b/>
          <w:lang w:val="en-AU" w:eastAsia="en-GB" w:bidi="ar-SA"/>
        </w:rPr>
        <w:t>Variation</w:t>
      </w:r>
    </w:p>
    <w:p w14:paraId="079F7F9A" w14:textId="77777777" w:rsidR="00E42CE1" w:rsidRPr="00CB729E" w:rsidRDefault="00E42CE1" w:rsidP="00E42CE1">
      <w:pPr>
        <w:rPr>
          <w:b/>
        </w:rPr>
      </w:pPr>
    </w:p>
    <w:p w14:paraId="0CEEF810" w14:textId="77777777" w:rsidR="00E42CE1" w:rsidRPr="00CB729E" w:rsidRDefault="00E42CE1" w:rsidP="00E42CE1">
      <w:r w:rsidRPr="00CB729E">
        <w:t xml:space="preserve">Item [1] varies Schedule 3. </w:t>
      </w:r>
    </w:p>
    <w:p w14:paraId="46AF2B5E" w14:textId="77777777" w:rsidR="00E42CE1" w:rsidRPr="00CB729E" w:rsidRDefault="00E42CE1" w:rsidP="00E42CE1"/>
    <w:p w14:paraId="491F9FC5" w14:textId="77777777" w:rsidR="00E42CE1" w:rsidRPr="00CB729E" w:rsidRDefault="00E42CE1" w:rsidP="00E42CE1">
      <w:r w:rsidRPr="00CB729E">
        <w:t xml:space="preserve">Item [1.1] amends the table to subsection </w:t>
      </w:r>
      <w:r w:rsidRPr="00CB729E">
        <w:rPr>
          <w:szCs w:val="22"/>
        </w:rPr>
        <w:t xml:space="preserve">S3—2(2) by inserting a reference to </w:t>
      </w:r>
      <w:r w:rsidRPr="00CB729E">
        <w:rPr>
          <w:i/>
        </w:rPr>
        <w:t>Salmonella</w:t>
      </w:r>
      <w:r w:rsidRPr="00CB729E">
        <w:t xml:space="preserve"> phage preparation (S16 and FO1a) and to new subsection </w:t>
      </w:r>
      <w:r w:rsidRPr="00CB729E">
        <w:rPr>
          <w:szCs w:val="22"/>
        </w:rPr>
        <w:t xml:space="preserve">S3—33. This in effect provides that the specification listed in </w:t>
      </w:r>
      <w:r w:rsidRPr="00CB729E">
        <w:t xml:space="preserve">new subsection </w:t>
      </w:r>
      <w:r w:rsidRPr="00CB729E">
        <w:rPr>
          <w:szCs w:val="22"/>
        </w:rPr>
        <w:t xml:space="preserve">S3—33 is the specification for </w:t>
      </w:r>
      <w:r w:rsidRPr="00CB729E">
        <w:rPr>
          <w:i/>
        </w:rPr>
        <w:t>Salmonella</w:t>
      </w:r>
      <w:r w:rsidRPr="00CB729E">
        <w:t xml:space="preserve"> phage preparation (S16 and FO1a).</w:t>
      </w:r>
    </w:p>
    <w:p w14:paraId="5D41349D" w14:textId="77777777" w:rsidR="00E42CE1" w:rsidRPr="00CB729E" w:rsidRDefault="00E42CE1" w:rsidP="00E42CE1"/>
    <w:p w14:paraId="298C4207" w14:textId="77777777" w:rsidR="00E42CE1" w:rsidRPr="00CB729E" w:rsidRDefault="00E42CE1" w:rsidP="00E42CE1">
      <w:r w:rsidRPr="00CB729E">
        <w:t xml:space="preserve">Item [1.2] new subsection </w:t>
      </w:r>
      <w:r w:rsidRPr="00CB729E">
        <w:rPr>
          <w:szCs w:val="22"/>
        </w:rPr>
        <w:t xml:space="preserve">S3—33 into Schedule 3. The new subsection provides </w:t>
      </w:r>
      <w:r w:rsidRPr="00CB729E">
        <w:t xml:space="preserve">a compositional specification for </w:t>
      </w:r>
      <w:r w:rsidRPr="00CB729E">
        <w:rPr>
          <w:i/>
        </w:rPr>
        <w:t>Salmonella</w:t>
      </w:r>
      <w:r w:rsidRPr="00CB729E">
        <w:t xml:space="preserve"> phage preparation (S16 and FO1a) (</w:t>
      </w:r>
      <w:r w:rsidRPr="00CB729E">
        <w:rPr>
          <w:szCs w:val="22"/>
        </w:rPr>
        <w:t xml:space="preserve">S3—33) by reference to the </w:t>
      </w:r>
      <w:r w:rsidRPr="00CB729E">
        <w:t>biological classification of its component phages</w:t>
      </w:r>
      <w:r>
        <w:t>.</w:t>
      </w:r>
    </w:p>
    <w:p w14:paraId="04CDDBF7" w14:textId="77777777" w:rsidR="00E42CE1" w:rsidRPr="00CB729E" w:rsidRDefault="00E42CE1" w:rsidP="00E42CE1"/>
    <w:p w14:paraId="687C48E7" w14:textId="77777777" w:rsidR="00E42CE1" w:rsidRPr="007D4D30" w:rsidRDefault="00E42CE1" w:rsidP="00E42CE1">
      <w:pPr>
        <w:rPr>
          <w:szCs w:val="22"/>
        </w:rPr>
      </w:pPr>
      <w:r w:rsidRPr="00CB729E">
        <w:t xml:space="preserve">Item </w:t>
      </w:r>
      <w:r>
        <w:t>[</w:t>
      </w:r>
      <w:r w:rsidRPr="00CB729E">
        <w:t>2</w:t>
      </w:r>
      <w:r>
        <w:t>]</w:t>
      </w:r>
      <w:r w:rsidRPr="00CB729E">
        <w:t xml:space="preserve"> </w:t>
      </w:r>
      <w:r w:rsidRPr="00CB729E">
        <w:rPr>
          <w:szCs w:val="22"/>
        </w:rPr>
        <w:t>varies Schedule 18</w:t>
      </w:r>
      <w:r>
        <w:rPr>
          <w:szCs w:val="22"/>
        </w:rPr>
        <w:t xml:space="preserve"> by</w:t>
      </w:r>
      <w:r w:rsidRPr="00CB729E">
        <w:rPr>
          <w:szCs w:val="22"/>
        </w:rPr>
        <w:t xml:space="preserve"> amend</w:t>
      </w:r>
      <w:r>
        <w:rPr>
          <w:szCs w:val="22"/>
        </w:rPr>
        <w:t>ing</w:t>
      </w:r>
      <w:r w:rsidRPr="00CB729E">
        <w:rPr>
          <w:szCs w:val="22"/>
        </w:rPr>
        <w:t xml:space="preserve"> the table to section S18</w:t>
      </w:r>
      <w:r w:rsidRPr="00CB729E">
        <w:rPr>
          <w:rFonts w:cs="Arial"/>
          <w:szCs w:val="22"/>
        </w:rPr>
        <w:t>―</w:t>
      </w:r>
      <w:r w:rsidRPr="00CB729E">
        <w:rPr>
          <w:szCs w:val="22"/>
        </w:rPr>
        <w:t xml:space="preserve">9 to include an entry for </w:t>
      </w:r>
      <w:r w:rsidRPr="00CB729E">
        <w:rPr>
          <w:i/>
          <w:szCs w:val="22"/>
        </w:rPr>
        <w:t>Salmonella</w:t>
      </w:r>
      <w:r w:rsidRPr="00CB729E">
        <w:rPr>
          <w:szCs w:val="22"/>
        </w:rPr>
        <w:t xml:space="preserve"> phage preparation (S16 and FO1a) in the list of approved processing aids with miscellaneous technological functions. The new entry states that the phage preparation can be used for the technological purpose of reducing </w:t>
      </w:r>
      <w:r w:rsidRPr="00CB729E">
        <w:rPr>
          <w:i/>
          <w:szCs w:val="22"/>
        </w:rPr>
        <w:t>Salmonella</w:t>
      </w:r>
      <w:r w:rsidRPr="00CB729E">
        <w:rPr>
          <w:szCs w:val="22"/>
        </w:rPr>
        <w:t xml:space="preserve"> species </w:t>
      </w:r>
      <w:r>
        <w:rPr>
          <w:szCs w:val="22"/>
        </w:rPr>
        <w:t>on the surface of</w:t>
      </w:r>
      <w:r w:rsidRPr="00CB729E">
        <w:rPr>
          <w:szCs w:val="22"/>
        </w:rPr>
        <w:t xml:space="preserve"> raw meat</w:t>
      </w:r>
      <w:r>
        <w:rPr>
          <w:szCs w:val="22"/>
        </w:rPr>
        <w:t xml:space="preserve"> and raw poultry meat</w:t>
      </w:r>
      <w:r w:rsidRPr="00CB729E">
        <w:rPr>
          <w:szCs w:val="22"/>
        </w:rPr>
        <w:t xml:space="preserve"> during processing.</w:t>
      </w:r>
      <w:r w:rsidRPr="00CB729E">
        <w:t xml:space="preserve"> The entry also states that the maximum permitted level is that which is consistent with </w:t>
      </w:r>
      <w:r>
        <w:t>GMP</w:t>
      </w:r>
      <w:r w:rsidRPr="00CB729E">
        <w:t>.</w:t>
      </w:r>
    </w:p>
    <w:p w14:paraId="0305AC46" w14:textId="77777777" w:rsidR="00D5526B" w:rsidRPr="00EC65E9" w:rsidRDefault="00D5526B" w:rsidP="00EC65E9">
      <w:bookmarkStart w:id="0" w:name="_GoBack"/>
      <w:bookmarkEnd w:id="0"/>
    </w:p>
    <w:sectPr w:rsidR="00D5526B" w:rsidRPr="00EC65E9" w:rsidSect="008E2339">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C143B" w14:textId="77777777" w:rsidR="00E42CE1" w:rsidRDefault="00E42CE1" w:rsidP="00E42CE1">
      <w:r>
        <w:separator/>
      </w:r>
    </w:p>
  </w:endnote>
  <w:endnote w:type="continuationSeparator" w:id="0">
    <w:p w14:paraId="60BE81C3" w14:textId="77777777" w:rsidR="00E42CE1" w:rsidRDefault="00E42CE1" w:rsidP="00E4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474869"/>
      <w:docPartObj>
        <w:docPartGallery w:val="Page Numbers (Bottom of Page)"/>
        <w:docPartUnique/>
      </w:docPartObj>
    </w:sdtPr>
    <w:sdtEndPr>
      <w:rPr>
        <w:noProof/>
      </w:rPr>
    </w:sdtEndPr>
    <w:sdtContent>
      <w:p w14:paraId="134A681C" w14:textId="77777777" w:rsidR="00E42CE1" w:rsidRDefault="00E42CE1" w:rsidP="00E42CE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EB18E" w14:textId="77777777" w:rsidR="00E42CE1" w:rsidRDefault="00E42CE1" w:rsidP="00E42CE1">
      <w:r>
        <w:separator/>
      </w:r>
    </w:p>
  </w:footnote>
  <w:footnote w:type="continuationSeparator" w:id="0">
    <w:p w14:paraId="35C7533F" w14:textId="77777777" w:rsidR="00E42CE1" w:rsidRDefault="00E42CE1" w:rsidP="00E42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CE1"/>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E2339"/>
    <w:rsid w:val="00935023"/>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42CE1"/>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42CE1"/>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42CE1"/>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14" Type="http://schemas.openxmlformats.org/officeDocument/2006/relationships/endnotes" Target="endnotes.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X3VAMR3A5FUY-552-3653</_dlc_DocId>
    <_dlc_DocIdUrl xmlns="ff5de93e-c5e8-4efc-a1bd-21450292fcfe">
      <Url>http://teams/Sections/RAP/_layouts/15/DocIdRedir.aspx?ID=X3VAMR3A5FUY-552-3653</Url>
      <Description>X3VAMR3A5FUY-552-3653</Description>
    </_dlc_DocIdUrl>
  </documentManagement>
</p:properties>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831F8-42E3-4E2F-A4FF-46092B2A0A92}"/>
</file>

<file path=customXml/itemProps2.xml><?xml version="1.0" encoding="utf-8"?>
<ds:datastoreItem xmlns:ds="http://schemas.openxmlformats.org/officeDocument/2006/customXml" ds:itemID="{1D86D55A-6A90-43CA-B822-11019947000E}"/>
</file>

<file path=customXml/itemProps3.xml><?xml version="1.0" encoding="utf-8"?>
<ds:datastoreItem xmlns:ds="http://schemas.openxmlformats.org/officeDocument/2006/customXml" ds:itemID="{17BC59D4-D970-4BBB-9524-EEE881CEAEDE}"/>
</file>

<file path=customXml/itemProps4.xml><?xml version="1.0" encoding="utf-8"?>
<ds:datastoreItem xmlns:ds="http://schemas.openxmlformats.org/officeDocument/2006/customXml" ds:itemID="{8AAC965E-B7C7-4F33-8491-0D3A7C0AC477}"/>
</file>

<file path=customXml/itemProps5.xml><?xml version="1.0" encoding="utf-8"?>
<ds:datastoreItem xmlns:ds="http://schemas.openxmlformats.org/officeDocument/2006/customXml" ds:itemID="{F46EE16B-2F07-4B42-8F21-28B7806E6E4E}"/>
</file>

<file path=customXml/itemProps6.xml><?xml version="1.0" encoding="utf-8"?>
<ds:datastoreItem xmlns:ds="http://schemas.openxmlformats.org/officeDocument/2006/customXml" ds:itemID="{0F6A64FC-E64A-4D10-A9C0-24739D5D47AF}"/>
</file>

<file path=customXml/itemProps7.xml><?xml version="1.0" encoding="utf-8"?>
<ds:datastoreItem xmlns:ds="http://schemas.openxmlformats.org/officeDocument/2006/customXml" ds:itemID="{9A0F6996-DA1E-4BCD-83FA-6A38E14D2859}"/>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3409</Characters>
  <Application>Microsoft Office Word</Application>
  <DocSecurity>0</DocSecurity>
  <Lines>28</Lines>
  <Paragraphs>7</Paragraphs>
  <ScaleCrop>false</ScaleCrop>
  <Company>Foodstandards</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2</cp:revision>
  <dcterms:created xsi:type="dcterms:W3CDTF">2016-03-08T04:45:00Z</dcterms:created>
  <dcterms:modified xsi:type="dcterms:W3CDTF">2016-03-08T04:45:00Z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DisposalClass">
    <vt:lpwstr/>
  </property>
  <property fmtid="{D5CDD505-2E9C-101B-9397-08002B2CF9AE}" pid="4" name="BCS_">
    <vt:lpwstr>846;#Instruments|4a8ff5e5-1f0e-4751-ab44-bc0d33b46a80</vt:lpwstr>
  </property>
  <property fmtid="{D5CDD505-2E9C-101B-9397-08002B2CF9AE}" pid="5" name="_dlc_DocIdItemGuid">
    <vt:lpwstr>9d08b460-a78d-4fcd-b88c-20ffd79f5742</vt:lpwstr>
  </property>
</Properties>
</file>