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customXml/itemProps6.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33BE" w:rsidRPr="00941C0D" w:rsidRDefault="001A583A" w:rsidP="0039795F">
      <w:pPr>
        <w:pStyle w:val="Heading1"/>
        <w:spacing w:after="240"/>
      </w:pPr>
      <w:bookmarkStart w:id="0" w:name="OLE_LINK1"/>
      <w:bookmarkStart w:id="1" w:name="OLE_LINK2"/>
      <w:r w:rsidRPr="00503E44">
        <w:t>EXPLANATORY STATEMENT</w:t>
      </w:r>
    </w:p>
    <w:p w:rsidR="00941C0D" w:rsidRPr="0039795F" w:rsidRDefault="001A583A" w:rsidP="0039795F">
      <w:pPr>
        <w:pStyle w:val="Heading2"/>
        <w:spacing w:after="240"/>
        <w:jc w:val="center"/>
        <w:rPr>
          <w:b w:val="0"/>
          <w:sz w:val="24"/>
          <w:szCs w:val="24"/>
        </w:rPr>
      </w:pPr>
      <w:r w:rsidRPr="0039795F">
        <w:rPr>
          <w:b w:val="0"/>
          <w:sz w:val="24"/>
          <w:szCs w:val="24"/>
        </w:rPr>
        <w:t>Issued by authority of the Minister for the Environment</w:t>
      </w:r>
    </w:p>
    <w:p w:rsidR="00B460E9" w:rsidRPr="00B460E9" w:rsidRDefault="001A583A" w:rsidP="0039795F">
      <w:pPr>
        <w:spacing w:before="240" w:after="240"/>
        <w:jc w:val="center"/>
        <w:rPr>
          <w:i/>
        </w:rPr>
      </w:pPr>
      <w:r>
        <w:rPr>
          <w:i/>
          <w:iCs/>
        </w:rPr>
        <w:t>Australian Renewable Energy Agency Act 2011</w:t>
      </w:r>
    </w:p>
    <w:p w:rsidR="00941C0D" w:rsidRPr="0039795F" w:rsidRDefault="001A583A" w:rsidP="0039795F">
      <w:pPr>
        <w:spacing w:before="240" w:after="240"/>
        <w:jc w:val="center"/>
        <w:rPr>
          <w:i/>
        </w:rPr>
      </w:pPr>
      <w:r>
        <w:rPr>
          <w:i/>
          <w:iCs/>
        </w:rPr>
        <w:t>Australian Renewable Energy Agency Regulation 2016</w:t>
      </w:r>
    </w:p>
    <w:p w:rsidR="00064919" w:rsidRDefault="001A583A" w:rsidP="00F71F27">
      <w:pPr>
        <w:spacing w:before="0" w:after="240"/>
      </w:pPr>
      <w:r>
        <w:rPr>
          <w:rFonts w:cs="Arial"/>
        </w:rPr>
        <w:t xml:space="preserve">The </w:t>
      </w:r>
      <w:r w:rsidRPr="0026434E">
        <w:rPr>
          <w:rFonts w:cs="Arial"/>
        </w:rPr>
        <w:t>Australian Renewable Energy Agency</w:t>
      </w:r>
      <w:r>
        <w:rPr>
          <w:rFonts w:cs="Arial"/>
        </w:rPr>
        <w:t xml:space="preserve"> (“ARENA”</w:t>
      </w:r>
      <w:r w:rsidRPr="0026434E">
        <w:rPr>
          <w:rFonts w:cs="Arial"/>
        </w:rPr>
        <w:t xml:space="preserve">), as established by the </w:t>
      </w:r>
      <w:r w:rsidRPr="0026434E">
        <w:rPr>
          <w:rFonts w:cs="Arial"/>
          <w:i/>
        </w:rPr>
        <w:t>Australian Renewable Energy Agency Act 2011</w:t>
      </w:r>
      <w:r w:rsidRPr="0026434E">
        <w:rPr>
          <w:rFonts w:cs="Arial"/>
        </w:rPr>
        <w:t xml:space="preserve"> </w:t>
      </w:r>
      <w:r>
        <w:rPr>
          <w:rFonts w:cs="Arial"/>
        </w:rPr>
        <w:t>(the “Act”</w:t>
      </w:r>
      <w:r w:rsidRPr="0026434E">
        <w:rPr>
          <w:rFonts w:cs="Arial"/>
        </w:rPr>
        <w:t xml:space="preserve">), </w:t>
      </w:r>
      <w:r>
        <w:t>has</w:t>
      </w:r>
      <w:r w:rsidRPr="0026434E">
        <w:t xml:space="preserve"> the dual objectives of improving the </w:t>
      </w:r>
      <w:r>
        <w:t>competitiveness</w:t>
      </w:r>
      <w:r w:rsidRPr="0026434E">
        <w:t xml:space="preserve"> of renewable energy </w:t>
      </w:r>
      <w:r>
        <w:t xml:space="preserve">technologies </w:t>
      </w:r>
      <w:r w:rsidRPr="0026434E">
        <w:t xml:space="preserve">and increasing </w:t>
      </w:r>
      <w:r>
        <w:t xml:space="preserve">the </w:t>
      </w:r>
      <w:r w:rsidRPr="0026434E">
        <w:t>supply of renewable energy in Australia</w:t>
      </w:r>
      <w:r w:rsidRPr="0026434E">
        <w:rPr>
          <w:rFonts w:cs="Arial"/>
        </w:rPr>
        <w:t xml:space="preserve">. Its legislated functions, as </w:t>
      </w:r>
      <w:r>
        <w:rPr>
          <w:rFonts w:cs="Arial"/>
        </w:rPr>
        <w:t>outlined</w:t>
      </w:r>
      <w:r w:rsidRPr="0026434E">
        <w:rPr>
          <w:rFonts w:cs="Arial"/>
        </w:rPr>
        <w:t xml:space="preserve"> in s</w:t>
      </w:r>
      <w:r>
        <w:rPr>
          <w:rFonts w:cs="Arial"/>
        </w:rPr>
        <w:t>ection</w:t>
      </w:r>
      <w:r w:rsidRPr="0026434E">
        <w:rPr>
          <w:rFonts w:cs="Arial"/>
        </w:rPr>
        <w:t xml:space="preserve"> 8 of the </w:t>
      </w:r>
      <w:r w:rsidRPr="00064919">
        <w:t>Act</w:t>
      </w:r>
      <w:r w:rsidRPr="0026434E">
        <w:rPr>
          <w:rFonts w:cs="Arial"/>
        </w:rPr>
        <w:t>, are primarily to provide financial assistance (currently limited to the form of grants) for research into, development and deployment of renewable energy technologies, and to engage in knowledge sharing in relation to the same.</w:t>
      </w:r>
      <w:r>
        <w:rPr>
          <w:rFonts w:cs="Arial"/>
        </w:rPr>
        <w:t xml:space="preserve"> </w:t>
      </w:r>
      <w:r>
        <w:t>Paragraph 8(f) further provides that these functions may be expanded through regulations.</w:t>
      </w:r>
    </w:p>
    <w:p w:rsidR="00F109D4" w:rsidRDefault="001A583A" w:rsidP="00F71F27">
      <w:pPr>
        <w:spacing w:before="0" w:after="240"/>
      </w:pPr>
      <w:r>
        <w:t>Section 74</w:t>
      </w:r>
      <w:r w:rsidRPr="002E63F8">
        <w:t xml:space="preserve"> </w:t>
      </w:r>
      <w:r w:rsidRPr="003E1CCD">
        <w:t xml:space="preserve">of the </w:t>
      </w:r>
      <w:r w:rsidRPr="003E1CCD">
        <w:rPr>
          <w:iCs/>
        </w:rPr>
        <w:t xml:space="preserve">Act provides that </w:t>
      </w:r>
      <w:r>
        <w:t>the Governor-</w:t>
      </w:r>
      <w:r w:rsidRPr="002E63F8">
        <w:t xml:space="preserve">General may make regulations prescribing matters required or permitted by the Act to be prescribed, or necessary or convenient to be prescribed for carrying out or giving effect to the </w:t>
      </w:r>
      <w:r>
        <w:t>Act</w:t>
      </w:r>
      <w:r w:rsidRPr="002E63F8">
        <w:t>.</w:t>
      </w:r>
      <w:r>
        <w:t xml:space="preserve"> There have not previously been any regulations made under the Act.</w:t>
      </w:r>
    </w:p>
    <w:p w:rsidR="00221988" w:rsidRPr="005C344F" w:rsidRDefault="001A583A" w:rsidP="005C344F">
      <w:pPr>
        <w:spacing w:before="0" w:after="240"/>
      </w:pPr>
      <w:r w:rsidRPr="005C344F">
        <w:t xml:space="preserve">The </w:t>
      </w:r>
      <w:r w:rsidRPr="005C344F">
        <w:rPr>
          <w:i/>
          <w:iCs/>
        </w:rPr>
        <w:t>Australian Renewable Energy Agency Regulation 2016</w:t>
      </w:r>
      <w:r w:rsidRPr="005C344F">
        <w:t xml:space="preserve"> (the “Regulation”)</w:t>
      </w:r>
      <w:r>
        <w:t xml:space="preserve">, made under </w:t>
      </w:r>
      <w:r w:rsidRPr="005C344F">
        <w:t xml:space="preserve">section 74 </w:t>
      </w:r>
      <w:r>
        <w:t xml:space="preserve">of the Act, </w:t>
      </w:r>
      <w:r w:rsidRPr="005C344F">
        <w:t>expands ARENA’s legislat</w:t>
      </w:r>
      <w:r>
        <w:t xml:space="preserve">ed functions for the purposes of paragraph 8(f) of the Act </w:t>
      </w:r>
      <w:r w:rsidRPr="005C344F">
        <w:t>to enable it to work with the Clean Energy Finance Corporation (</w:t>
      </w:r>
      <w:r>
        <w:t>the “</w:t>
      </w:r>
      <w:r w:rsidRPr="005C344F">
        <w:t>CEFC</w:t>
      </w:r>
      <w:r>
        <w:t>”</w:t>
      </w:r>
      <w:r w:rsidRPr="005C344F">
        <w:t xml:space="preserve">) on </w:t>
      </w:r>
      <w:r>
        <w:t>the</w:t>
      </w:r>
      <w:r w:rsidRPr="005C344F">
        <w:t xml:space="preserve"> Clean Energy Innovation Fund (</w:t>
      </w:r>
      <w:r>
        <w:t>the “</w:t>
      </w:r>
      <w:r w:rsidRPr="005C344F">
        <w:t>CEIF</w:t>
      </w:r>
      <w:r>
        <w:t>”</w:t>
      </w:r>
      <w:r w:rsidRPr="005C344F">
        <w:t>)</w:t>
      </w:r>
      <w:r>
        <w:t>.</w:t>
      </w:r>
    </w:p>
    <w:p w:rsidR="00EE2FAF" w:rsidRDefault="001A583A" w:rsidP="00A80AF5">
      <w:pPr>
        <w:spacing w:before="240" w:after="240"/>
      </w:pPr>
      <w:r>
        <w:t>An exposure draft of the Regulation was circulated to members of ARENA’s independent Expert Advisory Panel for consultation in April 2016. Comments received were taken into account in finalising the Regulation.</w:t>
      </w:r>
    </w:p>
    <w:p w:rsidR="00221988" w:rsidRPr="001B0EC8" w:rsidRDefault="001A583A" w:rsidP="002B6A65">
      <w:pPr>
        <w:pStyle w:val="Bullet"/>
        <w:numPr>
          <w:ilvl w:val="0"/>
          <w:numId w:val="0"/>
        </w:numPr>
        <w:spacing w:before="200" w:after="200"/>
      </w:pPr>
      <w:r w:rsidRPr="004109D3">
        <w:t xml:space="preserve">Details of the Regulation are </w:t>
      </w:r>
      <w:r>
        <w:t>outlined</w:t>
      </w:r>
      <w:r w:rsidRPr="004109D3">
        <w:t xml:space="preserve"> in </w:t>
      </w:r>
      <w:r>
        <w:rPr>
          <w:u w:val="single"/>
        </w:rPr>
        <w:t>Attachment A</w:t>
      </w:r>
      <w:r>
        <w:t>.</w:t>
      </w:r>
    </w:p>
    <w:p w:rsidR="00221988" w:rsidRDefault="001A583A" w:rsidP="002B6A65">
      <w:pPr>
        <w:spacing w:before="200" w:after="200"/>
      </w:pPr>
      <w:r w:rsidRPr="0038144C">
        <w:t xml:space="preserve">A statement of the Regulation’s compatibility with human </w:t>
      </w:r>
      <w:r>
        <w:t xml:space="preserve">rights is set out in </w:t>
      </w:r>
      <w:r w:rsidRPr="0047361F">
        <w:rPr>
          <w:u w:val="single"/>
        </w:rPr>
        <w:t>Attachment</w:t>
      </w:r>
      <w:r>
        <w:rPr>
          <w:u w:val="single"/>
        </w:rPr>
        <w:t xml:space="preserve"> B</w:t>
      </w:r>
      <w:r w:rsidRPr="0038144C">
        <w:t>.</w:t>
      </w:r>
    </w:p>
    <w:bookmarkEnd w:id="0"/>
    <w:bookmarkEnd w:id="1"/>
    <w:p w:rsidR="005C344F" w:rsidRDefault="001A583A" w:rsidP="005C344F">
      <w:pPr>
        <w:pStyle w:val="Bullet"/>
        <w:numPr>
          <w:ilvl w:val="0"/>
          <w:numId w:val="0"/>
        </w:numPr>
        <w:spacing w:before="200" w:after="200"/>
      </w:pPr>
      <w:r w:rsidRPr="0024714A">
        <w:t xml:space="preserve">The Office of Best Practice Regulation (OBPR) </w:t>
      </w:r>
      <w:r>
        <w:t>agreed that the proposed refocusing of ARENA’s role had a nil regulatory impact, as set out in a Cabinet-in-Confidence</w:t>
      </w:r>
      <w:r w:rsidRPr="00721D91">
        <w:t xml:space="preserve"> short-form Regulation Impact Statement</w:t>
      </w:r>
      <w:r w:rsidRPr="0024714A">
        <w:t>. The OBPR ref</w:t>
      </w:r>
      <w:r>
        <w:t>erence number for this matter i</w:t>
      </w:r>
      <w:r w:rsidRPr="0024714A">
        <w:t>s 19886</w:t>
      </w:r>
      <w:r>
        <w:t>.</w:t>
      </w:r>
    </w:p>
    <w:p w:rsidR="00A00301" w:rsidRDefault="001A583A" w:rsidP="00A00301">
      <w:pPr>
        <w:pStyle w:val="Bullet"/>
        <w:numPr>
          <w:ilvl w:val="0"/>
          <w:numId w:val="0"/>
        </w:numPr>
        <w:spacing w:before="200" w:after="200"/>
      </w:pPr>
      <w:r w:rsidRPr="004109D3">
        <w:t>There are no statutory pre-conditions that need to be satisfied before the power to make the Regulation</w:t>
      </w:r>
      <w:r>
        <w:t xml:space="preserve"> may be exercised.</w:t>
      </w:r>
    </w:p>
    <w:p w:rsidR="00A00301" w:rsidRDefault="009015E5" w:rsidP="005C344F">
      <w:pPr>
        <w:pStyle w:val="Bullet"/>
        <w:numPr>
          <w:ilvl w:val="0"/>
          <w:numId w:val="0"/>
        </w:numPr>
        <w:spacing w:before="200" w:after="200"/>
      </w:pPr>
    </w:p>
    <w:p w:rsidR="00221988" w:rsidRDefault="001A583A" w:rsidP="002B6A65">
      <w:pPr>
        <w:tabs>
          <w:tab w:val="left" w:pos="1701"/>
          <w:tab w:val="right" w:pos="9072"/>
        </w:tabs>
        <w:spacing w:before="200" w:after="200"/>
        <w:ind w:right="91"/>
        <w:rPr>
          <w:rFonts w:ascii="Helvetica" w:hAnsi="Helvetica"/>
          <w:b/>
          <w:kern w:val="28"/>
        </w:rPr>
      </w:pPr>
      <w:r>
        <w:br w:type="page"/>
      </w:r>
    </w:p>
    <w:p w:rsidR="002D0C0C" w:rsidRPr="001550FB" w:rsidRDefault="001A583A" w:rsidP="00773782">
      <w:pPr>
        <w:tabs>
          <w:tab w:val="right" w:pos="9072"/>
        </w:tabs>
        <w:spacing w:before="0" w:after="240"/>
        <w:ind w:right="91"/>
        <w:jc w:val="right"/>
        <w:rPr>
          <w:b/>
          <w:u w:val="single"/>
        </w:rPr>
      </w:pPr>
      <w:r w:rsidRPr="001550FB">
        <w:rPr>
          <w:b/>
          <w:u w:val="single"/>
        </w:rPr>
        <w:lastRenderedPageBreak/>
        <w:t>ATTACHMENT</w:t>
      </w:r>
      <w:r>
        <w:rPr>
          <w:b/>
          <w:u w:val="single"/>
        </w:rPr>
        <w:t xml:space="preserve"> A</w:t>
      </w:r>
    </w:p>
    <w:p w:rsidR="002D0C0C" w:rsidRPr="00AE1A69" w:rsidRDefault="001A583A" w:rsidP="00723C9D">
      <w:pPr>
        <w:keepNext/>
        <w:spacing w:after="240"/>
        <w:jc w:val="center"/>
        <w:outlineLvl w:val="1"/>
        <w:rPr>
          <w:b/>
          <w:i/>
          <w:szCs w:val="24"/>
          <w:u w:val="single"/>
        </w:rPr>
      </w:pPr>
      <w:r w:rsidRPr="00AE1A69">
        <w:rPr>
          <w:b/>
        </w:rPr>
        <w:t xml:space="preserve">Details of the </w:t>
      </w:r>
      <w:r w:rsidRPr="00AE1A69">
        <w:rPr>
          <w:b/>
          <w:i/>
          <w:iCs/>
        </w:rPr>
        <w:t>Australian Renewable Energy Agency Regulation 2016</w:t>
      </w:r>
    </w:p>
    <w:p w:rsidR="001F5A3D" w:rsidRPr="00B9380B" w:rsidRDefault="001A583A" w:rsidP="00DE0467">
      <w:pPr>
        <w:spacing w:before="0" w:after="240"/>
        <w:ind w:right="91"/>
        <w:rPr>
          <w:szCs w:val="24"/>
        </w:rPr>
      </w:pPr>
      <w:r>
        <w:rPr>
          <w:szCs w:val="24"/>
          <w:u w:val="single"/>
        </w:rPr>
        <w:t>Regulation 1 – Name</w:t>
      </w:r>
    </w:p>
    <w:p w:rsidR="001F5A3D" w:rsidRPr="00F90D84" w:rsidRDefault="001A583A" w:rsidP="001F5A3D">
      <w:pPr>
        <w:spacing w:before="0" w:after="240"/>
        <w:ind w:right="91"/>
        <w:rPr>
          <w:szCs w:val="24"/>
        </w:rPr>
      </w:pPr>
      <w:r>
        <w:rPr>
          <w:szCs w:val="24"/>
        </w:rPr>
        <w:t>Regulation 1</w:t>
      </w:r>
      <w:r w:rsidRPr="00F90D84">
        <w:rPr>
          <w:szCs w:val="24"/>
        </w:rPr>
        <w:t xml:space="preserve"> provides that the title of the Regulation is the </w:t>
      </w:r>
      <w:r>
        <w:rPr>
          <w:i/>
          <w:iCs/>
        </w:rPr>
        <w:t>Australian Renewable Energy Agency Regulation 2016</w:t>
      </w:r>
      <w:r w:rsidRPr="00F90D84">
        <w:rPr>
          <w:szCs w:val="24"/>
        </w:rPr>
        <w:t>.</w:t>
      </w:r>
    </w:p>
    <w:p w:rsidR="001F5A3D" w:rsidRPr="00FC52C4" w:rsidRDefault="001A583A" w:rsidP="001F5A3D">
      <w:pPr>
        <w:spacing w:before="0" w:after="240"/>
        <w:ind w:right="91"/>
        <w:rPr>
          <w:szCs w:val="24"/>
          <w:u w:val="single"/>
        </w:rPr>
      </w:pPr>
      <w:r>
        <w:rPr>
          <w:szCs w:val="24"/>
          <w:u w:val="single"/>
        </w:rPr>
        <w:t xml:space="preserve">Regulation </w:t>
      </w:r>
      <w:r w:rsidRPr="00FC52C4">
        <w:rPr>
          <w:szCs w:val="24"/>
          <w:u w:val="single"/>
        </w:rPr>
        <w:t>2 – Commencement</w:t>
      </w:r>
    </w:p>
    <w:p w:rsidR="001F5A3D" w:rsidRPr="003A612B" w:rsidRDefault="001A583A" w:rsidP="001F5A3D">
      <w:pPr>
        <w:spacing w:before="0" w:after="240"/>
        <w:ind w:right="91"/>
        <w:rPr>
          <w:szCs w:val="24"/>
        </w:rPr>
      </w:pPr>
      <w:r>
        <w:rPr>
          <w:szCs w:val="24"/>
        </w:rPr>
        <w:t>Regulation 2</w:t>
      </w:r>
      <w:r w:rsidRPr="00FC52C4">
        <w:rPr>
          <w:szCs w:val="24"/>
        </w:rPr>
        <w:t xml:space="preserve"> </w:t>
      </w:r>
      <w:r>
        <w:rPr>
          <w:szCs w:val="24"/>
        </w:rPr>
        <w:t>provides</w:t>
      </w:r>
      <w:r w:rsidRPr="00FC52C4">
        <w:rPr>
          <w:szCs w:val="24"/>
        </w:rPr>
        <w:t xml:space="preserve"> that the Regulation commences</w:t>
      </w:r>
      <w:r>
        <w:rPr>
          <w:szCs w:val="24"/>
        </w:rPr>
        <w:t xml:space="preserve"> the day after it is registered on the Federal Register of Legislation.</w:t>
      </w:r>
    </w:p>
    <w:p w:rsidR="001F5A3D" w:rsidRPr="001C68D5" w:rsidRDefault="001A583A" w:rsidP="001F5A3D">
      <w:pPr>
        <w:spacing w:before="0" w:after="240"/>
        <w:ind w:right="91"/>
        <w:rPr>
          <w:szCs w:val="24"/>
        </w:rPr>
      </w:pPr>
      <w:r>
        <w:rPr>
          <w:szCs w:val="24"/>
          <w:u w:val="single"/>
        </w:rPr>
        <w:t xml:space="preserve">Regulation </w:t>
      </w:r>
      <w:r w:rsidRPr="00286CC0">
        <w:rPr>
          <w:szCs w:val="24"/>
          <w:u w:val="single"/>
        </w:rPr>
        <w:t>3 – Authority</w:t>
      </w:r>
    </w:p>
    <w:p w:rsidR="001F5A3D" w:rsidRPr="001C68D5" w:rsidRDefault="001A583A" w:rsidP="001F5A3D">
      <w:pPr>
        <w:spacing w:before="0" w:after="240"/>
        <w:ind w:right="91"/>
        <w:rPr>
          <w:i/>
          <w:szCs w:val="24"/>
        </w:rPr>
      </w:pPr>
      <w:r>
        <w:rPr>
          <w:szCs w:val="24"/>
        </w:rPr>
        <w:t>Regulation 3 provides</w:t>
      </w:r>
      <w:r w:rsidRPr="00D33F05">
        <w:rPr>
          <w:szCs w:val="24"/>
        </w:rPr>
        <w:t xml:space="preserve"> that the </w:t>
      </w:r>
      <w:r w:rsidRPr="00FC52C4">
        <w:rPr>
          <w:szCs w:val="24"/>
        </w:rPr>
        <w:t xml:space="preserve">Regulation is made under </w:t>
      </w:r>
      <w:r w:rsidRPr="003E1CCD">
        <w:t xml:space="preserve">the </w:t>
      </w:r>
      <w:r w:rsidRPr="003E1CCD">
        <w:rPr>
          <w:iCs/>
        </w:rPr>
        <w:t>Act</w:t>
      </w:r>
      <w:r>
        <w:rPr>
          <w:iCs/>
        </w:rPr>
        <w:t>.</w:t>
      </w:r>
    </w:p>
    <w:p w:rsidR="001F5A3D" w:rsidRPr="00FC52C4" w:rsidRDefault="001A583A" w:rsidP="008019CF">
      <w:pPr>
        <w:spacing w:before="0" w:after="240"/>
        <w:ind w:right="91"/>
        <w:rPr>
          <w:szCs w:val="24"/>
          <w:u w:val="single"/>
        </w:rPr>
      </w:pPr>
      <w:r>
        <w:rPr>
          <w:szCs w:val="24"/>
          <w:u w:val="single"/>
        </w:rPr>
        <w:t xml:space="preserve">Regulation </w:t>
      </w:r>
      <w:r w:rsidRPr="00D33F05">
        <w:rPr>
          <w:szCs w:val="24"/>
          <w:u w:val="single"/>
        </w:rPr>
        <w:t xml:space="preserve">4 – </w:t>
      </w:r>
      <w:r>
        <w:rPr>
          <w:szCs w:val="24"/>
          <w:u w:val="single"/>
        </w:rPr>
        <w:t>Definitions</w:t>
      </w:r>
    </w:p>
    <w:p w:rsidR="001F5A3D" w:rsidRPr="00FC52C4" w:rsidRDefault="001A583A" w:rsidP="001F5A3D">
      <w:pPr>
        <w:spacing w:before="0" w:after="240"/>
        <w:rPr>
          <w:szCs w:val="24"/>
        </w:rPr>
      </w:pPr>
      <w:r>
        <w:rPr>
          <w:szCs w:val="24"/>
        </w:rPr>
        <w:t>Regulation 4</w:t>
      </w:r>
      <w:r w:rsidRPr="00FC52C4">
        <w:rPr>
          <w:szCs w:val="24"/>
        </w:rPr>
        <w:t xml:space="preserve"> </w:t>
      </w:r>
      <w:r>
        <w:rPr>
          <w:szCs w:val="24"/>
        </w:rPr>
        <w:t>provides</w:t>
      </w:r>
      <w:r w:rsidRPr="00FC52C4">
        <w:rPr>
          <w:szCs w:val="24"/>
        </w:rPr>
        <w:t xml:space="preserve"> </w:t>
      </w:r>
      <w:r>
        <w:rPr>
          <w:szCs w:val="24"/>
        </w:rPr>
        <w:t>definitions for the terms “Act” and “Clean Energy Innovation Fund”.</w:t>
      </w:r>
    </w:p>
    <w:p w:rsidR="001F5A3D" w:rsidRPr="00FC52C4" w:rsidRDefault="001A583A" w:rsidP="001F5A3D">
      <w:pPr>
        <w:pStyle w:val="Bullet"/>
        <w:numPr>
          <w:ilvl w:val="0"/>
          <w:numId w:val="0"/>
        </w:numPr>
        <w:spacing w:before="0" w:after="240"/>
        <w:rPr>
          <w:u w:val="single"/>
        </w:rPr>
      </w:pPr>
      <w:r>
        <w:rPr>
          <w:szCs w:val="24"/>
          <w:u w:val="single"/>
        </w:rPr>
        <w:t xml:space="preserve">Regulation </w:t>
      </w:r>
      <w:r>
        <w:rPr>
          <w:u w:val="single"/>
        </w:rPr>
        <w:t>5</w:t>
      </w:r>
      <w:r w:rsidRPr="00FC52C4">
        <w:rPr>
          <w:u w:val="single"/>
        </w:rPr>
        <w:t xml:space="preserve"> – </w:t>
      </w:r>
      <w:r>
        <w:rPr>
          <w:u w:val="single"/>
        </w:rPr>
        <w:t>ARENA’s prescribed functions</w:t>
      </w:r>
    </w:p>
    <w:p w:rsidR="00951A35" w:rsidRDefault="001A583A" w:rsidP="00EE1D2C">
      <w:pPr>
        <w:pStyle w:val="Bullet"/>
        <w:numPr>
          <w:ilvl w:val="0"/>
          <w:numId w:val="0"/>
        </w:numPr>
        <w:spacing w:before="0" w:after="240"/>
      </w:pPr>
      <w:r>
        <w:t xml:space="preserve">Regulation 5 expands ARENA’s legislated functions under paragraph 8(f) of the Act to enable it to </w:t>
      </w:r>
      <w:r w:rsidRPr="005C344F">
        <w:t xml:space="preserve">work with the CEFC on </w:t>
      </w:r>
      <w:r>
        <w:t xml:space="preserve">the new </w:t>
      </w:r>
      <w:r w:rsidRPr="005C344F">
        <w:t>CEIF</w:t>
      </w:r>
      <w:r>
        <w:t>.</w:t>
      </w:r>
    </w:p>
    <w:p w:rsidR="00951A35" w:rsidRDefault="001A583A" w:rsidP="00EE1D2C">
      <w:pPr>
        <w:pStyle w:val="Bullet"/>
        <w:numPr>
          <w:ilvl w:val="0"/>
          <w:numId w:val="0"/>
        </w:numPr>
        <w:spacing w:before="0" w:after="240"/>
      </w:pPr>
      <w:r>
        <w:t>Specifically, paragraph (1</w:t>
      </w:r>
      <w:proofErr w:type="gramStart"/>
      <w:r>
        <w:t>)(</w:t>
      </w:r>
      <w:proofErr w:type="gramEnd"/>
      <w:r>
        <w:t xml:space="preserve">a) permits ARENA to </w:t>
      </w:r>
      <w:r w:rsidRPr="007765F8">
        <w:t xml:space="preserve">assist the CEFC in the governance, management and administration of the CEIF in relation to </w:t>
      </w:r>
      <w:r>
        <w:t xml:space="preserve">clean energy technologies within the meaning of section 60 of the Act (i.e. </w:t>
      </w:r>
      <w:r w:rsidRPr="007765F8">
        <w:t>energy efficiency, low-emission and renewable energy technologies</w:t>
      </w:r>
      <w:r>
        <w:t>).</w:t>
      </w:r>
    </w:p>
    <w:p w:rsidR="00951A35" w:rsidRDefault="001A583A" w:rsidP="00951A35">
      <w:pPr>
        <w:pStyle w:val="Bullet"/>
        <w:numPr>
          <w:ilvl w:val="0"/>
          <w:numId w:val="0"/>
        </w:numPr>
        <w:spacing w:before="0" w:after="240"/>
      </w:pPr>
      <w:r>
        <w:t>Paragraph (1</w:t>
      </w:r>
      <w:proofErr w:type="gramStart"/>
      <w:r>
        <w:t>)(</w:t>
      </w:r>
      <w:proofErr w:type="gramEnd"/>
      <w:r>
        <w:t>b) further expands upon paragraph (1)(a) to make it clear that ARENA’s new legislated function includes:</w:t>
      </w:r>
    </w:p>
    <w:p w:rsidR="00951A35" w:rsidRDefault="001A583A" w:rsidP="00951A35">
      <w:pPr>
        <w:pStyle w:val="ListBullet"/>
      </w:pPr>
      <w:r>
        <w:t>assisting prospective CEIF project proponents to develop project proposals; and</w:t>
      </w:r>
    </w:p>
    <w:p w:rsidR="00951A35" w:rsidRDefault="001A583A" w:rsidP="00951A35">
      <w:pPr>
        <w:pStyle w:val="ListBullet"/>
        <w:spacing w:after="240"/>
        <w:ind w:left="357" w:hanging="357"/>
      </w:pPr>
      <w:proofErr w:type="gramStart"/>
      <w:r>
        <w:t>providing</w:t>
      </w:r>
      <w:proofErr w:type="gramEnd"/>
      <w:r>
        <w:t xml:space="preserve"> technical analysis and advice to the CEFC in relation to CEIF project proposals.</w:t>
      </w:r>
    </w:p>
    <w:p w:rsidR="00951A35" w:rsidRDefault="001A583A" w:rsidP="007E4FE0">
      <w:pPr>
        <w:pStyle w:val="Bullet"/>
        <w:numPr>
          <w:ilvl w:val="0"/>
          <w:numId w:val="0"/>
        </w:numPr>
        <w:spacing w:before="0" w:after="240"/>
      </w:pPr>
      <w:r>
        <w:t xml:space="preserve">Sub-regulation 5(1) as a whole is intended to provide a broad basis for ARENA’s involvement in all aspects of the CEIF. This would include assisting with the development and implementation of, and the strategising associated with, the CEIF. It would also include contractual and financial management functions. It is expected that a memorandum of understanding will be developed between ARENA and the CEFC in relation to this role. ARENA, through paragraph 8(h) of the Act, also has the power to do anything incidental to, or conducive to the performance of, </w:t>
      </w:r>
      <w:proofErr w:type="gramStart"/>
      <w:r>
        <w:t>its</w:t>
      </w:r>
      <w:proofErr w:type="gramEnd"/>
      <w:r>
        <w:t xml:space="preserve"> legislated functions – which include its new function under the Regulation.</w:t>
      </w:r>
    </w:p>
    <w:p w:rsidR="007E4FE0" w:rsidRDefault="001A583A" w:rsidP="007E4FE0">
      <w:pPr>
        <w:pStyle w:val="Bullet"/>
        <w:numPr>
          <w:ilvl w:val="0"/>
          <w:numId w:val="0"/>
        </w:numPr>
        <w:spacing w:before="0" w:after="240"/>
      </w:pPr>
      <w:r>
        <w:lastRenderedPageBreak/>
        <w:t xml:space="preserve">Sub-regulation 5(2) further clarifies that the CEIF is the fund of the same name identified in the CEFC’s </w:t>
      </w:r>
      <w:r w:rsidRPr="00C7350E">
        <w:rPr>
          <w:szCs w:val="24"/>
        </w:rPr>
        <w:t>Investment</w:t>
      </w:r>
      <w:r>
        <w:t xml:space="preserve"> Mandate.</w:t>
      </w:r>
      <w:r>
        <w:rPr>
          <w:rStyle w:val="FootnoteReference"/>
        </w:rPr>
        <w:footnoteReference w:id="1"/>
      </w:r>
      <w:r>
        <w:t xml:space="preserve"> Investments in the CEIF will be made by the CEFC in accordance with the Act and relevant Investment Mandate</w:t>
      </w:r>
      <w:r>
        <w:rPr>
          <w:i/>
        </w:rPr>
        <w:t>.</w:t>
      </w:r>
    </w:p>
    <w:p w:rsidR="007E4FE0" w:rsidRDefault="001A583A" w:rsidP="007E4FE0">
      <w:pPr>
        <w:pStyle w:val="Bullet"/>
        <w:numPr>
          <w:ilvl w:val="0"/>
          <w:numId w:val="0"/>
        </w:numPr>
        <w:spacing w:before="0" w:after="240"/>
      </w:pPr>
      <w:r>
        <w:t>Regulation 5 is necessary to clearly provide ARENA with the legislated function identified above, which extends its advisory role beyond renewable energy but does not expand its own investment portfolio</w:t>
      </w:r>
      <w:r>
        <w:rPr>
          <w:rStyle w:val="FootnoteReference"/>
        </w:rPr>
        <w:footnoteReference w:id="2"/>
      </w:r>
      <w:r>
        <w:t xml:space="preserve"> or scope to offer financial assistance as provided under the Act.</w:t>
      </w:r>
      <w:r>
        <w:rPr>
          <w:rStyle w:val="FootnoteReference"/>
        </w:rPr>
        <w:footnoteReference w:id="3"/>
      </w:r>
    </w:p>
    <w:p w:rsidR="007E4FE0" w:rsidRDefault="001A583A" w:rsidP="007E4FE0">
      <w:pPr>
        <w:pStyle w:val="Bullet"/>
        <w:numPr>
          <w:ilvl w:val="0"/>
          <w:numId w:val="0"/>
        </w:numPr>
        <w:spacing w:before="0" w:after="240"/>
      </w:pPr>
      <w:r>
        <w:t>Regulation 5 is appropriately made within the scope of the power provided in paragraph 8(f) of the Act. In particular, the wording of paragraph 8(f) of the Act is not limited to renewable energy and the broader concept of clean energy technologies are another important policy measure that is appropriate and adapted to implementing Australia’s international emission reduction obligations under the United Nations Framework Convention on Climate Change and related climate change agreements.</w:t>
      </w:r>
    </w:p>
    <w:p w:rsidR="00951A35" w:rsidRDefault="009015E5" w:rsidP="00EE1D2C">
      <w:pPr>
        <w:pStyle w:val="Bullet"/>
        <w:numPr>
          <w:ilvl w:val="0"/>
          <w:numId w:val="0"/>
        </w:numPr>
        <w:spacing w:before="0" w:after="240"/>
      </w:pPr>
    </w:p>
    <w:p w:rsidR="005B17D1" w:rsidRDefault="001A583A">
      <w:pPr>
        <w:spacing w:before="0" w:after="0"/>
        <w:rPr>
          <w:szCs w:val="24"/>
        </w:rPr>
      </w:pPr>
      <w:r>
        <w:rPr>
          <w:szCs w:val="24"/>
        </w:rPr>
        <w:br w:type="page"/>
      </w:r>
    </w:p>
    <w:p w:rsidR="005B17D1" w:rsidRDefault="001A583A" w:rsidP="005B17D1">
      <w:pPr>
        <w:tabs>
          <w:tab w:val="right" w:pos="9072"/>
        </w:tabs>
        <w:spacing w:after="240"/>
        <w:ind w:right="91"/>
        <w:jc w:val="right"/>
        <w:rPr>
          <w:b/>
          <w:szCs w:val="24"/>
          <w:u w:val="single"/>
        </w:rPr>
      </w:pPr>
      <w:r>
        <w:rPr>
          <w:b/>
          <w:szCs w:val="24"/>
          <w:u w:val="single"/>
        </w:rPr>
        <w:t>ATTACHMENT B</w:t>
      </w:r>
    </w:p>
    <w:p w:rsidR="005B17D1" w:rsidRDefault="001A583A" w:rsidP="005B17D1">
      <w:pPr>
        <w:pStyle w:val="Heading3"/>
        <w:spacing w:before="0" w:after="240"/>
        <w:jc w:val="center"/>
        <w:rPr>
          <w:szCs w:val="24"/>
        </w:rPr>
      </w:pPr>
      <w:r>
        <w:rPr>
          <w:szCs w:val="24"/>
        </w:rPr>
        <w:t>Statement of Compatibility with Human Rights</w:t>
      </w:r>
    </w:p>
    <w:p w:rsidR="005B17D1" w:rsidRDefault="001A583A" w:rsidP="005B17D1">
      <w:pPr>
        <w:spacing w:after="240"/>
        <w:jc w:val="center"/>
        <w:rPr>
          <w:i/>
          <w:szCs w:val="24"/>
        </w:rPr>
      </w:pPr>
      <w:r>
        <w:rPr>
          <w:i/>
          <w:szCs w:val="24"/>
        </w:rPr>
        <w:t>Prepared in accordance with Part 3 of the Human Rights (Parliamentary Scrutiny) Act 2011</w:t>
      </w:r>
    </w:p>
    <w:p w:rsidR="00723C9D" w:rsidRPr="00723C9D" w:rsidRDefault="009015E5" w:rsidP="00723C9D">
      <w:pPr>
        <w:spacing w:after="240"/>
        <w:rPr>
          <w:szCs w:val="24"/>
        </w:rPr>
      </w:pPr>
    </w:p>
    <w:p w:rsidR="00723C9D" w:rsidRPr="003803AF" w:rsidRDefault="001A583A" w:rsidP="00723C9D">
      <w:pPr>
        <w:spacing w:before="240" w:after="240"/>
        <w:jc w:val="center"/>
        <w:rPr>
          <w:b/>
          <w:i/>
        </w:rPr>
      </w:pPr>
      <w:r w:rsidRPr="003803AF">
        <w:rPr>
          <w:b/>
          <w:i/>
          <w:iCs/>
        </w:rPr>
        <w:t>Australian Renewable Energy Agency Regulation 2016</w:t>
      </w:r>
    </w:p>
    <w:p w:rsidR="005B17D1" w:rsidRDefault="001A583A" w:rsidP="005B17D1">
      <w:pPr>
        <w:spacing w:after="240"/>
        <w:rPr>
          <w:szCs w:val="24"/>
        </w:rPr>
      </w:pPr>
      <w:r>
        <w:rPr>
          <w:szCs w:val="24"/>
        </w:rPr>
        <w:t xml:space="preserve">This Legislative Instrument is compatible with the human rights and freedoms recognised or declared in the international instruments listed in section 3 of the </w:t>
      </w:r>
      <w:r>
        <w:rPr>
          <w:i/>
          <w:szCs w:val="24"/>
        </w:rPr>
        <w:t>Human Rights (Parliamentary Scrutiny) Act 2011</w:t>
      </w:r>
      <w:r>
        <w:rPr>
          <w:szCs w:val="24"/>
        </w:rPr>
        <w:t>.</w:t>
      </w:r>
    </w:p>
    <w:p w:rsidR="005B17D1" w:rsidRDefault="001A583A" w:rsidP="005B17D1">
      <w:pPr>
        <w:pStyle w:val="Heading4"/>
        <w:spacing w:after="240"/>
        <w:rPr>
          <w:szCs w:val="24"/>
        </w:rPr>
      </w:pPr>
      <w:r>
        <w:rPr>
          <w:szCs w:val="24"/>
        </w:rPr>
        <w:t>Overview of the Legislative Instrument</w:t>
      </w:r>
    </w:p>
    <w:p w:rsidR="005B17D1" w:rsidRPr="00FE795E" w:rsidRDefault="001A583A" w:rsidP="005B17D1">
      <w:pPr>
        <w:spacing w:after="240"/>
        <w:rPr>
          <w:szCs w:val="24"/>
        </w:rPr>
      </w:pPr>
      <w:r>
        <w:rPr>
          <w:szCs w:val="24"/>
        </w:rPr>
        <w:t>T</w:t>
      </w:r>
      <w:r w:rsidRPr="00FE795E">
        <w:rPr>
          <w:szCs w:val="24"/>
        </w:rPr>
        <w:t xml:space="preserve">he </w:t>
      </w:r>
      <w:r>
        <w:rPr>
          <w:i/>
          <w:iCs/>
        </w:rPr>
        <w:t>Australian Renewable Energy Agency Regulation 2016</w:t>
      </w:r>
      <w:r w:rsidRPr="003803AF">
        <w:rPr>
          <w:iCs/>
        </w:rPr>
        <w:t xml:space="preserve"> </w:t>
      </w:r>
      <w:r w:rsidRPr="005C344F">
        <w:t xml:space="preserve">expands </w:t>
      </w:r>
      <w:r>
        <w:t xml:space="preserve">the legislated functions of the Australian Renewable Energy Agency </w:t>
      </w:r>
      <w:r w:rsidRPr="005C344F">
        <w:t xml:space="preserve">to enable it to work with the Clean Energy Finance Corporation on </w:t>
      </w:r>
      <w:r>
        <w:t>administering the</w:t>
      </w:r>
      <w:r w:rsidRPr="005C344F">
        <w:t xml:space="preserve"> </w:t>
      </w:r>
      <w:r>
        <w:t>Clean Energy Innovation Fund.</w:t>
      </w:r>
    </w:p>
    <w:p w:rsidR="005B17D1" w:rsidRDefault="001A583A" w:rsidP="005B17D1">
      <w:pPr>
        <w:pStyle w:val="Heading4"/>
        <w:spacing w:after="240"/>
        <w:rPr>
          <w:szCs w:val="24"/>
        </w:rPr>
      </w:pPr>
      <w:r>
        <w:rPr>
          <w:szCs w:val="24"/>
        </w:rPr>
        <w:t>Human rights implications</w:t>
      </w:r>
    </w:p>
    <w:p w:rsidR="00C507FD" w:rsidRDefault="001A583A" w:rsidP="00742F0C">
      <w:pPr>
        <w:spacing w:after="240"/>
        <w:rPr>
          <w:szCs w:val="24"/>
        </w:rPr>
      </w:pPr>
      <w:r>
        <w:rPr>
          <w:szCs w:val="24"/>
        </w:rPr>
        <w:t>This Legislative Instrument does not engage any of the applicable human rights or freedoms.</w:t>
      </w:r>
    </w:p>
    <w:p w:rsidR="005B17D1" w:rsidRDefault="001A583A" w:rsidP="005B17D1">
      <w:pPr>
        <w:pStyle w:val="Heading4"/>
        <w:spacing w:after="240"/>
        <w:rPr>
          <w:szCs w:val="24"/>
        </w:rPr>
      </w:pPr>
      <w:r>
        <w:rPr>
          <w:szCs w:val="24"/>
        </w:rPr>
        <w:t>Conclusion</w:t>
      </w:r>
    </w:p>
    <w:p w:rsidR="00CC032A" w:rsidRDefault="001A583A">
      <w:pPr>
        <w:rPr>
          <w:szCs w:val="24"/>
        </w:rPr>
      </w:pPr>
      <w:r>
        <w:rPr>
          <w:szCs w:val="24"/>
        </w:rPr>
        <w:t>This Legislative Instrument is compatible with human rights as it does not raise any human rights issues.</w:t>
      </w:r>
    </w:p>
    <w:p w:rsidR="00FE795E" w:rsidRDefault="009015E5">
      <w:pPr>
        <w:rPr>
          <w:szCs w:val="24"/>
        </w:rPr>
      </w:pPr>
    </w:p>
    <w:p w:rsidR="003515C5" w:rsidRDefault="009015E5">
      <w:pPr>
        <w:rPr>
          <w:szCs w:val="24"/>
        </w:rPr>
      </w:pPr>
    </w:p>
    <w:p w:rsidR="00723C9D" w:rsidRPr="00FE795E" w:rsidRDefault="001A583A" w:rsidP="00FE795E">
      <w:pPr>
        <w:jc w:val="center"/>
        <w:rPr>
          <w:b/>
          <w:szCs w:val="24"/>
        </w:rPr>
      </w:pPr>
      <w:r w:rsidRPr="00FE795E">
        <w:rPr>
          <w:b/>
          <w:szCs w:val="24"/>
        </w:rPr>
        <w:t>The Hon Greg Hunt MP</w:t>
      </w:r>
    </w:p>
    <w:p w:rsidR="00AC5531" w:rsidRDefault="001A583A" w:rsidP="003803AF">
      <w:pPr>
        <w:jc w:val="center"/>
        <w:rPr>
          <w:b/>
          <w:szCs w:val="24"/>
        </w:rPr>
      </w:pPr>
      <w:r w:rsidRPr="00FE795E">
        <w:rPr>
          <w:b/>
          <w:szCs w:val="24"/>
        </w:rPr>
        <w:t>Minister for the Environment</w:t>
      </w:r>
    </w:p>
    <w:p w:rsidR="00A00301" w:rsidRDefault="009015E5" w:rsidP="003803AF">
      <w:pPr>
        <w:jc w:val="center"/>
        <w:rPr>
          <w:b/>
          <w:szCs w:val="24"/>
        </w:rPr>
      </w:pPr>
    </w:p>
    <w:p w:rsidR="00A00301" w:rsidRDefault="009015E5">
      <w:pPr>
        <w:spacing w:before="0" w:after="0"/>
        <w:rPr>
          <w:b/>
          <w:szCs w:val="24"/>
        </w:rPr>
      </w:pPr>
    </w:p>
    <w:sectPr w:rsidR="00A00301" w:rsidSect="00392BBA">
      <w:pgSz w:w="11906" w:h="16838"/>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6BAB" w:rsidRDefault="003A6BAB" w:rsidP="003A6BAB">
      <w:pPr>
        <w:spacing w:before="0" w:after="0"/>
      </w:pPr>
      <w:r>
        <w:separator/>
      </w:r>
    </w:p>
  </w:endnote>
  <w:endnote w:type="continuationSeparator" w:id="0">
    <w:p w:rsidR="003A6BAB" w:rsidRDefault="003A6BAB" w:rsidP="003A6BAB">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37D4" w:rsidRDefault="001A583A" w:rsidP="00CF785C">
      <w:pPr>
        <w:spacing w:before="0" w:after="0"/>
      </w:pPr>
      <w:r>
        <w:separator/>
      </w:r>
    </w:p>
  </w:footnote>
  <w:footnote w:type="continuationSeparator" w:id="0">
    <w:p w:rsidR="003A37D4" w:rsidRDefault="001A583A" w:rsidP="00CF785C">
      <w:pPr>
        <w:spacing w:before="0" w:after="0"/>
      </w:pPr>
      <w:r>
        <w:continuationSeparator/>
      </w:r>
    </w:p>
  </w:footnote>
  <w:footnote w:id="1">
    <w:p w:rsidR="003A37D4" w:rsidRDefault="001A583A" w:rsidP="007E4FE0">
      <w:pPr>
        <w:pStyle w:val="FootnoteText"/>
      </w:pPr>
      <w:r>
        <w:rPr>
          <w:rStyle w:val="FootnoteReference"/>
        </w:rPr>
        <w:footnoteRef/>
      </w:r>
      <w:r>
        <w:t xml:space="preserve"> As made under sub-section 64(1) of the </w:t>
      </w:r>
      <w:r w:rsidRPr="00735DA1">
        <w:rPr>
          <w:i/>
        </w:rPr>
        <w:t>Clean Energy Finance Corporation Act 2012</w:t>
      </w:r>
      <w:r w:rsidRPr="00746206">
        <w:t>.</w:t>
      </w:r>
    </w:p>
  </w:footnote>
  <w:footnote w:id="2">
    <w:p w:rsidR="003A37D4" w:rsidRDefault="001A583A">
      <w:pPr>
        <w:pStyle w:val="FootnoteText"/>
      </w:pPr>
      <w:r>
        <w:rPr>
          <w:rStyle w:val="FootnoteReference"/>
        </w:rPr>
        <w:footnoteRef/>
      </w:r>
      <w:r>
        <w:t xml:space="preserve"> </w:t>
      </w:r>
      <w:proofErr w:type="gramStart"/>
      <w:r>
        <w:t>Which is limited to renewable energy under paragraphs (a)-(e) and (g)-(h) of the Act.</w:t>
      </w:r>
      <w:proofErr w:type="gramEnd"/>
    </w:p>
  </w:footnote>
  <w:footnote w:id="3">
    <w:p w:rsidR="003A37D4" w:rsidRDefault="001A583A" w:rsidP="003A37D4">
      <w:pPr>
        <w:pStyle w:val="FootnoteText"/>
      </w:pPr>
      <w:r>
        <w:rPr>
          <w:rStyle w:val="FootnoteReference"/>
        </w:rPr>
        <w:footnoteRef/>
      </w:r>
      <w:r>
        <w:t xml:space="preserve"> Section 4 of the Act currently limits ARENA to the provision of financial assistance through grants alone.</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A02AD1E2"/>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18024B39"/>
    <w:multiLevelType w:val="hybridMultilevel"/>
    <w:tmpl w:val="2520AEB8"/>
    <w:lvl w:ilvl="0" w:tplc="41E8E562">
      <w:start w:val="1"/>
      <w:numFmt w:val="bullet"/>
      <w:lvlText w:val=""/>
      <w:lvlJc w:val="left"/>
      <w:pPr>
        <w:ind w:left="720" w:hanging="360"/>
      </w:pPr>
      <w:rPr>
        <w:rFonts w:ascii="Symbol" w:hAnsi="Symbol" w:hint="default"/>
      </w:rPr>
    </w:lvl>
    <w:lvl w:ilvl="1" w:tplc="82D23C46" w:tentative="1">
      <w:start w:val="1"/>
      <w:numFmt w:val="bullet"/>
      <w:lvlText w:val="o"/>
      <w:lvlJc w:val="left"/>
      <w:pPr>
        <w:ind w:left="1440" w:hanging="360"/>
      </w:pPr>
      <w:rPr>
        <w:rFonts w:ascii="Courier New" w:hAnsi="Courier New" w:cs="Courier New" w:hint="default"/>
      </w:rPr>
    </w:lvl>
    <w:lvl w:ilvl="2" w:tplc="A9D87816" w:tentative="1">
      <w:start w:val="1"/>
      <w:numFmt w:val="bullet"/>
      <w:lvlText w:val=""/>
      <w:lvlJc w:val="left"/>
      <w:pPr>
        <w:ind w:left="2160" w:hanging="360"/>
      </w:pPr>
      <w:rPr>
        <w:rFonts w:ascii="Wingdings" w:hAnsi="Wingdings" w:hint="default"/>
      </w:rPr>
    </w:lvl>
    <w:lvl w:ilvl="3" w:tplc="85940F24" w:tentative="1">
      <w:start w:val="1"/>
      <w:numFmt w:val="bullet"/>
      <w:lvlText w:val=""/>
      <w:lvlJc w:val="left"/>
      <w:pPr>
        <w:ind w:left="2880" w:hanging="360"/>
      </w:pPr>
      <w:rPr>
        <w:rFonts w:ascii="Symbol" w:hAnsi="Symbol" w:hint="default"/>
      </w:rPr>
    </w:lvl>
    <w:lvl w:ilvl="4" w:tplc="44EA4842" w:tentative="1">
      <w:start w:val="1"/>
      <w:numFmt w:val="bullet"/>
      <w:lvlText w:val="o"/>
      <w:lvlJc w:val="left"/>
      <w:pPr>
        <w:ind w:left="3600" w:hanging="360"/>
      </w:pPr>
      <w:rPr>
        <w:rFonts w:ascii="Courier New" w:hAnsi="Courier New" w:cs="Courier New" w:hint="default"/>
      </w:rPr>
    </w:lvl>
    <w:lvl w:ilvl="5" w:tplc="762E1E2C" w:tentative="1">
      <w:start w:val="1"/>
      <w:numFmt w:val="bullet"/>
      <w:lvlText w:val=""/>
      <w:lvlJc w:val="left"/>
      <w:pPr>
        <w:ind w:left="4320" w:hanging="360"/>
      </w:pPr>
      <w:rPr>
        <w:rFonts w:ascii="Wingdings" w:hAnsi="Wingdings" w:hint="default"/>
      </w:rPr>
    </w:lvl>
    <w:lvl w:ilvl="6" w:tplc="FF9EE2DE" w:tentative="1">
      <w:start w:val="1"/>
      <w:numFmt w:val="bullet"/>
      <w:lvlText w:val=""/>
      <w:lvlJc w:val="left"/>
      <w:pPr>
        <w:ind w:left="5040" w:hanging="360"/>
      </w:pPr>
      <w:rPr>
        <w:rFonts w:ascii="Symbol" w:hAnsi="Symbol" w:hint="default"/>
      </w:rPr>
    </w:lvl>
    <w:lvl w:ilvl="7" w:tplc="F3A8331C" w:tentative="1">
      <w:start w:val="1"/>
      <w:numFmt w:val="bullet"/>
      <w:lvlText w:val="o"/>
      <w:lvlJc w:val="left"/>
      <w:pPr>
        <w:ind w:left="5760" w:hanging="360"/>
      </w:pPr>
      <w:rPr>
        <w:rFonts w:ascii="Courier New" w:hAnsi="Courier New" w:cs="Courier New" w:hint="default"/>
      </w:rPr>
    </w:lvl>
    <w:lvl w:ilvl="8" w:tplc="0D3E7800" w:tentative="1">
      <w:start w:val="1"/>
      <w:numFmt w:val="bullet"/>
      <w:lvlText w:val=""/>
      <w:lvlJc w:val="left"/>
      <w:pPr>
        <w:ind w:left="6480" w:hanging="360"/>
      </w:pPr>
      <w:rPr>
        <w:rFonts w:ascii="Wingdings" w:hAnsi="Wingdings" w:hint="default"/>
      </w:rPr>
    </w:lvl>
  </w:abstractNum>
  <w:abstractNum w:abstractNumId="2">
    <w:nsid w:val="2C7552C0"/>
    <w:multiLevelType w:val="singleLevel"/>
    <w:tmpl w:val="BBF66F10"/>
    <w:lvl w:ilvl="0">
      <w:start w:val="1"/>
      <w:numFmt w:val="bullet"/>
      <w:pStyle w:val="Dotpoint"/>
      <w:lvlText w:val=""/>
      <w:lvlJc w:val="left"/>
      <w:pPr>
        <w:tabs>
          <w:tab w:val="num" w:pos="360"/>
        </w:tabs>
        <w:ind w:left="360" w:hanging="360"/>
      </w:pPr>
      <w:rPr>
        <w:rFonts w:ascii="Symbol" w:hAnsi="Symbol" w:hint="default"/>
        <w:sz w:val="24"/>
      </w:rPr>
    </w:lvl>
  </w:abstractNum>
  <w:abstractNum w:abstractNumId="3">
    <w:nsid w:val="2DDE493D"/>
    <w:multiLevelType w:val="multilevel"/>
    <w:tmpl w:val="F10C0AE8"/>
    <w:lvl w:ilvl="0">
      <w:start w:val="1"/>
      <w:numFmt w:val="bullet"/>
      <w:lvlText w:val="•"/>
      <w:lvlJc w:val="left"/>
      <w:pPr>
        <w:tabs>
          <w:tab w:val="num" w:pos="1134"/>
        </w:tabs>
        <w:ind w:left="1134" w:hanging="567"/>
      </w:pPr>
      <w:rPr>
        <w:rFonts w:ascii="Times New Roman" w:hAnsi="Times New Roman" w:cs="Times New Roman"/>
      </w:rPr>
    </w:lvl>
    <w:lvl w:ilvl="1">
      <w:start w:val="1"/>
      <w:numFmt w:val="bullet"/>
      <w:lvlText w:val="–"/>
      <w:lvlJc w:val="left"/>
      <w:pPr>
        <w:tabs>
          <w:tab w:val="num" w:pos="1701"/>
        </w:tabs>
        <w:ind w:left="1701" w:hanging="567"/>
      </w:pPr>
      <w:rPr>
        <w:rFonts w:ascii="Times New Roman" w:hAnsi="Times New Roman" w:cs="Times New Roman"/>
      </w:rPr>
    </w:lvl>
    <w:lvl w:ilvl="2">
      <w:start w:val="1"/>
      <w:numFmt w:val="bullet"/>
      <w:lvlText w:val=":"/>
      <w:lvlJc w:val="left"/>
      <w:pPr>
        <w:tabs>
          <w:tab w:val="num" w:pos="2268"/>
        </w:tabs>
        <w:ind w:left="2268" w:hanging="567"/>
      </w:pPr>
      <w:rPr>
        <w:rFonts w:ascii="Times New Roman" w:hAnsi="Times New Roman" w:cs="Times New Roman"/>
      </w:rPr>
    </w:lvl>
    <w:lvl w:ilvl="3">
      <w:start w:val="1"/>
      <w:numFmt w:val="decimal"/>
      <w:lvlText w:val="(%4)"/>
      <w:lvlJc w:val="left"/>
      <w:pPr>
        <w:ind w:left="2727" w:hanging="360"/>
      </w:pPr>
    </w:lvl>
    <w:lvl w:ilvl="4">
      <w:start w:val="1"/>
      <w:numFmt w:val="lowerLetter"/>
      <w:lvlText w:val="(%5)"/>
      <w:lvlJc w:val="left"/>
      <w:pPr>
        <w:ind w:left="3087" w:hanging="360"/>
      </w:pPr>
    </w:lvl>
    <w:lvl w:ilvl="5">
      <w:start w:val="1"/>
      <w:numFmt w:val="lowerRoman"/>
      <w:lvlText w:val="(%6)"/>
      <w:lvlJc w:val="left"/>
      <w:pPr>
        <w:ind w:left="3447" w:hanging="360"/>
      </w:pPr>
    </w:lvl>
    <w:lvl w:ilvl="6">
      <w:start w:val="1"/>
      <w:numFmt w:val="decimal"/>
      <w:lvlText w:val="%7."/>
      <w:lvlJc w:val="left"/>
      <w:pPr>
        <w:ind w:left="3807" w:hanging="360"/>
      </w:pPr>
    </w:lvl>
    <w:lvl w:ilvl="7">
      <w:start w:val="1"/>
      <w:numFmt w:val="lowerLetter"/>
      <w:lvlText w:val="%8."/>
      <w:lvlJc w:val="left"/>
      <w:pPr>
        <w:ind w:left="4167" w:hanging="360"/>
      </w:pPr>
    </w:lvl>
    <w:lvl w:ilvl="8">
      <w:start w:val="1"/>
      <w:numFmt w:val="lowerRoman"/>
      <w:lvlText w:val="%9."/>
      <w:lvlJc w:val="left"/>
      <w:pPr>
        <w:ind w:left="4527" w:hanging="360"/>
      </w:pPr>
    </w:lvl>
  </w:abstractNum>
  <w:abstractNum w:abstractNumId="4">
    <w:nsid w:val="414D5EDB"/>
    <w:multiLevelType w:val="multilevel"/>
    <w:tmpl w:val="96F81664"/>
    <w:lvl w:ilvl="0">
      <w:start w:val="1"/>
      <w:numFmt w:val="bullet"/>
      <w:lvlText w:val=""/>
      <w:lvlJc w:val="left"/>
      <w:pPr>
        <w:tabs>
          <w:tab w:val="num" w:pos="1040"/>
        </w:tabs>
        <w:ind w:left="1040" w:hanging="520"/>
      </w:pPr>
      <w:rPr>
        <w:rFonts w:ascii="Symbol" w:hAnsi="Symbol" w:hint="default"/>
      </w:rPr>
    </w:lvl>
    <w:lvl w:ilvl="1">
      <w:start w:val="1"/>
      <w:numFmt w:val="bullet"/>
      <w:lvlText w:val="–"/>
      <w:lvlJc w:val="left"/>
      <w:pPr>
        <w:tabs>
          <w:tab w:val="num" w:pos="1560"/>
        </w:tabs>
        <w:ind w:left="1560" w:hanging="520"/>
      </w:pPr>
      <w:rPr>
        <w:rFonts w:ascii="Times New Roman" w:hAnsi="Times New Roman" w:cs="Times New Roman"/>
      </w:rPr>
    </w:lvl>
    <w:lvl w:ilvl="2">
      <w:start w:val="1"/>
      <w:numFmt w:val="bullet"/>
      <w:lvlText w:val=":"/>
      <w:lvlJc w:val="left"/>
      <w:pPr>
        <w:tabs>
          <w:tab w:val="num" w:pos="2080"/>
        </w:tabs>
        <w:ind w:left="2080" w:hanging="520"/>
      </w:pPr>
      <w:rPr>
        <w:rFonts w:ascii="Times New Roman" w:hAnsi="Times New Roman" w:cs="Times New Roman"/>
      </w:rPr>
    </w:lvl>
    <w:lvl w:ilvl="3">
      <w:start w:val="1"/>
      <w:numFmt w:val="decimal"/>
      <w:lvlText w:val="(%4)"/>
      <w:lvlJc w:val="left"/>
      <w:pPr>
        <w:ind w:left="1960" w:hanging="360"/>
      </w:pPr>
    </w:lvl>
    <w:lvl w:ilvl="4">
      <w:start w:val="1"/>
      <w:numFmt w:val="lowerLetter"/>
      <w:lvlText w:val="(%5)"/>
      <w:lvlJc w:val="left"/>
      <w:pPr>
        <w:ind w:left="2320" w:hanging="360"/>
      </w:pPr>
    </w:lvl>
    <w:lvl w:ilvl="5">
      <w:start w:val="1"/>
      <w:numFmt w:val="lowerRoman"/>
      <w:lvlText w:val="(%6)"/>
      <w:lvlJc w:val="left"/>
      <w:pPr>
        <w:ind w:left="2680" w:hanging="360"/>
      </w:pPr>
    </w:lvl>
    <w:lvl w:ilvl="6">
      <w:start w:val="1"/>
      <w:numFmt w:val="decimal"/>
      <w:lvlText w:val="%7."/>
      <w:lvlJc w:val="left"/>
      <w:pPr>
        <w:ind w:left="3040" w:hanging="360"/>
      </w:pPr>
    </w:lvl>
    <w:lvl w:ilvl="7">
      <w:start w:val="1"/>
      <w:numFmt w:val="lowerLetter"/>
      <w:lvlText w:val="%8."/>
      <w:lvlJc w:val="left"/>
      <w:pPr>
        <w:ind w:left="3400" w:hanging="360"/>
      </w:pPr>
    </w:lvl>
    <w:lvl w:ilvl="8">
      <w:start w:val="1"/>
      <w:numFmt w:val="lowerRoman"/>
      <w:lvlText w:val="%9."/>
      <w:lvlJc w:val="left"/>
      <w:pPr>
        <w:ind w:left="3760" w:hanging="360"/>
      </w:pPr>
    </w:lvl>
  </w:abstractNum>
  <w:abstractNum w:abstractNumId="5">
    <w:nsid w:val="67A43C0B"/>
    <w:multiLevelType w:val="multilevel"/>
    <w:tmpl w:val="A8C03F7C"/>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6FB83A06"/>
    <w:multiLevelType w:val="multilevel"/>
    <w:tmpl w:val="2026ADE8"/>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77B81102"/>
    <w:multiLevelType w:val="multilevel"/>
    <w:tmpl w:val="ECB21298"/>
    <w:lvl w:ilvl="0">
      <w:start w:val="1"/>
      <w:numFmt w:val="bullet"/>
      <w:lvlText w:val="•"/>
      <w:lvlJc w:val="left"/>
      <w:pPr>
        <w:tabs>
          <w:tab w:val="num" w:pos="1086"/>
        </w:tabs>
        <w:ind w:left="1086" w:hanging="543"/>
      </w:pPr>
      <w:rPr>
        <w:rFonts w:ascii="Times New Roman" w:hAnsi="Times New Roman" w:cs="Times New Roman"/>
        <w:sz w:val="24"/>
        <w:szCs w:val="24"/>
      </w:rPr>
    </w:lvl>
    <w:lvl w:ilvl="1">
      <w:start w:val="1"/>
      <w:numFmt w:val="bullet"/>
      <w:lvlText w:val="–"/>
      <w:lvlJc w:val="left"/>
      <w:pPr>
        <w:tabs>
          <w:tab w:val="num" w:pos="1558"/>
        </w:tabs>
        <w:ind w:left="1558" w:hanging="472"/>
      </w:pPr>
      <w:rPr>
        <w:rFonts w:ascii="Times New Roman" w:hAnsi="Times New Roman" w:cs="Times New Roman"/>
      </w:rPr>
    </w:lvl>
    <w:lvl w:ilvl="2">
      <w:start w:val="1"/>
      <w:numFmt w:val="bullet"/>
      <w:lvlText w:val=":"/>
      <w:lvlJc w:val="left"/>
      <w:pPr>
        <w:tabs>
          <w:tab w:val="num" w:pos="2030"/>
        </w:tabs>
        <w:ind w:left="2030" w:hanging="472"/>
      </w:pPr>
      <w:rPr>
        <w:rFonts w:ascii="Times New Roman" w:hAnsi="Times New Roman" w:cs="Times New Roman"/>
      </w:rPr>
    </w:lvl>
    <w:lvl w:ilvl="3">
      <w:start w:val="1"/>
      <w:numFmt w:val="decimal"/>
      <w:lvlText w:val="(%4)"/>
      <w:lvlJc w:val="left"/>
      <w:pPr>
        <w:ind w:left="4332" w:hanging="360"/>
      </w:pPr>
    </w:lvl>
    <w:lvl w:ilvl="4">
      <w:start w:val="1"/>
      <w:numFmt w:val="lowerLetter"/>
      <w:lvlText w:val="(%5)"/>
      <w:lvlJc w:val="left"/>
      <w:pPr>
        <w:ind w:left="4692" w:hanging="360"/>
      </w:pPr>
    </w:lvl>
    <w:lvl w:ilvl="5">
      <w:start w:val="1"/>
      <w:numFmt w:val="lowerRoman"/>
      <w:lvlText w:val="(%6)"/>
      <w:lvlJc w:val="left"/>
      <w:pPr>
        <w:ind w:left="5052" w:hanging="360"/>
      </w:pPr>
    </w:lvl>
    <w:lvl w:ilvl="6">
      <w:start w:val="1"/>
      <w:numFmt w:val="decimal"/>
      <w:lvlText w:val="%7."/>
      <w:lvlJc w:val="left"/>
      <w:pPr>
        <w:ind w:left="5412" w:hanging="360"/>
      </w:pPr>
    </w:lvl>
    <w:lvl w:ilvl="7">
      <w:start w:val="1"/>
      <w:numFmt w:val="lowerLetter"/>
      <w:lvlText w:val="%8."/>
      <w:lvlJc w:val="left"/>
      <w:pPr>
        <w:ind w:left="5772" w:hanging="360"/>
      </w:pPr>
    </w:lvl>
    <w:lvl w:ilvl="8">
      <w:start w:val="1"/>
      <w:numFmt w:val="lowerRoman"/>
      <w:lvlText w:val="%9."/>
      <w:lvlJc w:val="left"/>
      <w:pPr>
        <w:ind w:left="6132" w:hanging="360"/>
      </w:pPr>
    </w:lvl>
  </w:abstractNum>
  <w:num w:numId="1">
    <w:abstractNumId w:val="2"/>
  </w:num>
  <w:num w:numId="2">
    <w:abstractNumId w:val="5"/>
  </w:num>
  <w:num w:numId="3">
    <w:abstractNumId w:val="6"/>
  </w:num>
  <w:num w:numId="4">
    <w:abstractNumId w:val="7"/>
  </w:num>
  <w:num w:numId="5">
    <w:abstractNumId w:val="4"/>
  </w:num>
  <w:num w:numId="6">
    <w:abstractNumId w:val="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1"/>
  </w:num>
  <w:num w:numId="10">
    <w:abstractNumId w:val="0"/>
  </w:num>
  <w:num w:numId="11">
    <w:abstractNumId w:val="0"/>
  </w:num>
  <w:num w:numId="12">
    <w:abstractNumId w:val="5"/>
  </w:num>
  <w:num w:numId="13">
    <w:abstractNumId w:val="5"/>
  </w:num>
  <w:num w:numId="14">
    <w:abstractNumId w:val="5"/>
  </w:num>
  <w:num w:numId="15">
    <w:abstractNumId w:val="5"/>
  </w:num>
  <w:num w:numId="16">
    <w:abstractNumId w:val="5"/>
  </w:num>
  <w:num w:numId="17">
    <w:abstractNumId w:val="5"/>
  </w:num>
  <w:num w:numId="18">
    <w:abstractNumId w:val="5"/>
  </w:num>
  <w:num w:numId="19">
    <w:abstractNumId w:val="0"/>
  </w:num>
  <w:num w:numId="20">
    <w:abstractNumId w:val="5"/>
  </w:num>
  <w:num w:numId="21">
    <w:abstractNumId w:val="5"/>
  </w:num>
  <w:num w:numId="22">
    <w:abstractNumId w:val="5"/>
  </w:num>
  <w:num w:numId="23">
    <w:abstractNumId w:val="5"/>
  </w:num>
  <w:num w:numId="24">
    <w:abstractNumId w:val="5"/>
  </w:num>
  <w:num w:numId="25">
    <w:abstractNumId w:val="5"/>
  </w:num>
  <w:num w:numId="26">
    <w:abstractNumId w:val="5"/>
  </w:num>
  <w:num w:numId="27">
    <w:abstractNumId w:val="5"/>
  </w:num>
  <w:num w:numId="28">
    <w:abstractNumId w:val="5"/>
  </w:num>
  <w:num w:numId="29">
    <w:abstractNumId w:val="5"/>
  </w:num>
  <w:num w:numId="30">
    <w:abstractNumId w:val="5"/>
  </w:num>
  <w:num w:numId="3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hideSpellingErrors/>
  <w:hideGrammaticalErrors/>
  <w:proofState w:spelling="clean" w:grammar="clean"/>
  <w:attachedTemplate r:id="rId1"/>
  <w:stylePaneFormatFilter w:val="3808"/>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3A6BAB"/>
    <w:rsid w:val="001643DC"/>
    <w:rsid w:val="001A583A"/>
    <w:rsid w:val="003A6BAB"/>
    <w:rsid w:val="009015E5"/>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able of authorities"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5F2E"/>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92BBA"/>
    <w:pPr>
      <w:tabs>
        <w:tab w:val="left" w:pos="1987"/>
      </w:tabs>
      <w:spacing w:after="120"/>
      <w:outlineLvl w:val="2"/>
    </w:pPr>
    <w:rPr>
      <w:rFonts w:ascii="Helvetica" w:hAnsi="Helvetica"/>
      <w:kern w:val="28"/>
      <w:sz w:val="24"/>
      <w:u w:val="none"/>
    </w:rPr>
  </w:style>
  <w:style w:type="paragraph" w:styleId="Heading4">
    <w:name w:val="heading 4"/>
    <w:basedOn w:val="Heading3"/>
    <w:next w:val="base-text-paragraph"/>
    <w:qFormat/>
    <w:rsid w:val="00E4438C"/>
    <w:pPr>
      <w:spacing w:before="120"/>
      <w:outlineLvl w:val="3"/>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basedOn w:val="Normal"/>
    <w:link w:val="BulletChar"/>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szCs w:val="23"/>
    </w:rPr>
  </w:style>
  <w:style w:type="paragraph" w:customStyle="1" w:styleId="Dash">
    <w:name w:val="Dash"/>
    <w:basedOn w:val="Normal"/>
    <w:link w:val="DashChar"/>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E457F3"/>
    <w:rPr>
      <w:rFonts w:ascii="Helvetica" w:hAnsi="Helvetica"/>
      <w:b/>
      <w:kern w:val="28"/>
      <w:sz w:val="24"/>
    </w:rPr>
  </w:style>
  <w:style w:type="paragraph" w:customStyle="1" w:styleId="EMparagraph">
    <w:name w:val="EM paragraph"/>
    <w:basedOn w:val="Normal"/>
    <w:rsid w:val="00221988"/>
    <w:pPr>
      <w:widowControl w:val="0"/>
      <w:adjustRightInd w:val="0"/>
      <w:spacing w:before="0" w:after="240"/>
      <w:ind w:right="85"/>
    </w:pPr>
  </w:style>
  <w:style w:type="paragraph" w:styleId="ListParagraph">
    <w:name w:val="List Paragraph"/>
    <w:basedOn w:val="Normal"/>
    <w:uiPriority w:val="34"/>
    <w:qFormat/>
    <w:rsid w:val="00221988"/>
    <w:pPr>
      <w:ind w:left="720"/>
      <w:contextualSpacing/>
    </w:pPr>
  </w:style>
  <w:style w:type="character" w:styleId="CommentReference">
    <w:name w:val="annotation reference"/>
    <w:basedOn w:val="DefaultParagraphFont"/>
    <w:uiPriority w:val="99"/>
    <w:semiHidden/>
    <w:unhideWhenUsed/>
    <w:rsid w:val="005F76E3"/>
    <w:rPr>
      <w:sz w:val="16"/>
      <w:szCs w:val="16"/>
    </w:rPr>
  </w:style>
  <w:style w:type="paragraph" w:styleId="CommentText">
    <w:name w:val="annotation text"/>
    <w:basedOn w:val="Normal"/>
    <w:link w:val="CommentTextChar"/>
    <w:uiPriority w:val="99"/>
    <w:semiHidden/>
    <w:unhideWhenUsed/>
    <w:rsid w:val="005F76E3"/>
    <w:rPr>
      <w:sz w:val="20"/>
    </w:rPr>
  </w:style>
  <w:style w:type="character" w:customStyle="1" w:styleId="CommentTextChar">
    <w:name w:val="Comment Text Char"/>
    <w:basedOn w:val="DefaultParagraphFont"/>
    <w:link w:val="CommentText"/>
    <w:uiPriority w:val="99"/>
    <w:semiHidden/>
    <w:rsid w:val="005F76E3"/>
  </w:style>
  <w:style w:type="paragraph" w:styleId="CommentSubject">
    <w:name w:val="annotation subject"/>
    <w:basedOn w:val="CommentText"/>
    <w:next w:val="CommentText"/>
    <w:link w:val="CommentSubjectChar"/>
    <w:uiPriority w:val="99"/>
    <w:semiHidden/>
    <w:unhideWhenUsed/>
    <w:rsid w:val="005F76E3"/>
    <w:rPr>
      <w:b/>
      <w:bCs/>
    </w:rPr>
  </w:style>
  <w:style w:type="character" w:customStyle="1" w:styleId="CommentSubjectChar">
    <w:name w:val="Comment Subject Char"/>
    <w:basedOn w:val="CommentTextChar"/>
    <w:link w:val="CommentSubject"/>
    <w:uiPriority w:val="99"/>
    <w:semiHidden/>
    <w:rsid w:val="005F76E3"/>
    <w:rPr>
      <w:b/>
      <w:bCs/>
    </w:rPr>
  </w:style>
  <w:style w:type="character" w:customStyle="1" w:styleId="TitleChar">
    <w:name w:val="Title Char"/>
    <w:basedOn w:val="DefaultParagraphFont"/>
    <w:link w:val="Title"/>
    <w:rsid w:val="00B30E77"/>
    <w:rPr>
      <w:b/>
      <w:sz w:val="24"/>
    </w:rPr>
  </w:style>
  <w:style w:type="paragraph" w:styleId="ListBullet">
    <w:name w:val="List Bullet"/>
    <w:basedOn w:val="Normal"/>
    <w:uiPriority w:val="99"/>
    <w:unhideWhenUsed/>
    <w:rsid w:val="007025D4"/>
    <w:pPr>
      <w:numPr>
        <w:numId w:val="10"/>
      </w:numPr>
      <w:contextualSpacing/>
    </w:pPr>
  </w:style>
  <w:style w:type="paragraph" w:styleId="FootnoteText">
    <w:name w:val="footnote text"/>
    <w:basedOn w:val="Normal"/>
    <w:link w:val="FootnoteTextChar"/>
    <w:uiPriority w:val="99"/>
    <w:semiHidden/>
    <w:unhideWhenUsed/>
    <w:rsid w:val="00CF785C"/>
    <w:pPr>
      <w:spacing w:before="0" w:after="0"/>
    </w:pPr>
    <w:rPr>
      <w:sz w:val="20"/>
    </w:rPr>
  </w:style>
  <w:style w:type="character" w:customStyle="1" w:styleId="FootnoteTextChar">
    <w:name w:val="Footnote Text Char"/>
    <w:basedOn w:val="DefaultParagraphFont"/>
    <w:link w:val="FootnoteText"/>
    <w:uiPriority w:val="99"/>
    <w:semiHidden/>
    <w:rsid w:val="00CF785C"/>
  </w:style>
  <w:style w:type="character" w:styleId="FootnoteReference">
    <w:name w:val="footnote reference"/>
    <w:basedOn w:val="DefaultParagraphFont"/>
    <w:uiPriority w:val="99"/>
    <w:semiHidden/>
    <w:unhideWhenUsed/>
    <w:rsid w:val="00CF785C"/>
    <w:rPr>
      <w:vertAlign w:val="superscript"/>
    </w:rPr>
  </w:style>
  <w:style w:type="table" w:styleId="TableGrid">
    <w:name w:val="Table Grid"/>
    <w:basedOn w:val="TableNormal"/>
    <w:uiPriority w:val="59"/>
    <w:rsid w:val="00AC553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Legislation\Xco%20Explanatory%20Statemen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Function xmlns="7d1753f3-b6db-484b-93d6-b74f5ca30d2d">Administration</Function>
    <DocumentDescription xmlns="7d1753f3-b6db-484b-93d6-b74f5ca30d2d" xsi:nil="true"/>
    <RecordNumber xmlns="7d1753f3-b6db-484b-93d6-b74f5ca30d2d" xsi:nil="true"/>
    <Approval xmlns="7d1753f3-b6db-484b-93d6-b74f5ca30d2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SPIRE Document" ma:contentTypeID="0x010100BB2CA5D4910ACE4AADB481B488BD147400FA829B4AF55F244EAE47CDC9BD732406" ma:contentTypeVersion="9" ma:contentTypeDescription="SPIRE Document" ma:contentTypeScope="" ma:versionID="0190754519eefa10b0f2e0b56d655d48">
  <xsd:schema xmlns:xsd="http://www.w3.org/2001/XMLSchema" xmlns:p="http://schemas.microsoft.com/office/2006/metadata/properties" xmlns:ns2="7d1753f3-b6db-484b-93d6-b74f5ca30d2d" xmlns:ns3="http://schemas.microsoft.com/sharepoint/v4" targetNamespace="http://schemas.microsoft.com/office/2006/metadata/properties" ma:root="true" ma:fieldsID="b2ec096d03561c45652c1a9423b4ccb8" ns2:_="" ns3:_="">
    <xsd:import namespace="7d1753f3-b6db-484b-93d6-b74f5ca30d2d"/>
    <xsd:import namespace="http://schemas.microsoft.com/sharepoint/v4"/>
    <xsd:element name="properties">
      <xsd:complexType>
        <xsd:sequence>
          <xsd:element name="documentManagement">
            <xsd:complexType>
              <xsd:all>
                <xsd:element ref="ns2:DocumentDescription" minOccurs="0"/>
                <xsd:element ref="ns2:Approval" minOccurs="0"/>
                <xsd:element ref="ns2:RecordNumber" minOccurs="0"/>
                <xsd:element ref="ns2:Function" minOccurs="0"/>
                <xsd:element ref="ns3:IconOverlay" minOccurs="0"/>
              </xsd:all>
            </xsd:complexType>
          </xsd:element>
        </xsd:sequence>
      </xsd:complexType>
    </xsd:element>
  </xsd:schema>
  <xsd:schema xmlns:xsd="http://www.w3.org/2001/XMLSchema" xmlns:dms="http://schemas.microsoft.com/office/2006/documentManagement/types" targetNamespace="7d1753f3-b6db-484b-93d6-b74f5ca30d2d" elementFormDefault="qualified">
    <xsd:import namespace="http://schemas.microsoft.com/office/2006/documentManagement/types"/>
    <xsd:element name="DocumentDescription" ma:index="8" nillable="true" ma:displayName="Document Description" ma:description="Document Description. Max 255 characters" ma:internalName="DocumentDescription">
      <xsd:simpleType>
        <xsd:restriction base="dms:Note"/>
      </xsd:simpleType>
    </xsd:element>
    <xsd:element name="Approval" ma:index="9" nillable="true" ma:displayName="Approval" ma:default="" ma:description="Select the approval status of the document" ma:format="Dropdown" ma:internalName="Approval">
      <xsd:simpleType>
        <xsd:restriction base="dms:Choice">
          <xsd:enumeration value="For Review"/>
          <xsd:enumeration value="Approved"/>
          <xsd:enumeration value="Superseded"/>
          <xsd:enumeration value="Cancelled"/>
        </xsd:restriction>
      </xsd:simpleType>
    </xsd:element>
    <xsd:element name="RecordNumber" ma:index="10" nillable="true" ma:displayName="Record Number" ma:description="RecordPoint Record Number" ma:internalName="RecordNumber">
      <xsd:simpleType>
        <xsd:restriction base="dms:Text"/>
      </xsd:simpleType>
    </xsd:element>
    <xsd:element name="Function" ma:index="11" nillable="true" ma:displayName="Function" ma:default="Administration" ma:description="Select the relevance function" ma:format="Dropdown" ma:hidden="true" ma:internalName="Function" ma:readOnly="false">
      <xsd:simpleType>
        <xsd:restriction base="dms:Choice">
          <xsd:enumeration value="Administration"/>
          <xsd:enumeration value="International"/>
          <xsd:enumeration value="OHS"/>
          <xsd:enumeration value="Legal"/>
          <xsd:enumeration value="Personnel"/>
          <xsd:enumeration value="Program Admin"/>
          <xsd:enumeration value="Project"/>
          <xsd:enumeration value="Property"/>
          <xsd:enumeration value="Regulation"/>
          <xsd:enumeration value="Technology"/>
        </xsd:restriction>
      </xsd:simpleType>
    </xsd:element>
  </xsd:schema>
  <xsd:schema xmlns:xsd="http://www.w3.org/2001/XMLSchema" xmlns:dms="http://schemas.microsoft.com/office/2006/documentManagement/types" targetNamespace="http://schemas.microsoft.com/sharepoint/v4" elementFormDefault="qualified">
    <xsd:import namespace="http://schemas.microsoft.com/office/2006/documentManagement/types"/>
    <xsd:element name="IconOverlay" ma:index="1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spe:Receivers>
</file>

<file path=customXml/item5.xml><?xml version="1.0" encoding="utf-8"?>
<?mso-contentType ?>
<customXsn xmlns="http://schemas.microsoft.com/office/2006/metadata/customXsn">
  <xsnLocation/>
  <cached>True</cached>
  <openByDefault>True</openByDefault>
  <xsnScope/>
</customXsn>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EC9033-3E77-43CB-8AA0-E65435C01CB7}"/>
</file>

<file path=customXml/itemProps2.xml><?xml version="1.0" encoding="utf-8"?>
<ds:datastoreItem xmlns:ds="http://schemas.openxmlformats.org/officeDocument/2006/customXml" ds:itemID="{F6EDBEFE-73E6-499D-9329-D3DD4A47A1D6}"/>
</file>

<file path=customXml/itemProps3.xml><?xml version="1.0" encoding="utf-8"?>
<ds:datastoreItem xmlns:ds="http://schemas.openxmlformats.org/officeDocument/2006/customXml" ds:itemID="{7F906D85-13BD-46E2-9968-5947BF984686}"/>
</file>

<file path=customXml/itemProps4.xml><?xml version="1.0" encoding="utf-8"?>
<ds:datastoreItem xmlns:ds="http://schemas.openxmlformats.org/officeDocument/2006/customXml" ds:itemID="{22023F94-BD30-49BC-8028-9D23B2486518}"/>
</file>

<file path=customXml/itemProps5.xml><?xml version="1.0" encoding="utf-8"?>
<ds:datastoreItem xmlns:ds="http://schemas.openxmlformats.org/officeDocument/2006/customXml" ds:itemID="{CAE53024-67B3-4EE9-85E1-D4423555C78A}"/>
</file>

<file path=customXml/itemProps6.xml><?xml version="1.0" encoding="utf-8"?>
<ds:datastoreItem xmlns:ds="http://schemas.openxmlformats.org/officeDocument/2006/customXml" ds:itemID="{B9A76D76-45B9-4475-9646-4F7C3121E4DC}"/>
</file>

<file path=docProps/app.xml><?xml version="1.0" encoding="utf-8"?>
<Properties xmlns="http://schemas.openxmlformats.org/officeDocument/2006/extended-properties" xmlns:vt="http://schemas.openxmlformats.org/officeDocument/2006/docPropsVTypes">
  <Template>Xco Explanatory Statement</Template>
  <TotalTime>3</TotalTime>
  <Pages>4</Pages>
  <Words>927</Words>
  <Characters>5215</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MS16-000577 ATT C</vt:lpstr>
    </vt:vector>
  </TitlesOfParts>
  <Company>ATO</Company>
  <LinksUpToDate>false</LinksUpToDate>
  <CharactersWithSpaces>6130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MS16-000577 ATT C</dc:title>
  <dc:subject>Australian Renewable Energy Agency Regulation 2016 - submission to ExCo</dc:subject>
  <dc:creator>Kiang, Tommy</dc:creator>
  <cp:lastModifiedBy>Courtney Whitcombe</cp:lastModifiedBy>
  <cp:revision>2</cp:revision>
  <cp:lastPrinted>2014-05-29T23:40:00Z</cp:lastPrinted>
  <dcterms:created xsi:type="dcterms:W3CDTF">2016-04-28T23:43:00Z</dcterms:created>
  <dcterms:modified xsi:type="dcterms:W3CDTF">2016-04-28T23:43:00Z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ditionalSecurityInformation">
    <vt:lpwstr/>
  </property>
  <property fmtid="{D5CDD505-2E9C-101B-9397-08002B2CF9AE}" pid="3" name="ClearanceActualDate">
    <vt:lpwstr>19 April 2016</vt:lpwstr>
  </property>
  <property fmtid="{D5CDD505-2E9C-101B-9397-08002B2CF9AE}" pid="4" name="ClearanceDueDate">
    <vt:lpwstr/>
  </property>
  <property fmtid="{D5CDD505-2E9C-101B-9397-08002B2CF9AE}" pid="5" name="ContentTypeId">
    <vt:lpwstr>0x010100BB2CA5D4910ACE4AADB481B488BD147400FA829B4AF55F244EAE47CDC9BD732406</vt:lpwstr>
  </property>
  <property fmtid="{D5CDD505-2E9C-101B-9397-08002B2CF9AE}" pid="6" name="Electorates">
    <vt:lpwstr> </vt:lpwstr>
  </property>
  <property fmtid="{D5CDD505-2E9C-101B-9397-08002B2CF9AE}" pid="7" name="FileNumber">
    <vt:lpwstr/>
  </property>
  <property fmtid="{D5CDD505-2E9C-101B-9397-08002B2CF9AE}" pid="8" name="GroupResponsible">
    <vt:lpwstr>Climate Change Divisions (CCD)</vt:lpwstr>
  </property>
  <property fmtid="{D5CDD505-2E9C-101B-9397-08002B2CF9AE}" pid="9" name="HandlingProtocol">
    <vt:lpwstr>Standard</vt:lpwstr>
  </property>
  <property fmtid="{D5CDD505-2E9C-101B-9397-08002B2CF9AE}" pid="10" name="IconOverlay">
    <vt:lpwstr/>
  </property>
  <property fmtid="{D5CDD505-2E9C-101B-9397-08002B2CF9AE}" pid="11" name="InformationMinister">
    <vt:lpwstr> </vt:lpwstr>
  </property>
  <property fmtid="{D5CDD505-2E9C-101B-9397-08002B2CF9AE}" pid="12" name="LastClearingOfficer">
    <vt:lpwstr>Gareth Prosser</vt:lpwstr>
  </property>
  <property fmtid="{D5CDD505-2E9C-101B-9397-08002B2CF9AE}" pid="13" name="Ministers">
    <vt:lpwstr>Greg Hunt</vt:lpwstr>
  </property>
  <property fmtid="{D5CDD505-2E9C-101B-9397-08002B2CF9AE}" pid="14" name="PdrId">
    <vt:lpwstr>MS16-000577</vt:lpwstr>
  </property>
  <property fmtid="{D5CDD505-2E9C-101B-9397-08002B2CF9AE}" pid="15" name="Principal">
    <vt:lpwstr>Minister Hunt</vt:lpwstr>
  </property>
  <property fmtid="{D5CDD505-2E9C-101B-9397-08002B2CF9AE}" pid="16" name="ReasonForSensitivity">
    <vt:lpwstr/>
  </property>
  <property fmtid="{D5CDD505-2E9C-101B-9397-08002B2CF9AE}" pid="17" name="RecordPoint_ActiveItemListId">
    <vt:lpwstr>{8603bb64-ffce-48ca-be1c-084f01c244e0}</vt:lpwstr>
  </property>
  <property fmtid="{D5CDD505-2E9C-101B-9397-08002B2CF9AE}" pid="18" name="RecordPoint_ActiveItemMoved">
    <vt:lpwstr/>
  </property>
  <property fmtid="{D5CDD505-2E9C-101B-9397-08002B2CF9AE}" pid="19" name="RecordPoint_ActiveItemSiteId">
    <vt:lpwstr>{890acc58-830d-4c0f-8f38-0a6dcc0cb92f}</vt:lpwstr>
  </property>
  <property fmtid="{D5CDD505-2E9C-101B-9397-08002B2CF9AE}" pid="20" name="RecordPoint_ActiveItemUniqueId">
    <vt:lpwstr>{6bcd8b5c-76be-435a-9ff4-b8e5a32cefd3}</vt:lpwstr>
  </property>
  <property fmtid="{D5CDD505-2E9C-101B-9397-08002B2CF9AE}" pid="21" name="RecordPoint_ActiveItemWebId">
    <vt:lpwstr>{7d1753f3-b6db-484b-93d6-b74f5ca30d2d}</vt:lpwstr>
  </property>
  <property fmtid="{D5CDD505-2E9C-101B-9397-08002B2CF9AE}" pid="22" name="RecordPoint_RecordFormat">
    <vt:lpwstr/>
  </property>
  <property fmtid="{D5CDD505-2E9C-101B-9397-08002B2CF9AE}" pid="23" name="RecordPoint_RecordNumberSubmitted">
    <vt:lpwstr/>
  </property>
  <property fmtid="{D5CDD505-2E9C-101B-9397-08002B2CF9AE}" pid="24" name="RecordPoint_SubmissionCompleted">
    <vt:lpwstr/>
  </property>
  <property fmtid="{D5CDD505-2E9C-101B-9397-08002B2CF9AE}" pid="25" name="RecordPoint_SubmissionDate">
    <vt:lpwstr/>
  </property>
  <property fmtid="{D5CDD505-2E9C-101B-9397-08002B2CF9AE}" pid="26" name="RecordPoint_WorkflowType">
    <vt:lpwstr>ActiveSubmitStub</vt:lpwstr>
  </property>
  <property fmtid="{D5CDD505-2E9C-101B-9397-08002B2CF9AE}" pid="27" name="RegisteredDate">
    <vt:lpwstr>06 April 2016</vt:lpwstr>
  </property>
  <property fmtid="{D5CDD505-2E9C-101B-9397-08002B2CF9AE}" pid="28" name="RequestedAction">
    <vt:lpwstr>For Decision</vt:lpwstr>
  </property>
  <property fmtid="{D5CDD505-2E9C-101B-9397-08002B2CF9AE}" pid="29" name="ResponsibleMinister">
    <vt:lpwstr>Greg Hunt</vt:lpwstr>
  </property>
  <property fmtid="{D5CDD505-2E9C-101B-9397-08002B2CF9AE}" pid="30" name="SecurityClassification">
    <vt:lpwstr>UNCLASSIFIED  </vt:lpwstr>
  </property>
  <property fmtid="{D5CDD505-2E9C-101B-9397-08002B2CF9AE}" pid="31" name="SignedDate">
    <vt:lpwstr/>
  </property>
  <property fmtid="{D5CDD505-2E9C-101B-9397-08002B2CF9AE}" pid="32" name="Subject">
    <vt:lpwstr>Australian Renewable Energy Agency Regulation 2016 - submission to ExCo</vt:lpwstr>
  </property>
  <property fmtid="{D5CDD505-2E9C-101B-9397-08002B2CF9AE}" pid="33" name="TaskSeqNo">
    <vt:lpwstr>1</vt:lpwstr>
  </property>
  <property fmtid="{D5CDD505-2E9C-101B-9397-08002B2CF9AE}" pid="34" name="TemplateSubType">
    <vt:lpwstr>Standard</vt:lpwstr>
  </property>
  <property fmtid="{D5CDD505-2E9C-101B-9397-08002B2CF9AE}" pid="35" name="TemplateType">
    <vt:lpwstr>Decision Submission</vt:lpwstr>
  </property>
  <property fmtid="{D5CDD505-2E9C-101B-9397-08002B2CF9AE}" pid="36" name="TrustedGroups">
    <vt:lpwstr>Parliamentary Coordinator MS, DLO, Ministerial Staff - Coalition 2013, Business Administrator, Limited Distribution MS</vt:lpwstr>
  </property>
  <property fmtid="{D5CDD505-2E9C-101B-9397-08002B2CF9AE}" pid="37" name="_dlc_DocIdItemGuid">
    <vt:lpwstr>8de186f9-cbec-4100-a06c-5656481bb452</vt:lpwstr>
  </property>
  <property fmtid="{D5CDD505-2E9C-101B-9397-08002B2CF9AE}" pid="38" name="_NewReviewCycle">
    <vt:lpwstr/>
  </property>
</Properties>
</file>