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21C04" w:rsidRDefault="00DA186E" w:rsidP="00715914">
      <w:pPr>
        <w:rPr>
          <w:sz w:val="28"/>
        </w:rPr>
      </w:pPr>
      <w:r w:rsidRPr="00821C04">
        <w:rPr>
          <w:noProof/>
          <w:lang w:eastAsia="en-AU"/>
        </w:rPr>
        <w:drawing>
          <wp:inline distT="0" distB="0" distL="0" distR="0" wp14:anchorId="21D1112D" wp14:editId="6C8CAAB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21C04" w:rsidRDefault="00715914" w:rsidP="00715914">
      <w:pPr>
        <w:rPr>
          <w:sz w:val="19"/>
        </w:rPr>
      </w:pPr>
    </w:p>
    <w:p w:rsidR="00715914" w:rsidRPr="00821C04" w:rsidRDefault="00835BBA" w:rsidP="00715914">
      <w:pPr>
        <w:pStyle w:val="ShortT"/>
      </w:pPr>
      <w:r w:rsidRPr="00821C04">
        <w:t>Biosecurity Charges Imposition (General) Regulation</w:t>
      </w:r>
      <w:r w:rsidR="00821C04" w:rsidRPr="00821C04">
        <w:t> </w:t>
      </w:r>
      <w:r w:rsidRPr="00821C04">
        <w:t>2016</w:t>
      </w:r>
    </w:p>
    <w:p w:rsidR="00835BBA" w:rsidRPr="00821C04" w:rsidRDefault="00835BBA" w:rsidP="00D75B2F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821C04">
        <w:rPr>
          <w:szCs w:val="22"/>
        </w:rPr>
        <w:t>I, General the Honourable Sir Peter Cosgrove AK MC (</w:t>
      </w:r>
      <w:proofErr w:type="spellStart"/>
      <w:r w:rsidRPr="00821C04">
        <w:rPr>
          <w:szCs w:val="22"/>
        </w:rPr>
        <w:t>Ret</w:t>
      </w:r>
      <w:r w:rsidR="00F65429" w:rsidRPr="00821C04">
        <w:rPr>
          <w:szCs w:val="22"/>
        </w:rPr>
        <w:t>’</w:t>
      </w:r>
      <w:r w:rsidRPr="00821C04">
        <w:rPr>
          <w:szCs w:val="22"/>
        </w:rPr>
        <w:t>d</w:t>
      </w:r>
      <w:proofErr w:type="spellEnd"/>
      <w:r w:rsidRPr="00821C04">
        <w:rPr>
          <w:szCs w:val="22"/>
        </w:rPr>
        <w:t xml:space="preserve">), </w:t>
      </w:r>
      <w:r w:rsidR="00821C04" w:rsidRPr="00821C04">
        <w:rPr>
          <w:szCs w:val="22"/>
        </w:rPr>
        <w:t>Governor</w:t>
      </w:r>
      <w:r w:rsidR="00821C04">
        <w:rPr>
          <w:szCs w:val="22"/>
        </w:rPr>
        <w:noBreakHyphen/>
      </w:r>
      <w:r w:rsidR="00821C04" w:rsidRPr="00821C04">
        <w:rPr>
          <w:szCs w:val="22"/>
        </w:rPr>
        <w:t>General</w:t>
      </w:r>
      <w:r w:rsidRPr="00821C04">
        <w:rPr>
          <w:szCs w:val="22"/>
        </w:rPr>
        <w:t xml:space="preserve"> of the Commonwealth of Australia, acting with the advice of the Federal Executive Council, make the following regulation.</w:t>
      </w:r>
    </w:p>
    <w:p w:rsidR="00835BBA" w:rsidRPr="00821C04" w:rsidRDefault="00835BBA" w:rsidP="00AE2FA9">
      <w:pPr>
        <w:keepNext/>
        <w:spacing w:before="720" w:line="240" w:lineRule="atLeast"/>
        <w:ind w:right="397"/>
        <w:jc w:val="both"/>
        <w:rPr>
          <w:szCs w:val="22"/>
        </w:rPr>
      </w:pPr>
      <w:r w:rsidRPr="00821C04">
        <w:rPr>
          <w:szCs w:val="22"/>
        </w:rPr>
        <w:t xml:space="preserve">Dated </w:t>
      </w:r>
      <w:bookmarkStart w:id="0" w:name="BKCheck15B_1"/>
      <w:bookmarkEnd w:id="0"/>
      <w:r w:rsidRPr="00821C04">
        <w:rPr>
          <w:szCs w:val="22"/>
        </w:rPr>
        <w:fldChar w:fldCharType="begin"/>
      </w:r>
      <w:r w:rsidRPr="00821C04">
        <w:rPr>
          <w:szCs w:val="22"/>
        </w:rPr>
        <w:instrText xml:space="preserve"> DOCPROPERTY  DateMade </w:instrText>
      </w:r>
      <w:r w:rsidRPr="00821C04">
        <w:rPr>
          <w:szCs w:val="22"/>
        </w:rPr>
        <w:fldChar w:fldCharType="separate"/>
      </w:r>
      <w:r w:rsidR="00343CFB">
        <w:rPr>
          <w:szCs w:val="22"/>
        </w:rPr>
        <w:t>05 May 2016</w:t>
      </w:r>
      <w:r w:rsidRPr="00821C04">
        <w:rPr>
          <w:szCs w:val="22"/>
        </w:rPr>
        <w:fldChar w:fldCharType="end"/>
      </w:r>
    </w:p>
    <w:p w:rsidR="00835BBA" w:rsidRPr="00821C04" w:rsidRDefault="00835BBA" w:rsidP="00AE2FA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21C04">
        <w:rPr>
          <w:szCs w:val="22"/>
        </w:rPr>
        <w:t>Peter Cosgrove</w:t>
      </w:r>
    </w:p>
    <w:p w:rsidR="00835BBA" w:rsidRPr="00821C04" w:rsidRDefault="00821C04" w:rsidP="00AE2FA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21C04">
        <w:rPr>
          <w:szCs w:val="22"/>
        </w:rPr>
        <w:t>Governor</w:t>
      </w:r>
      <w:r>
        <w:rPr>
          <w:szCs w:val="22"/>
        </w:rPr>
        <w:noBreakHyphen/>
      </w:r>
      <w:r w:rsidRPr="00821C04">
        <w:rPr>
          <w:szCs w:val="22"/>
        </w:rPr>
        <w:t>General</w:t>
      </w:r>
    </w:p>
    <w:p w:rsidR="00835BBA" w:rsidRPr="00821C04" w:rsidRDefault="00835BBA" w:rsidP="00AE2FA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21C04">
        <w:rPr>
          <w:szCs w:val="22"/>
        </w:rPr>
        <w:t>By His Excellency</w:t>
      </w:r>
      <w:r w:rsidR="00F65429" w:rsidRPr="00821C04">
        <w:rPr>
          <w:szCs w:val="22"/>
        </w:rPr>
        <w:t>’</w:t>
      </w:r>
      <w:r w:rsidRPr="00821C04">
        <w:rPr>
          <w:szCs w:val="22"/>
        </w:rPr>
        <w:t>s Command</w:t>
      </w:r>
    </w:p>
    <w:p w:rsidR="00835BBA" w:rsidRPr="00821C04" w:rsidRDefault="00835BBA" w:rsidP="00AE2FA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1C04">
        <w:rPr>
          <w:szCs w:val="22"/>
        </w:rPr>
        <w:t>Barnaby Joyce</w:t>
      </w:r>
    </w:p>
    <w:p w:rsidR="00835BBA" w:rsidRPr="00821C04" w:rsidRDefault="00DE5669" w:rsidP="00AE2FA9">
      <w:pPr>
        <w:pStyle w:val="SignCoverPageEnd"/>
        <w:rPr>
          <w:szCs w:val="22"/>
        </w:rPr>
      </w:pPr>
      <w:r w:rsidRPr="00821C04">
        <w:rPr>
          <w:szCs w:val="22"/>
        </w:rPr>
        <w:t xml:space="preserve">Deputy Prime Minister and </w:t>
      </w:r>
      <w:r w:rsidR="00835BBA" w:rsidRPr="00821C04">
        <w:rPr>
          <w:szCs w:val="22"/>
        </w:rPr>
        <w:t>Minister for Agriculture and Water Resources</w:t>
      </w:r>
    </w:p>
    <w:p w:rsidR="00835BBA" w:rsidRPr="00821C04" w:rsidRDefault="00835BBA" w:rsidP="00835BBA"/>
    <w:p w:rsidR="00715914" w:rsidRPr="00821C04" w:rsidRDefault="00715914" w:rsidP="00715914">
      <w:pPr>
        <w:pStyle w:val="Header"/>
        <w:tabs>
          <w:tab w:val="clear" w:pos="4150"/>
          <w:tab w:val="clear" w:pos="8307"/>
        </w:tabs>
      </w:pPr>
      <w:r w:rsidRPr="00821C04">
        <w:rPr>
          <w:rStyle w:val="CharChapNo"/>
        </w:rPr>
        <w:t xml:space="preserve"> </w:t>
      </w:r>
      <w:r w:rsidRPr="00821C04">
        <w:rPr>
          <w:rStyle w:val="CharChapText"/>
        </w:rPr>
        <w:t xml:space="preserve"> </w:t>
      </w:r>
    </w:p>
    <w:p w:rsidR="00715914" w:rsidRPr="00821C04" w:rsidRDefault="00715914" w:rsidP="00715914">
      <w:pPr>
        <w:pStyle w:val="Header"/>
        <w:tabs>
          <w:tab w:val="clear" w:pos="4150"/>
          <w:tab w:val="clear" w:pos="8307"/>
        </w:tabs>
      </w:pPr>
      <w:r w:rsidRPr="00821C04">
        <w:rPr>
          <w:rStyle w:val="CharPartNo"/>
        </w:rPr>
        <w:t xml:space="preserve"> </w:t>
      </w:r>
      <w:r w:rsidRPr="00821C04">
        <w:rPr>
          <w:rStyle w:val="CharPartText"/>
        </w:rPr>
        <w:t xml:space="preserve"> </w:t>
      </w:r>
    </w:p>
    <w:p w:rsidR="00715914" w:rsidRPr="00821C04" w:rsidRDefault="00715914" w:rsidP="00715914">
      <w:pPr>
        <w:pStyle w:val="Header"/>
        <w:tabs>
          <w:tab w:val="clear" w:pos="4150"/>
          <w:tab w:val="clear" w:pos="8307"/>
        </w:tabs>
      </w:pPr>
      <w:r w:rsidRPr="00821C04">
        <w:rPr>
          <w:rStyle w:val="CharDivNo"/>
        </w:rPr>
        <w:t xml:space="preserve"> </w:t>
      </w:r>
      <w:r w:rsidRPr="00821C04">
        <w:rPr>
          <w:rStyle w:val="CharDivText"/>
        </w:rPr>
        <w:t xml:space="preserve"> </w:t>
      </w:r>
    </w:p>
    <w:p w:rsidR="00715914" w:rsidRPr="00821C04" w:rsidRDefault="00715914" w:rsidP="00715914">
      <w:pPr>
        <w:sectPr w:rsidR="00715914" w:rsidRPr="00821C04" w:rsidSect="003303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821C04" w:rsidRDefault="00715914" w:rsidP="00835BBA">
      <w:pPr>
        <w:rPr>
          <w:sz w:val="36"/>
        </w:rPr>
      </w:pPr>
      <w:r w:rsidRPr="00821C04">
        <w:rPr>
          <w:sz w:val="36"/>
        </w:rPr>
        <w:lastRenderedPageBreak/>
        <w:t>Contents</w:t>
      </w:r>
    </w:p>
    <w:bookmarkStart w:id="1" w:name="BKCheck15B_2"/>
    <w:bookmarkEnd w:id="1"/>
    <w:p w:rsidR="001161B9" w:rsidRPr="00821C04" w:rsidRDefault="001161B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1C04">
        <w:rPr>
          <w:sz w:val="20"/>
        </w:rPr>
        <w:fldChar w:fldCharType="begin"/>
      </w:r>
      <w:r w:rsidRPr="00821C04">
        <w:rPr>
          <w:sz w:val="20"/>
        </w:rPr>
        <w:instrText xml:space="preserve"> TOC \o "1-9" </w:instrText>
      </w:r>
      <w:r w:rsidRPr="00821C04">
        <w:rPr>
          <w:sz w:val="20"/>
        </w:rPr>
        <w:fldChar w:fldCharType="separate"/>
      </w:r>
      <w:r w:rsidRPr="00821C04">
        <w:rPr>
          <w:noProof/>
        </w:rPr>
        <w:t>Part</w:t>
      </w:r>
      <w:r w:rsidR="00821C04" w:rsidRPr="00821C04">
        <w:rPr>
          <w:noProof/>
        </w:rPr>
        <w:t> </w:t>
      </w:r>
      <w:r w:rsidRPr="00821C04">
        <w:rPr>
          <w:noProof/>
        </w:rPr>
        <w:t>1—Preliminary</w:t>
      </w:r>
      <w:r w:rsidRPr="00821C04">
        <w:rPr>
          <w:b w:val="0"/>
          <w:noProof/>
          <w:sz w:val="18"/>
        </w:rPr>
        <w:tab/>
      </w:r>
      <w:r w:rsidRPr="00821C04">
        <w:rPr>
          <w:b w:val="0"/>
          <w:noProof/>
          <w:sz w:val="18"/>
        </w:rPr>
        <w:fldChar w:fldCharType="begin"/>
      </w:r>
      <w:r w:rsidRPr="00821C04">
        <w:rPr>
          <w:b w:val="0"/>
          <w:noProof/>
          <w:sz w:val="18"/>
        </w:rPr>
        <w:instrText xml:space="preserve"> PAGEREF _Toc447718410 \h </w:instrText>
      </w:r>
      <w:r w:rsidRPr="00821C04">
        <w:rPr>
          <w:b w:val="0"/>
          <w:noProof/>
          <w:sz w:val="18"/>
        </w:rPr>
      </w:r>
      <w:r w:rsidRPr="00821C04">
        <w:rPr>
          <w:b w:val="0"/>
          <w:noProof/>
          <w:sz w:val="18"/>
        </w:rPr>
        <w:fldChar w:fldCharType="separate"/>
      </w:r>
      <w:r w:rsidR="00343CFB">
        <w:rPr>
          <w:b w:val="0"/>
          <w:noProof/>
          <w:sz w:val="18"/>
        </w:rPr>
        <w:t>1</w:t>
      </w:r>
      <w:r w:rsidRPr="00821C04">
        <w:rPr>
          <w:b w:val="0"/>
          <w:noProof/>
          <w:sz w:val="18"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1</w:t>
      </w:r>
      <w:r w:rsidRPr="00821C04">
        <w:rPr>
          <w:noProof/>
        </w:rPr>
        <w:tab/>
        <w:t>Name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_Toc447718411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1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2</w:t>
      </w:r>
      <w:r w:rsidRPr="00821C04">
        <w:rPr>
          <w:noProof/>
        </w:rPr>
        <w:tab/>
        <w:t>Commencement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_Toc447718412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1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3</w:t>
      </w:r>
      <w:r w:rsidRPr="00821C04">
        <w:rPr>
          <w:noProof/>
        </w:rPr>
        <w:tab/>
        <w:t>Authority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_Toc447718413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1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4</w:t>
      </w:r>
      <w:r w:rsidRPr="00821C04">
        <w:rPr>
          <w:noProof/>
        </w:rPr>
        <w:tab/>
        <w:t>Application of this instrument to Norfolk Island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_Toc447718414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1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5</w:t>
      </w:r>
      <w:r w:rsidRPr="00821C04">
        <w:rPr>
          <w:noProof/>
        </w:rPr>
        <w:tab/>
        <w:t>Simplified outline of this instrument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_Toc447718415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1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6</w:t>
      </w:r>
      <w:r w:rsidRPr="00821C04">
        <w:rPr>
          <w:noProof/>
        </w:rPr>
        <w:tab/>
        <w:t>Definitions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_Toc447718416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2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7</w:t>
      </w:r>
      <w:r w:rsidRPr="00821C04">
        <w:rPr>
          <w:noProof/>
        </w:rPr>
        <w:tab/>
        <w:t xml:space="preserve">Meaning of </w:t>
      </w:r>
      <w:r w:rsidRPr="00821C04">
        <w:rPr>
          <w:i/>
          <w:noProof/>
        </w:rPr>
        <w:t>biosecurity activities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_Toc447718417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3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8</w:t>
      </w:r>
      <w:r w:rsidRPr="00821C04">
        <w:rPr>
          <w:noProof/>
        </w:rPr>
        <w:tab/>
        <w:t xml:space="preserve">Meaning of </w:t>
      </w:r>
      <w:r w:rsidRPr="00821C04">
        <w:rPr>
          <w:i/>
          <w:noProof/>
        </w:rPr>
        <w:t>consignment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_Toc447718418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3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1C04">
        <w:rPr>
          <w:noProof/>
        </w:rPr>
        <w:t>Part</w:t>
      </w:r>
      <w:r w:rsidR="00821C04" w:rsidRPr="00821C04">
        <w:rPr>
          <w:noProof/>
        </w:rPr>
        <w:t> </w:t>
      </w:r>
      <w:r w:rsidRPr="00821C04">
        <w:rPr>
          <w:noProof/>
        </w:rPr>
        <w:t>2—Charges</w:t>
      </w:r>
      <w:r w:rsidRPr="00821C04">
        <w:rPr>
          <w:b w:val="0"/>
          <w:noProof/>
          <w:sz w:val="18"/>
        </w:rPr>
        <w:tab/>
      </w:r>
      <w:r w:rsidRPr="00821C04">
        <w:rPr>
          <w:b w:val="0"/>
          <w:noProof/>
          <w:sz w:val="18"/>
        </w:rPr>
        <w:fldChar w:fldCharType="begin"/>
      </w:r>
      <w:r w:rsidRPr="00821C04">
        <w:rPr>
          <w:b w:val="0"/>
          <w:noProof/>
          <w:sz w:val="18"/>
        </w:rPr>
        <w:instrText xml:space="preserve"> PAGEREF _Toc447718419 \h </w:instrText>
      </w:r>
      <w:r w:rsidRPr="00821C04">
        <w:rPr>
          <w:b w:val="0"/>
          <w:noProof/>
          <w:sz w:val="18"/>
        </w:rPr>
      </w:r>
      <w:r w:rsidRPr="00821C04">
        <w:rPr>
          <w:b w:val="0"/>
          <w:noProof/>
          <w:sz w:val="18"/>
        </w:rPr>
        <w:fldChar w:fldCharType="separate"/>
      </w:r>
      <w:r w:rsidR="00343CFB">
        <w:rPr>
          <w:b w:val="0"/>
          <w:noProof/>
          <w:sz w:val="18"/>
        </w:rPr>
        <w:t>4</w:t>
      </w:r>
      <w:r w:rsidRPr="00821C04">
        <w:rPr>
          <w:b w:val="0"/>
          <w:noProof/>
          <w:sz w:val="18"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9</w:t>
      </w:r>
      <w:r w:rsidRPr="00821C04">
        <w:rPr>
          <w:noProof/>
        </w:rPr>
        <w:tab/>
        <w:t>Charges for biosecurity matters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_Toc447718420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4</w:t>
      </w:r>
      <w:r w:rsidRPr="00821C04">
        <w:rPr>
          <w:noProof/>
        </w:rPr>
        <w:fldChar w:fldCharType="end"/>
      </w:r>
    </w:p>
    <w:p w:rsidR="001161B9" w:rsidRPr="00821C04" w:rsidRDefault="001161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1C04">
        <w:rPr>
          <w:noProof/>
        </w:rPr>
        <w:t>10</w:t>
      </w:r>
      <w:r w:rsidRPr="00821C04">
        <w:rPr>
          <w:noProof/>
        </w:rPr>
        <w:tab/>
        <w:t>Exemptions from charges</w:t>
      </w:r>
      <w:r w:rsidRPr="00821C04">
        <w:rPr>
          <w:noProof/>
        </w:rPr>
        <w:tab/>
      </w:r>
      <w:r w:rsidRPr="00821C04">
        <w:rPr>
          <w:noProof/>
        </w:rPr>
        <w:fldChar w:fldCharType="begin"/>
      </w:r>
      <w:r w:rsidRPr="00821C04">
        <w:rPr>
          <w:noProof/>
        </w:rPr>
        <w:instrText xml:space="preserve"> PAGEREF _Toc447718421 \h </w:instrText>
      </w:r>
      <w:r w:rsidRPr="00821C04">
        <w:rPr>
          <w:noProof/>
        </w:rPr>
      </w:r>
      <w:r w:rsidRPr="00821C04">
        <w:rPr>
          <w:noProof/>
        </w:rPr>
        <w:fldChar w:fldCharType="separate"/>
      </w:r>
      <w:r w:rsidR="00343CFB">
        <w:rPr>
          <w:noProof/>
        </w:rPr>
        <w:t>5</w:t>
      </w:r>
      <w:r w:rsidRPr="00821C04">
        <w:rPr>
          <w:noProof/>
        </w:rPr>
        <w:fldChar w:fldCharType="end"/>
      </w:r>
    </w:p>
    <w:p w:rsidR="00A802BC" w:rsidRPr="00821C04" w:rsidRDefault="001161B9" w:rsidP="00835BBA">
      <w:pPr>
        <w:rPr>
          <w:sz w:val="20"/>
        </w:rPr>
      </w:pPr>
      <w:r w:rsidRPr="00821C04">
        <w:rPr>
          <w:sz w:val="20"/>
        </w:rPr>
        <w:fldChar w:fldCharType="end"/>
      </w:r>
    </w:p>
    <w:p w:rsidR="00EF2D3B" w:rsidRPr="00821C04" w:rsidRDefault="00EF2D3B" w:rsidP="00EF2D3B">
      <w:pPr>
        <w:sectPr w:rsidR="00EF2D3B" w:rsidRPr="00821C04" w:rsidSect="0033037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21C04" w:rsidRDefault="00715914" w:rsidP="00715914">
      <w:pPr>
        <w:pStyle w:val="ActHead2"/>
      </w:pPr>
      <w:bookmarkStart w:id="2" w:name="_Toc447718410"/>
      <w:r w:rsidRPr="00821C04">
        <w:rPr>
          <w:rStyle w:val="CharPartNo"/>
        </w:rPr>
        <w:lastRenderedPageBreak/>
        <w:t>Part</w:t>
      </w:r>
      <w:r w:rsidR="00821C04" w:rsidRPr="00821C04">
        <w:rPr>
          <w:rStyle w:val="CharPartNo"/>
        </w:rPr>
        <w:t> </w:t>
      </w:r>
      <w:r w:rsidRPr="00821C04">
        <w:rPr>
          <w:rStyle w:val="CharPartNo"/>
        </w:rPr>
        <w:t>1</w:t>
      </w:r>
      <w:r w:rsidRPr="00821C04">
        <w:t>—</w:t>
      </w:r>
      <w:r w:rsidRPr="00821C04">
        <w:rPr>
          <w:rStyle w:val="CharPartText"/>
        </w:rPr>
        <w:t>Preliminary</w:t>
      </w:r>
      <w:bookmarkEnd w:id="2"/>
    </w:p>
    <w:p w:rsidR="00715914" w:rsidRPr="00821C04" w:rsidRDefault="00715914" w:rsidP="00715914">
      <w:pPr>
        <w:pStyle w:val="Header"/>
      </w:pPr>
      <w:r w:rsidRPr="00821C04">
        <w:rPr>
          <w:rStyle w:val="CharDivNo"/>
        </w:rPr>
        <w:t xml:space="preserve"> </w:t>
      </w:r>
      <w:r w:rsidRPr="00821C04">
        <w:rPr>
          <w:rStyle w:val="CharDivText"/>
        </w:rPr>
        <w:t xml:space="preserve"> </w:t>
      </w:r>
    </w:p>
    <w:p w:rsidR="00715914" w:rsidRPr="00821C04" w:rsidRDefault="006F36C8" w:rsidP="00715914">
      <w:pPr>
        <w:pStyle w:val="ActHead5"/>
      </w:pPr>
      <w:bookmarkStart w:id="3" w:name="_Toc447718411"/>
      <w:r w:rsidRPr="00821C04">
        <w:rPr>
          <w:rStyle w:val="CharSectno"/>
        </w:rPr>
        <w:t>1</w:t>
      </w:r>
      <w:r w:rsidR="00715914" w:rsidRPr="00821C04">
        <w:t xml:space="preserve">  </w:t>
      </w:r>
      <w:r w:rsidR="00CE493D" w:rsidRPr="00821C04">
        <w:t>Name</w:t>
      </w:r>
      <w:bookmarkEnd w:id="3"/>
    </w:p>
    <w:p w:rsidR="00715914" w:rsidRPr="00821C04" w:rsidRDefault="00715914" w:rsidP="00715914">
      <w:pPr>
        <w:pStyle w:val="subsection"/>
      </w:pPr>
      <w:r w:rsidRPr="00821C04">
        <w:tab/>
      </w:r>
      <w:r w:rsidRPr="00821C04">
        <w:tab/>
        <w:t xml:space="preserve">This </w:t>
      </w:r>
      <w:r w:rsidR="00CE493D" w:rsidRPr="00821C04">
        <w:t xml:space="preserve">is the </w:t>
      </w:r>
      <w:bookmarkStart w:id="4" w:name="BKCheck15B_4"/>
      <w:bookmarkStart w:id="5" w:name="BKCheck15B_3"/>
      <w:bookmarkEnd w:id="4"/>
      <w:bookmarkEnd w:id="5"/>
      <w:r w:rsidR="00CE038B" w:rsidRPr="00821C04">
        <w:rPr>
          <w:i/>
        </w:rPr>
        <w:fldChar w:fldCharType="begin"/>
      </w:r>
      <w:r w:rsidR="00CE038B" w:rsidRPr="00821C04">
        <w:rPr>
          <w:i/>
        </w:rPr>
        <w:instrText xml:space="preserve"> STYLEREF  ShortT </w:instrText>
      </w:r>
      <w:r w:rsidR="00CE038B" w:rsidRPr="00821C04">
        <w:rPr>
          <w:i/>
        </w:rPr>
        <w:fldChar w:fldCharType="separate"/>
      </w:r>
      <w:r w:rsidR="00343CFB">
        <w:rPr>
          <w:i/>
          <w:noProof/>
        </w:rPr>
        <w:t>Biosecurity Charges Imposition (General) Regulation 2016</w:t>
      </w:r>
      <w:r w:rsidR="00CE038B" w:rsidRPr="00821C04">
        <w:rPr>
          <w:i/>
        </w:rPr>
        <w:fldChar w:fldCharType="end"/>
      </w:r>
      <w:r w:rsidRPr="00821C04">
        <w:t>.</w:t>
      </w:r>
    </w:p>
    <w:p w:rsidR="00715914" w:rsidRPr="00821C04" w:rsidRDefault="006F36C8" w:rsidP="00715914">
      <w:pPr>
        <w:pStyle w:val="ActHead5"/>
      </w:pPr>
      <w:bookmarkStart w:id="6" w:name="_Toc447718412"/>
      <w:r w:rsidRPr="00821C04">
        <w:rPr>
          <w:rStyle w:val="CharSectno"/>
        </w:rPr>
        <w:t>2</w:t>
      </w:r>
      <w:r w:rsidR="00715914" w:rsidRPr="00821C04">
        <w:t xml:space="preserve">  Commencement</w:t>
      </w:r>
      <w:bookmarkEnd w:id="6"/>
    </w:p>
    <w:p w:rsidR="00835BBA" w:rsidRPr="00821C04" w:rsidRDefault="00835BBA" w:rsidP="00AE2FA9">
      <w:pPr>
        <w:pStyle w:val="subsection"/>
      </w:pPr>
      <w:r w:rsidRPr="00821C04">
        <w:tab/>
        <w:t>(1)</w:t>
      </w:r>
      <w:r w:rsidRPr="00821C04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Start w:id="7" w:name="_GoBack"/>
      <w:bookmarkEnd w:id="7"/>
    </w:p>
    <w:p w:rsidR="00835BBA" w:rsidRPr="00821C04" w:rsidRDefault="00835BBA" w:rsidP="00AE2FA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35BBA" w:rsidRPr="00821C04" w:rsidTr="0015123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Commencement information</w:t>
            </w:r>
          </w:p>
        </w:tc>
      </w:tr>
      <w:tr w:rsidR="00835BBA" w:rsidRPr="00821C04" w:rsidTr="0015123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Column 3</w:t>
            </w:r>
          </w:p>
        </w:tc>
      </w:tr>
      <w:tr w:rsidR="00835BBA" w:rsidRPr="00821C04" w:rsidTr="0015123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Heading"/>
            </w:pPr>
            <w:r w:rsidRPr="00821C04">
              <w:t>Date/Details</w:t>
            </w:r>
          </w:p>
        </w:tc>
      </w:tr>
      <w:tr w:rsidR="00835BBA" w:rsidRPr="00821C04" w:rsidTr="00151231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text"/>
            </w:pPr>
            <w:r w:rsidRPr="00821C04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35BBA" w:rsidRPr="00821C04" w:rsidRDefault="00835BBA" w:rsidP="00AE2FA9">
            <w:pPr>
              <w:pStyle w:val="Tabletext"/>
            </w:pPr>
            <w:r w:rsidRPr="00821C04">
              <w:t>At the same time as section</w:t>
            </w:r>
            <w:r w:rsidR="00821C04" w:rsidRPr="00821C04">
              <w:t> </w:t>
            </w:r>
            <w:r w:rsidRPr="00821C04">
              <w:t xml:space="preserve">3 of the </w:t>
            </w:r>
            <w:r w:rsidRPr="00821C04">
              <w:rPr>
                <w:i/>
              </w:rPr>
              <w:t>Biosecurity Act 2015</w:t>
            </w:r>
            <w:r w:rsidRPr="00821C04">
              <w:t xml:space="preserve"> commences.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5BBA" w:rsidRPr="00821C04" w:rsidRDefault="00D64E57" w:rsidP="00AE2FA9">
            <w:pPr>
              <w:pStyle w:val="Tabletext"/>
            </w:pPr>
            <w:r>
              <w:t>16 June 2016</w:t>
            </w:r>
          </w:p>
        </w:tc>
      </w:tr>
    </w:tbl>
    <w:p w:rsidR="00835BBA" w:rsidRPr="00821C04" w:rsidRDefault="00835BBA" w:rsidP="00AE2FA9">
      <w:pPr>
        <w:pStyle w:val="notetext"/>
      </w:pPr>
      <w:r w:rsidRPr="00821C04">
        <w:rPr>
          <w:snapToGrid w:val="0"/>
          <w:lang w:eastAsia="en-US"/>
        </w:rPr>
        <w:t>Note:</w:t>
      </w:r>
      <w:r w:rsidRPr="00821C04">
        <w:rPr>
          <w:snapToGrid w:val="0"/>
          <w:lang w:eastAsia="en-US"/>
        </w:rPr>
        <w:tab/>
        <w:t xml:space="preserve">This table relates only to the provisions of this </w:t>
      </w:r>
      <w:r w:rsidRPr="00821C04">
        <w:t xml:space="preserve">instrument </w:t>
      </w:r>
      <w:r w:rsidRPr="00821C04">
        <w:rPr>
          <w:snapToGrid w:val="0"/>
          <w:lang w:eastAsia="en-US"/>
        </w:rPr>
        <w:t xml:space="preserve">as originally made. It will not be amended to deal with any later amendments of this </w:t>
      </w:r>
      <w:r w:rsidRPr="00821C04">
        <w:t>instrument</w:t>
      </w:r>
      <w:r w:rsidRPr="00821C04">
        <w:rPr>
          <w:snapToGrid w:val="0"/>
          <w:lang w:eastAsia="en-US"/>
        </w:rPr>
        <w:t>.</w:t>
      </w:r>
    </w:p>
    <w:p w:rsidR="00835BBA" w:rsidRPr="00821C04" w:rsidRDefault="00835BBA" w:rsidP="00AE2FA9">
      <w:pPr>
        <w:pStyle w:val="subsection"/>
      </w:pPr>
      <w:r w:rsidRPr="00821C04">
        <w:tab/>
        <w:t>(2)</w:t>
      </w:r>
      <w:r w:rsidRPr="00821C0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821C04" w:rsidRDefault="006F36C8" w:rsidP="00E85C54">
      <w:pPr>
        <w:pStyle w:val="ActHead5"/>
      </w:pPr>
      <w:bookmarkStart w:id="8" w:name="_Toc447718413"/>
      <w:r w:rsidRPr="00821C04">
        <w:rPr>
          <w:rStyle w:val="CharSectno"/>
        </w:rPr>
        <w:t>3</w:t>
      </w:r>
      <w:r w:rsidR="00E85C54" w:rsidRPr="00821C04">
        <w:t xml:space="preserve">  Authority</w:t>
      </w:r>
      <w:bookmarkEnd w:id="8"/>
    </w:p>
    <w:p w:rsidR="00E708D8" w:rsidRPr="00821C04" w:rsidRDefault="00E85C54" w:rsidP="00E85C54">
      <w:pPr>
        <w:pStyle w:val="subsection"/>
      </w:pPr>
      <w:r w:rsidRPr="00821C04">
        <w:tab/>
      </w:r>
      <w:r w:rsidRPr="00821C04">
        <w:tab/>
        <w:t xml:space="preserve">This </w:t>
      </w:r>
      <w:r w:rsidR="00835BBA" w:rsidRPr="00821C04">
        <w:t>instrument</w:t>
      </w:r>
      <w:r w:rsidRPr="00821C04">
        <w:t xml:space="preserve"> is made under </w:t>
      </w:r>
      <w:r w:rsidR="001B39BC" w:rsidRPr="00821C04">
        <w:t>the</w:t>
      </w:r>
      <w:r w:rsidR="009D3B7A" w:rsidRPr="00821C04">
        <w:rPr>
          <w:i/>
        </w:rPr>
        <w:t xml:space="preserve"> Biosecurity Charges Imposition (</w:t>
      </w:r>
      <w:r w:rsidR="00835BBA" w:rsidRPr="00821C04">
        <w:rPr>
          <w:i/>
        </w:rPr>
        <w:t>General) Act 201</w:t>
      </w:r>
      <w:r w:rsidR="009D3B7A" w:rsidRPr="00821C04">
        <w:rPr>
          <w:i/>
        </w:rPr>
        <w:t>5</w:t>
      </w:r>
      <w:r w:rsidR="00EC01C1" w:rsidRPr="00821C04">
        <w:t>.</w:t>
      </w:r>
    </w:p>
    <w:p w:rsidR="008437FA" w:rsidRPr="00821C04" w:rsidRDefault="008437FA" w:rsidP="006E31CC">
      <w:pPr>
        <w:pStyle w:val="ActHead5"/>
      </w:pPr>
      <w:bookmarkStart w:id="9" w:name="_Toc447718414"/>
      <w:r w:rsidRPr="00821C04">
        <w:rPr>
          <w:rStyle w:val="CharSectno"/>
        </w:rPr>
        <w:t>4</w:t>
      </w:r>
      <w:r w:rsidRPr="00821C04">
        <w:t xml:space="preserve">  Application of this instrument to Norfolk Island</w:t>
      </w:r>
      <w:bookmarkEnd w:id="9"/>
    </w:p>
    <w:p w:rsidR="008437FA" w:rsidRPr="00821C04" w:rsidRDefault="008437FA" w:rsidP="008437FA">
      <w:pPr>
        <w:pStyle w:val="subsection"/>
      </w:pPr>
      <w:r w:rsidRPr="00821C04">
        <w:tab/>
      </w:r>
      <w:r w:rsidRPr="00821C04">
        <w:tab/>
        <w:t>This instrument applies in relation to biosecurity matter</w:t>
      </w:r>
      <w:r w:rsidR="009058F4" w:rsidRPr="00821C04">
        <w:t>s</w:t>
      </w:r>
      <w:r w:rsidRPr="00821C04">
        <w:t xml:space="preserve"> in relation to goods that are, or are intended to be, brought or imported into Norfolk Island on or after 1</w:t>
      </w:r>
      <w:r w:rsidR="00821C04" w:rsidRPr="00821C04">
        <w:t> </w:t>
      </w:r>
      <w:r w:rsidRPr="00821C04">
        <w:t>July 2016 or a conveyance that enters Norfolk Island on or after that date.</w:t>
      </w:r>
    </w:p>
    <w:p w:rsidR="00835BBA" w:rsidRPr="00821C04" w:rsidRDefault="006F36C8" w:rsidP="00835BBA">
      <w:pPr>
        <w:pStyle w:val="ActHead5"/>
      </w:pPr>
      <w:bookmarkStart w:id="10" w:name="_Toc447718415"/>
      <w:r w:rsidRPr="00821C04">
        <w:rPr>
          <w:rStyle w:val="CharSectno"/>
        </w:rPr>
        <w:t>5</w:t>
      </w:r>
      <w:r w:rsidR="00835BBA" w:rsidRPr="00821C04">
        <w:t xml:space="preserve">  Simplified outline of this instrument</w:t>
      </w:r>
      <w:bookmarkEnd w:id="10"/>
    </w:p>
    <w:p w:rsidR="00835BBA" w:rsidRPr="00821C04" w:rsidRDefault="00835BBA" w:rsidP="00835BBA">
      <w:pPr>
        <w:pStyle w:val="SOText"/>
      </w:pPr>
      <w:r w:rsidRPr="00821C04">
        <w:t>This instrument prescribes the following:</w:t>
      </w:r>
    </w:p>
    <w:p w:rsidR="00835BBA" w:rsidRPr="00821C04" w:rsidRDefault="00835BBA" w:rsidP="00835BBA">
      <w:pPr>
        <w:pStyle w:val="SOPara"/>
      </w:pPr>
      <w:r w:rsidRPr="00821C04">
        <w:tab/>
        <w:t>(a)</w:t>
      </w:r>
      <w:r w:rsidRPr="00821C04">
        <w:tab/>
        <w:t xml:space="preserve">charges in relation to certain matters connected with the administration of the </w:t>
      </w:r>
      <w:r w:rsidR="00AE2FA9" w:rsidRPr="00821C04">
        <w:rPr>
          <w:i/>
        </w:rPr>
        <w:t>Biosecurity Act 2015</w:t>
      </w:r>
      <w:r w:rsidRPr="00821C04">
        <w:t>;</w:t>
      </w:r>
    </w:p>
    <w:p w:rsidR="00835BBA" w:rsidRPr="00821C04" w:rsidRDefault="00835BBA" w:rsidP="00835BBA">
      <w:pPr>
        <w:pStyle w:val="SOPara"/>
      </w:pPr>
      <w:r w:rsidRPr="00821C04">
        <w:tab/>
        <w:t>(</w:t>
      </w:r>
      <w:r w:rsidR="00AE2FA9" w:rsidRPr="00821C04">
        <w:t>b</w:t>
      </w:r>
      <w:r w:rsidRPr="00821C04">
        <w:t>)</w:t>
      </w:r>
      <w:r w:rsidRPr="00821C04">
        <w:tab/>
        <w:t>exemptions from the prescribed charges.</w:t>
      </w:r>
    </w:p>
    <w:p w:rsidR="00835BBA" w:rsidRPr="00821C04" w:rsidRDefault="00835BBA" w:rsidP="00835BBA">
      <w:pPr>
        <w:pStyle w:val="SOText"/>
      </w:pPr>
      <w:r w:rsidRPr="00821C04">
        <w:t xml:space="preserve">The prescribed charges are imposed as taxes (see the </w:t>
      </w:r>
      <w:r w:rsidR="00AE2FA9" w:rsidRPr="00821C04">
        <w:rPr>
          <w:i/>
        </w:rPr>
        <w:t xml:space="preserve">Biosecurity </w:t>
      </w:r>
      <w:r w:rsidRPr="00821C04">
        <w:rPr>
          <w:i/>
        </w:rPr>
        <w:t xml:space="preserve">Charges </w:t>
      </w:r>
      <w:r w:rsidR="00AE2FA9" w:rsidRPr="00821C04">
        <w:rPr>
          <w:i/>
        </w:rPr>
        <w:t xml:space="preserve">Imposition </w:t>
      </w:r>
      <w:r w:rsidRPr="00821C04">
        <w:rPr>
          <w:i/>
        </w:rPr>
        <w:t>(General) Act 201</w:t>
      </w:r>
      <w:r w:rsidR="00AE2FA9" w:rsidRPr="00821C04">
        <w:rPr>
          <w:i/>
        </w:rPr>
        <w:t>5</w:t>
      </w:r>
      <w:r w:rsidRPr="00821C04">
        <w:t>).</w:t>
      </w:r>
    </w:p>
    <w:p w:rsidR="00835BBA" w:rsidRPr="00821C04" w:rsidRDefault="00835BBA" w:rsidP="00835BBA">
      <w:pPr>
        <w:pStyle w:val="SOText"/>
      </w:pPr>
      <w:r w:rsidRPr="00821C04">
        <w:t>This instrument prescribes a charge only so far as that charge is neither a duty of customs nor a duty of excise within the meaning of section</w:t>
      </w:r>
      <w:r w:rsidR="00821C04" w:rsidRPr="00821C04">
        <w:t> </w:t>
      </w:r>
      <w:r w:rsidRPr="00821C04">
        <w:t xml:space="preserve">55 of the Constitution. To the extent that the charge is a duty of customs, it is prescribed by the </w:t>
      </w:r>
      <w:r w:rsidR="00AE2FA9" w:rsidRPr="00821C04">
        <w:rPr>
          <w:i/>
        </w:rPr>
        <w:t>Biosecurity Charges Imposition (</w:t>
      </w:r>
      <w:r w:rsidRPr="00821C04">
        <w:rPr>
          <w:i/>
        </w:rPr>
        <w:t>Customs) Regulation</w:t>
      </w:r>
      <w:r w:rsidR="00821C04" w:rsidRPr="00821C04">
        <w:rPr>
          <w:i/>
        </w:rPr>
        <w:t> </w:t>
      </w:r>
      <w:r w:rsidRPr="00821C04">
        <w:rPr>
          <w:i/>
        </w:rPr>
        <w:t>201</w:t>
      </w:r>
      <w:r w:rsidR="00AE2FA9" w:rsidRPr="00821C04">
        <w:rPr>
          <w:i/>
        </w:rPr>
        <w:t>6</w:t>
      </w:r>
      <w:r w:rsidRPr="00821C04">
        <w:t>.</w:t>
      </w:r>
    </w:p>
    <w:p w:rsidR="00835BBA" w:rsidRPr="00821C04" w:rsidRDefault="006F36C8" w:rsidP="00835BBA">
      <w:pPr>
        <w:pStyle w:val="ActHead5"/>
      </w:pPr>
      <w:bookmarkStart w:id="11" w:name="_Toc447718416"/>
      <w:r w:rsidRPr="00821C04">
        <w:rPr>
          <w:rStyle w:val="CharSectno"/>
        </w:rPr>
        <w:t>6</w:t>
      </w:r>
      <w:r w:rsidR="00835BBA" w:rsidRPr="00821C04">
        <w:t xml:space="preserve">  Definitions</w:t>
      </w:r>
      <w:bookmarkEnd w:id="11"/>
    </w:p>
    <w:p w:rsidR="00835BBA" w:rsidRPr="00821C04" w:rsidRDefault="00765A9C" w:rsidP="00835BBA">
      <w:pPr>
        <w:pStyle w:val="subsection"/>
      </w:pPr>
      <w:r w:rsidRPr="00821C04">
        <w:tab/>
      </w:r>
      <w:r w:rsidR="00835BBA" w:rsidRPr="00821C04">
        <w:tab/>
        <w:t>In this instrument: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Act</w:t>
      </w:r>
      <w:r w:rsidRPr="00821C04">
        <w:t xml:space="preserve"> means the </w:t>
      </w:r>
      <w:r w:rsidR="00AE2FA9" w:rsidRPr="00821C04">
        <w:rPr>
          <w:i/>
        </w:rPr>
        <w:t>Biosecurity Charges Imposition (</w:t>
      </w:r>
      <w:r w:rsidRPr="00821C04">
        <w:rPr>
          <w:i/>
        </w:rPr>
        <w:t>General) Act 201</w:t>
      </w:r>
      <w:r w:rsidR="00AE2FA9" w:rsidRPr="00821C04">
        <w:rPr>
          <w:i/>
        </w:rPr>
        <w:t>5</w:t>
      </w:r>
      <w:r w:rsidRPr="00821C04">
        <w:t>.</w:t>
      </w:r>
    </w:p>
    <w:p w:rsidR="006744CF" w:rsidRPr="00821C04" w:rsidRDefault="006744CF" w:rsidP="006744CF">
      <w:pPr>
        <w:pStyle w:val="Definition"/>
        <w:rPr>
          <w:b/>
          <w:i/>
        </w:rPr>
      </w:pPr>
      <w:r w:rsidRPr="00821C04">
        <w:rPr>
          <w:b/>
          <w:i/>
        </w:rPr>
        <w:t>aircraft</w:t>
      </w:r>
      <w:r w:rsidRPr="00821C04">
        <w:t xml:space="preserve"> 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512708" w:rsidRPr="00821C04" w:rsidRDefault="00512708" w:rsidP="006744CF">
      <w:pPr>
        <w:pStyle w:val="Definition"/>
        <w:rPr>
          <w:b/>
          <w:i/>
        </w:rPr>
      </w:pPr>
      <w:r w:rsidRPr="00821C04">
        <w:rPr>
          <w:b/>
          <w:i/>
        </w:rPr>
        <w:t>approved arrangement</w:t>
      </w:r>
      <w:r w:rsidRPr="00821C04">
        <w:rPr>
          <w:i/>
        </w:rPr>
        <w:t xml:space="preserve"> </w:t>
      </w:r>
      <w:r w:rsidRPr="00821C04">
        <w:t xml:space="preserve">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14455B" w:rsidRPr="00821C04" w:rsidRDefault="0014455B" w:rsidP="006744CF">
      <w:pPr>
        <w:pStyle w:val="Definition"/>
        <w:rPr>
          <w:b/>
          <w:i/>
        </w:rPr>
      </w:pPr>
      <w:r w:rsidRPr="00821C04">
        <w:rPr>
          <w:b/>
          <w:i/>
        </w:rPr>
        <w:t>Australian territory</w:t>
      </w:r>
      <w:r w:rsidRPr="00821C04">
        <w:rPr>
          <w:i/>
        </w:rPr>
        <w:t xml:space="preserve"> </w:t>
      </w:r>
      <w:r w:rsidRPr="00821C04">
        <w:t xml:space="preserve">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7B0372" w:rsidRPr="00821C04" w:rsidRDefault="007B0372" w:rsidP="006744CF">
      <w:pPr>
        <w:pStyle w:val="Definition"/>
        <w:rPr>
          <w:b/>
          <w:i/>
        </w:rPr>
      </w:pPr>
      <w:r w:rsidRPr="00821C04">
        <w:rPr>
          <w:b/>
          <w:i/>
        </w:rPr>
        <w:t xml:space="preserve">baggage </w:t>
      </w:r>
      <w:r w:rsidRPr="00821C04">
        <w:t xml:space="preserve">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6744CF" w:rsidRPr="00821C04" w:rsidRDefault="006744CF" w:rsidP="006744CF">
      <w:pPr>
        <w:pStyle w:val="Definition"/>
      </w:pPr>
      <w:r w:rsidRPr="00821C04">
        <w:rPr>
          <w:b/>
          <w:i/>
        </w:rPr>
        <w:t>biosecurity activities</w:t>
      </w:r>
      <w:r w:rsidR="00F65429" w:rsidRPr="00821C04">
        <w:t xml:space="preserve"> </w:t>
      </w:r>
      <w:r w:rsidR="00D75B2F" w:rsidRPr="00821C04">
        <w:t xml:space="preserve">has </w:t>
      </w:r>
      <w:r w:rsidR="00F65429" w:rsidRPr="00821C04">
        <w:t>the meaning given by section</w:t>
      </w:r>
      <w:r w:rsidR="00821C04" w:rsidRPr="00821C04">
        <w:t> </w:t>
      </w:r>
      <w:r w:rsidR="0014455B" w:rsidRPr="00821C04">
        <w:t>7</w:t>
      </w:r>
      <w:r w:rsidR="00F65429" w:rsidRPr="00821C04">
        <w:t>.</w:t>
      </w:r>
    </w:p>
    <w:p w:rsidR="006744CF" w:rsidRPr="00821C04" w:rsidRDefault="00AE2FA9" w:rsidP="00835BBA">
      <w:pPr>
        <w:pStyle w:val="Definition"/>
      </w:pPr>
      <w:r w:rsidRPr="00821C04">
        <w:rPr>
          <w:b/>
          <w:i/>
        </w:rPr>
        <w:t>biosecurity matter</w:t>
      </w:r>
      <w:r w:rsidRPr="00821C04">
        <w:t xml:space="preserve"> </w:t>
      </w:r>
      <w:r w:rsidR="00F65429" w:rsidRPr="00821C04">
        <w:t xml:space="preserve">means a matter connected with the administration of the </w:t>
      </w:r>
      <w:r w:rsidR="00F65429" w:rsidRPr="00821C04">
        <w:rPr>
          <w:i/>
        </w:rPr>
        <w:t>Biosecurity Act 2015</w:t>
      </w:r>
      <w:r w:rsidR="00F65429" w:rsidRPr="00821C04">
        <w:t>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Christmas Island</w:t>
      </w:r>
      <w:r w:rsidRPr="00821C04">
        <w:t xml:space="preserve"> means the Territory of Christmas Island.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Cocos (Keeling) Islands</w:t>
      </w:r>
      <w:r w:rsidRPr="00821C04">
        <w:t xml:space="preserve"> means the Territory of Cocos (Keeling) Islands.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consignee</w:t>
      </w:r>
      <w:r w:rsidRPr="00821C04">
        <w:t>, of goods brought into Australia</w:t>
      </w:r>
      <w:r w:rsidR="00F65429" w:rsidRPr="00821C04">
        <w:t xml:space="preserve">n </w:t>
      </w:r>
      <w:r w:rsidR="00EE2B39" w:rsidRPr="00821C04">
        <w:t>t</w:t>
      </w:r>
      <w:r w:rsidR="00F65429" w:rsidRPr="00821C04">
        <w:t>erritory</w:t>
      </w:r>
      <w:r w:rsidRPr="00821C04">
        <w:t xml:space="preserve"> from outside Australia</w:t>
      </w:r>
      <w:r w:rsidR="00AE2FA9" w:rsidRPr="00821C04">
        <w:t xml:space="preserve">n </w:t>
      </w:r>
      <w:r w:rsidR="00EE2B39" w:rsidRPr="00821C04">
        <w:t>t</w:t>
      </w:r>
      <w:r w:rsidR="00AE2FA9" w:rsidRPr="00821C04">
        <w:t>erritory</w:t>
      </w:r>
      <w:r w:rsidRPr="00821C04">
        <w:t>, means the person who is the ultimate recipient of the goods, whether or not the person ordered or paid for the goods.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consignment</w:t>
      </w:r>
      <w:r w:rsidRPr="00821C04">
        <w:t xml:space="preserve"> has a meaning affected by </w:t>
      </w:r>
      <w:r w:rsidR="0014455B" w:rsidRPr="00821C04">
        <w:t>section</w:t>
      </w:r>
      <w:r w:rsidR="00821C04" w:rsidRPr="00821C04">
        <w:t> </w:t>
      </w:r>
      <w:r w:rsidR="0014455B" w:rsidRPr="00821C04">
        <w:t>8</w:t>
      </w:r>
      <w:r w:rsidRPr="00821C04">
        <w:t>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 xml:space="preserve">Director of </w:t>
      </w:r>
      <w:r w:rsidR="00F65429" w:rsidRPr="00821C04">
        <w:rPr>
          <w:b/>
          <w:i/>
        </w:rPr>
        <w:t>Biosecurity</w:t>
      </w:r>
      <w:r w:rsidRPr="00821C04">
        <w:t xml:space="preserve"> has the same meaning as in the </w:t>
      </w:r>
      <w:r w:rsidR="00AE2FA9" w:rsidRPr="00821C04">
        <w:rPr>
          <w:i/>
        </w:rPr>
        <w:t>Biosecurity Act 2015</w:t>
      </w:r>
      <w:r w:rsidR="009D070D" w:rsidRPr="00821C04">
        <w:t>.</w:t>
      </w:r>
    </w:p>
    <w:p w:rsidR="00D31A57" w:rsidRPr="00821C04" w:rsidRDefault="00D31A57" w:rsidP="00D31A57">
      <w:pPr>
        <w:pStyle w:val="Definition"/>
        <w:rPr>
          <w:b/>
          <w:i/>
        </w:rPr>
      </w:pPr>
      <w:r w:rsidRPr="00821C04">
        <w:rPr>
          <w:b/>
          <w:i/>
        </w:rPr>
        <w:t>disability assistance dog</w:t>
      </w:r>
      <w:r w:rsidRPr="00821C04">
        <w:t xml:space="preserve"> means a dog:</w:t>
      </w:r>
    </w:p>
    <w:p w:rsidR="00217D6C" w:rsidRPr="00821C04" w:rsidRDefault="00217D6C" w:rsidP="00217D6C">
      <w:pPr>
        <w:pStyle w:val="paragraph"/>
      </w:pPr>
      <w:r w:rsidRPr="00821C04">
        <w:tab/>
        <w:t>(a)</w:t>
      </w:r>
      <w:r w:rsidRPr="00821C04">
        <w:tab/>
        <w:t>that has been professionally trained to assist a person with a disability; and</w:t>
      </w:r>
    </w:p>
    <w:p w:rsidR="00217D6C" w:rsidRPr="00821C04" w:rsidRDefault="00217D6C" w:rsidP="00217D6C">
      <w:pPr>
        <w:pStyle w:val="paragraph"/>
      </w:pPr>
      <w:r w:rsidRPr="00821C04">
        <w:tab/>
        <w:t>(b)</w:t>
      </w:r>
      <w:r w:rsidRPr="00821C04">
        <w:tab/>
        <w:t>that is accompanying a person with such a disability who has a certificate from a medical specialist practitioner in a speciality relevant to the disability, stating that the person requires the assistance of such a dog.</w:t>
      </w:r>
    </w:p>
    <w:p w:rsidR="00835BBA" w:rsidRPr="00821C04" w:rsidRDefault="00835BBA" w:rsidP="003E0581">
      <w:pPr>
        <w:pStyle w:val="Definition"/>
      </w:pPr>
      <w:r w:rsidRPr="00821C04">
        <w:rPr>
          <w:b/>
          <w:i/>
        </w:rPr>
        <w:t>goods</w:t>
      </w:r>
      <w:r w:rsidRPr="00821C04">
        <w:t xml:space="preserve"> has the same meaning as in the </w:t>
      </w:r>
      <w:r w:rsidR="00C47972" w:rsidRPr="00821C04">
        <w:rPr>
          <w:i/>
        </w:rPr>
        <w:t>Biosecurity Act 2015</w:t>
      </w:r>
      <w:r w:rsidRPr="00821C04">
        <w:t>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husbandry services</w:t>
      </w:r>
      <w:r w:rsidRPr="00821C04">
        <w:t xml:space="preserve">, in relation to an animal, eggs or a plant that is in a </w:t>
      </w:r>
      <w:r w:rsidR="00AE2FA9" w:rsidRPr="00821C04">
        <w:t>post</w:t>
      </w:r>
      <w:r w:rsidR="00821C04">
        <w:noBreakHyphen/>
      </w:r>
      <w:r w:rsidR="00AE2FA9" w:rsidRPr="00821C04">
        <w:t xml:space="preserve">entry </w:t>
      </w:r>
      <w:r w:rsidRPr="00821C04">
        <w:t xml:space="preserve">quarantine </w:t>
      </w:r>
      <w:r w:rsidR="00AE2FA9" w:rsidRPr="00821C04">
        <w:t>facility</w:t>
      </w:r>
      <w:r w:rsidRPr="00821C04">
        <w:t>, means activities relating to the care and maintenance of the animal, eggs, or plant (for example, transport, housing, daily monitoring, feeding, cleaning of facilities and administration of medication).</w:t>
      </w:r>
    </w:p>
    <w:p w:rsidR="003E0581" w:rsidRPr="00821C04" w:rsidRDefault="003E0581" w:rsidP="00835BBA">
      <w:pPr>
        <w:pStyle w:val="Definition"/>
      </w:pPr>
      <w:r w:rsidRPr="00821C04">
        <w:rPr>
          <w:b/>
          <w:i/>
        </w:rPr>
        <w:t>import declaration</w:t>
      </w:r>
      <w:r w:rsidRPr="00821C04">
        <w:t xml:space="preserve"> has the same meaning as in the </w:t>
      </w:r>
      <w:r w:rsidRPr="00821C04">
        <w:rPr>
          <w:i/>
        </w:rPr>
        <w:t>Customs Act 1901</w:t>
      </w:r>
      <w:r w:rsidRPr="00821C04">
        <w:t>.</w:t>
      </w:r>
    </w:p>
    <w:p w:rsidR="004B467C" w:rsidRPr="00821C04" w:rsidRDefault="004B467C" w:rsidP="00835BBA">
      <w:pPr>
        <w:pStyle w:val="Definition"/>
        <w:rPr>
          <w:b/>
          <w:i/>
        </w:rPr>
      </w:pPr>
      <w:r w:rsidRPr="00821C04">
        <w:rPr>
          <w:b/>
          <w:i/>
        </w:rPr>
        <w:t>port</w:t>
      </w:r>
      <w:r w:rsidRPr="00821C04">
        <w:rPr>
          <w:i/>
        </w:rPr>
        <w:t xml:space="preserve"> </w:t>
      </w:r>
      <w:r w:rsidRPr="00821C04">
        <w:t xml:space="preserve">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2F5389" w:rsidRPr="00821C04" w:rsidRDefault="00AE2FA9" w:rsidP="00835BBA">
      <w:pPr>
        <w:pStyle w:val="Definition"/>
      </w:pPr>
      <w:r w:rsidRPr="00821C04">
        <w:rPr>
          <w:b/>
          <w:i/>
        </w:rPr>
        <w:t>post</w:t>
      </w:r>
      <w:r w:rsidR="00821C04">
        <w:rPr>
          <w:b/>
          <w:i/>
        </w:rPr>
        <w:noBreakHyphen/>
      </w:r>
      <w:r w:rsidRPr="00821C04">
        <w:rPr>
          <w:b/>
          <w:i/>
        </w:rPr>
        <w:t>entry quarantine facility</w:t>
      </w:r>
      <w:r w:rsidRPr="00821C04">
        <w:t xml:space="preserve"> </w:t>
      </w:r>
      <w:r w:rsidR="002F5389" w:rsidRPr="00821C04">
        <w:t xml:space="preserve">has the same meaning as in the </w:t>
      </w:r>
      <w:r w:rsidR="002F5389" w:rsidRPr="00821C04">
        <w:rPr>
          <w:i/>
        </w:rPr>
        <w:t>Biosecurity Regulation</w:t>
      </w:r>
      <w:r w:rsidR="00821C04" w:rsidRPr="00821C04">
        <w:rPr>
          <w:i/>
        </w:rPr>
        <w:t> </w:t>
      </w:r>
      <w:r w:rsidR="005972AC" w:rsidRPr="00821C04">
        <w:rPr>
          <w:i/>
        </w:rPr>
        <w:t>2016</w:t>
      </w:r>
      <w:r w:rsidR="002F5389" w:rsidRPr="00821C04">
        <w:t>.</w:t>
      </w:r>
    </w:p>
    <w:p w:rsidR="008437FA" w:rsidRPr="00821C04" w:rsidRDefault="008437FA" w:rsidP="00835BBA">
      <w:pPr>
        <w:pStyle w:val="Definition"/>
      </w:pPr>
      <w:r w:rsidRPr="00821C04">
        <w:rPr>
          <w:b/>
          <w:i/>
        </w:rPr>
        <w:t>protected zone</w:t>
      </w:r>
      <w:r w:rsidRPr="00821C04">
        <w:t xml:space="preserve"> 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8437FA" w:rsidRPr="00821C04" w:rsidRDefault="008437FA" w:rsidP="008437FA">
      <w:pPr>
        <w:pStyle w:val="Definition"/>
      </w:pPr>
      <w:r w:rsidRPr="00821C04">
        <w:rPr>
          <w:b/>
          <w:i/>
        </w:rPr>
        <w:t>protected zone vessel</w:t>
      </w:r>
      <w:r w:rsidRPr="00821C04">
        <w:t xml:space="preserve"> has the same meaning as in the </w:t>
      </w:r>
      <w:r w:rsidRPr="00821C04">
        <w:rPr>
          <w:i/>
        </w:rPr>
        <w:t>Biosecurity Act 2015</w:t>
      </w:r>
      <w:r w:rsidRPr="00821C04">
        <w:t>.</w:t>
      </w:r>
    </w:p>
    <w:p w:rsidR="008437FA" w:rsidRPr="00821C04" w:rsidRDefault="008437FA" w:rsidP="008437FA">
      <w:pPr>
        <w:pStyle w:val="Definition"/>
      </w:pPr>
      <w:r w:rsidRPr="00821C04">
        <w:rPr>
          <w:b/>
          <w:i/>
        </w:rPr>
        <w:t>Torres Strait permanent biosecurity monitoring zone</w:t>
      </w:r>
      <w:r w:rsidRPr="00821C04">
        <w:t xml:space="preserve"> has the same meaning as in the </w:t>
      </w:r>
      <w:r w:rsidRPr="00821C04">
        <w:rPr>
          <w:i/>
        </w:rPr>
        <w:t>Biosecurity Regulation</w:t>
      </w:r>
      <w:r w:rsidR="00821C04" w:rsidRPr="00821C04">
        <w:rPr>
          <w:i/>
        </w:rPr>
        <w:t> </w:t>
      </w:r>
      <w:r w:rsidRPr="00821C04">
        <w:rPr>
          <w:i/>
        </w:rPr>
        <w:t>2016</w:t>
      </w:r>
      <w:r w:rsidRPr="00821C04">
        <w:t>.</w:t>
      </w:r>
    </w:p>
    <w:p w:rsidR="00835BBA" w:rsidRPr="00821C04" w:rsidRDefault="00835BBA" w:rsidP="00835BBA">
      <w:pPr>
        <w:pStyle w:val="Definition"/>
      </w:pPr>
      <w:r w:rsidRPr="00821C04">
        <w:rPr>
          <w:b/>
          <w:i/>
        </w:rPr>
        <w:t>vessel</w:t>
      </w:r>
      <w:r w:rsidRPr="00821C04">
        <w:t xml:space="preserve"> has the same meaning as in the </w:t>
      </w:r>
      <w:r w:rsidR="006744CF" w:rsidRPr="00821C04">
        <w:rPr>
          <w:i/>
        </w:rPr>
        <w:t>Biosecurity Act 2015</w:t>
      </w:r>
      <w:r w:rsidRPr="00821C04">
        <w:t>.</w:t>
      </w:r>
    </w:p>
    <w:p w:rsidR="0014455B" w:rsidRPr="00821C04" w:rsidRDefault="0014455B" w:rsidP="0014455B">
      <w:pPr>
        <w:pStyle w:val="ActHead5"/>
      </w:pPr>
      <w:bookmarkStart w:id="12" w:name="_Toc447718417"/>
      <w:r w:rsidRPr="00821C04">
        <w:rPr>
          <w:rStyle w:val="CharSectno"/>
        </w:rPr>
        <w:t>7</w:t>
      </w:r>
      <w:r w:rsidRPr="00821C04">
        <w:t xml:space="preserve">  Meaning of </w:t>
      </w:r>
      <w:r w:rsidRPr="00821C04">
        <w:rPr>
          <w:i/>
        </w:rPr>
        <w:t>biosecurity activities</w:t>
      </w:r>
      <w:bookmarkEnd w:id="12"/>
    </w:p>
    <w:p w:rsidR="0014455B" w:rsidRPr="00821C04" w:rsidRDefault="0014455B" w:rsidP="0014455B">
      <w:pPr>
        <w:pStyle w:val="subsection"/>
      </w:pPr>
      <w:r w:rsidRPr="00821C04">
        <w:tab/>
        <w:t>(1)</w:t>
      </w:r>
      <w:r w:rsidRPr="00821C04">
        <w:tab/>
        <w:t>Activities to manage biosecurity</w:t>
      </w:r>
      <w:r w:rsidR="008D7E74" w:rsidRPr="00821C04">
        <w:t xml:space="preserve"> risks associated with</w:t>
      </w:r>
      <w:r w:rsidRPr="00821C04">
        <w:t xml:space="preserve"> goods, premises or other things are </w:t>
      </w:r>
      <w:r w:rsidRPr="00821C04">
        <w:rPr>
          <w:b/>
          <w:i/>
        </w:rPr>
        <w:t>biosecurity activities</w:t>
      </w:r>
      <w:r w:rsidRPr="00821C04">
        <w:t>.</w:t>
      </w:r>
    </w:p>
    <w:p w:rsidR="0014455B" w:rsidRPr="00821C04" w:rsidRDefault="0014455B" w:rsidP="0014455B">
      <w:pPr>
        <w:pStyle w:val="subsection"/>
      </w:pPr>
      <w:r w:rsidRPr="00821C04">
        <w:tab/>
        <w:t>(2)</w:t>
      </w:r>
      <w:r w:rsidRPr="00821C04">
        <w:tab/>
        <w:t xml:space="preserve">However, </w:t>
      </w:r>
      <w:r w:rsidRPr="00821C04">
        <w:rPr>
          <w:b/>
          <w:i/>
        </w:rPr>
        <w:t>biosecurity activities</w:t>
      </w:r>
      <w:r w:rsidRPr="00821C04">
        <w:t xml:space="preserve"> in relation to an animal, eggs or a plant, does not include husbandry services in relation to the animal, eggs or plant.</w:t>
      </w:r>
    </w:p>
    <w:p w:rsidR="006744CF" w:rsidRPr="00821C04" w:rsidRDefault="0014455B" w:rsidP="006744CF">
      <w:pPr>
        <w:pStyle w:val="ActHead5"/>
      </w:pPr>
      <w:bookmarkStart w:id="13" w:name="_Toc447718418"/>
      <w:r w:rsidRPr="00821C04">
        <w:rPr>
          <w:rStyle w:val="CharSectno"/>
        </w:rPr>
        <w:t>8</w:t>
      </w:r>
      <w:r w:rsidR="006744CF" w:rsidRPr="00821C04">
        <w:t xml:space="preserve">  Meaning of </w:t>
      </w:r>
      <w:r w:rsidR="006744CF" w:rsidRPr="00821C04">
        <w:rPr>
          <w:i/>
        </w:rPr>
        <w:t>consignment</w:t>
      </w:r>
      <w:bookmarkEnd w:id="13"/>
    </w:p>
    <w:p w:rsidR="00835BBA" w:rsidRPr="00821C04" w:rsidRDefault="00835BBA" w:rsidP="00835BBA">
      <w:pPr>
        <w:pStyle w:val="subsection"/>
      </w:pPr>
      <w:r w:rsidRPr="00821C04">
        <w:tab/>
        <w:t>(</w:t>
      </w:r>
      <w:r w:rsidR="00765A9C" w:rsidRPr="00821C04">
        <w:t>1</w:t>
      </w:r>
      <w:r w:rsidRPr="00821C04">
        <w:t>)</w:t>
      </w:r>
      <w:r w:rsidRPr="00821C04">
        <w:tab/>
        <w:t>For the purposes of this instrument, one or more animals or eggs are not a consignment unless:</w:t>
      </w:r>
    </w:p>
    <w:p w:rsidR="00835BBA" w:rsidRPr="00821C04" w:rsidRDefault="00835BBA" w:rsidP="00835BBA">
      <w:pPr>
        <w:pStyle w:val="paragraph"/>
      </w:pPr>
      <w:r w:rsidRPr="00821C04">
        <w:tab/>
        <w:t>(a)</w:t>
      </w:r>
      <w:r w:rsidRPr="00821C04">
        <w:tab/>
        <w:t>they are all consigned by the same person to the same consignee; and</w:t>
      </w:r>
    </w:p>
    <w:p w:rsidR="00835BBA" w:rsidRPr="00821C04" w:rsidRDefault="00835BBA" w:rsidP="00835BBA">
      <w:pPr>
        <w:pStyle w:val="paragraph"/>
      </w:pPr>
      <w:r w:rsidRPr="00821C04">
        <w:tab/>
        <w:t>(b)</w:t>
      </w:r>
      <w:r w:rsidRPr="00821C04">
        <w:tab/>
        <w:t xml:space="preserve">they all arrive at a </w:t>
      </w:r>
      <w:r w:rsidR="00765A9C" w:rsidRPr="00821C04">
        <w:t>post</w:t>
      </w:r>
      <w:r w:rsidR="00821C04">
        <w:noBreakHyphen/>
      </w:r>
      <w:r w:rsidR="00765A9C" w:rsidRPr="00821C04">
        <w:t>entry quarantine facility</w:t>
      </w:r>
      <w:r w:rsidRPr="00821C04">
        <w:t xml:space="preserve"> on the same day.</w:t>
      </w:r>
    </w:p>
    <w:p w:rsidR="00835BBA" w:rsidRPr="00821C04" w:rsidRDefault="00835BBA" w:rsidP="00835BBA">
      <w:pPr>
        <w:pStyle w:val="subsection"/>
      </w:pPr>
      <w:r w:rsidRPr="00821C04">
        <w:tab/>
        <w:t>(</w:t>
      </w:r>
      <w:r w:rsidR="00765A9C" w:rsidRPr="00821C04">
        <w:t>2</w:t>
      </w:r>
      <w:r w:rsidRPr="00821C04">
        <w:t>)</w:t>
      </w:r>
      <w:r w:rsidRPr="00821C04">
        <w:tab/>
        <w:t>To avoid doubt, for the purposes of this instrument, a single animal or egg may constitute a consignment of animals or eggs.</w:t>
      </w:r>
    </w:p>
    <w:p w:rsidR="00835BBA" w:rsidRPr="00821C04" w:rsidRDefault="00835BBA" w:rsidP="00835BBA">
      <w:pPr>
        <w:pStyle w:val="ActHead2"/>
        <w:pageBreakBefore/>
      </w:pPr>
      <w:bookmarkStart w:id="14" w:name="_Toc447718419"/>
      <w:r w:rsidRPr="00821C04">
        <w:rPr>
          <w:rStyle w:val="CharPartNo"/>
        </w:rPr>
        <w:t>Part</w:t>
      </w:r>
      <w:r w:rsidR="00821C04" w:rsidRPr="00821C04">
        <w:rPr>
          <w:rStyle w:val="CharPartNo"/>
        </w:rPr>
        <w:t> </w:t>
      </w:r>
      <w:r w:rsidRPr="00821C04">
        <w:rPr>
          <w:rStyle w:val="CharPartNo"/>
        </w:rPr>
        <w:t>2</w:t>
      </w:r>
      <w:r w:rsidRPr="00821C04">
        <w:t>—</w:t>
      </w:r>
      <w:r w:rsidRPr="00821C04">
        <w:rPr>
          <w:rStyle w:val="CharPartText"/>
        </w:rPr>
        <w:t>Charges</w:t>
      </w:r>
      <w:bookmarkEnd w:id="14"/>
    </w:p>
    <w:p w:rsidR="00835BBA" w:rsidRPr="00821C04" w:rsidRDefault="00835BBA" w:rsidP="00835BBA">
      <w:pPr>
        <w:pStyle w:val="Header"/>
      </w:pPr>
      <w:r w:rsidRPr="00821C04">
        <w:rPr>
          <w:rStyle w:val="CharDivNo"/>
        </w:rPr>
        <w:t xml:space="preserve"> </w:t>
      </w:r>
      <w:r w:rsidRPr="00821C04">
        <w:rPr>
          <w:rStyle w:val="CharDivText"/>
        </w:rPr>
        <w:t xml:space="preserve"> </w:t>
      </w:r>
    </w:p>
    <w:p w:rsidR="00835BBA" w:rsidRPr="00821C04" w:rsidRDefault="006F36C8" w:rsidP="00835BBA">
      <w:pPr>
        <w:pStyle w:val="ActHead5"/>
      </w:pPr>
      <w:bookmarkStart w:id="15" w:name="_Toc447718420"/>
      <w:r w:rsidRPr="00821C04">
        <w:rPr>
          <w:rStyle w:val="CharSectno"/>
        </w:rPr>
        <w:t>9</w:t>
      </w:r>
      <w:r w:rsidR="00C47972" w:rsidRPr="00821C04">
        <w:t xml:space="preserve">  Charges for biosecurity</w:t>
      </w:r>
      <w:r w:rsidR="00835BBA" w:rsidRPr="00821C04">
        <w:t xml:space="preserve"> matters</w:t>
      </w:r>
      <w:bookmarkEnd w:id="15"/>
    </w:p>
    <w:p w:rsidR="00835BBA" w:rsidRPr="00821C04" w:rsidRDefault="00835BBA" w:rsidP="00835BBA">
      <w:pPr>
        <w:pStyle w:val="subsection"/>
      </w:pPr>
      <w:r w:rsidRPr="00821C04">
        <w:tab/>
      </w:r>
      <w:r w:rsidRPr="00821C04">
        <w:tab/>
        <w:t>For subsection</w:t>
      </w:r>
      <w:r w:rsidR="00821C04" w:rsidRPr="00821C04">
        <w:t> </w:t>
      </w:r>
      <w:r w:rsidRPr="00821C04">
        <w:t xml:space="preserve">7(1) of the Act, the charge in relation to a </w:t>
      </w:r>
      <w:r w:rsidR="00765A9C" w:rsidRPr="00821C04">
        <w:t>biosecurity</w:t>
      </w:r>
      <w:r w:rsidRPr="00821C04">
        <w:t xml:space="preserve"> matter referred to in column 1 of an item in the following table is the amount set out in, or calculated in accordance with, column 2 of the item.</w:t>
      </w:r>
    </w:p>
    <w:p w:rsidR="00835BBA" w:rsidRPr="00821C04" w:rsidRDefault="00835BBA" w:rsidP="00835BBA">
      <w:pPr>
        <w:pStyle w:val="Tabletext"/>
      </w:pPr>
    </w:p>
    <w:tbl>
      <w:tblPr>
        <w:tblW w:w="4937" w:type="pct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835"/>
        <w:gridCol w:w="3835"/>
      </w:tblGrid>
      <w:tr w:rsidR="00835BBA" w:rsidRPr="00821C04" w:rsidTr="00D75B2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35BBA" w:rsidRPr="00821C04" w:rsidRDefault="00835BBA" w:rsidP="00AE2FA9">
            <w:pPr>
              <w:pStyle w:val="TableHeading"/>
            </w:pPr>
            <w:r w:rsidRPr="00821C04">
              <w:t>Charges</w:t>
            </w:r>
          </w:p>
        </w:tc>
      </w:tr>
      <w:tr w:rsidR="00835BBA" w:rsidRPr="00821C04" w:rsidTr="00D75B2F">
        <w:trPr>
          <w:tblHeader/>
        </w:trPr>
        <w:tc>
          <w:tcPr>
            <w:tcW w:w="4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35BBA" w:rsidRPr="00821C04" w:rsidRDefault="00835BBA" w:rsidP="00AE2FA9">
            <w:pPr>
              <w:pStyle w:val="TableHeading"/>
            </w:pPr>
            <w:r w:rsidRPr="00821C04">
              <w:t>Item</w:t>
            </w:r>
          </w:p>
        </w:tc>
        <w:tc>
          <w:tcPr>
            <w:tcW w:w="227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35BBA" w:rsidRPr="00821C04" w:rsidRDefault="00835BBA" w:rsidP="00C47972">
            <w:pPr>
              <w:pStyle w:val="TableHeading"/>
            </w:pPr>
            <w:r w:rsidRPr="00821C04">
              <w:t>Column 1</w:t>
            </w:r>
            <w:r w:rsidRPr="00821C04">
              <w:br/>
            </w:r>
            <w:r w:rsidR="00C47972" w:rsidRPr="00821C04">
              <w:t>Biosecurity</w:t>
            </w:r>
            <w:r w:rsidRPr="00821C04">
              <w:t xml:space="preserve"> matter</w:t>
            </w:r>
          </w:p>
        </w:tc>
        <w:tc>
          <w:tcPr>
            <w:tcW w:w="227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35BBA" w:rsidRPr="00821C04" w:rsidRDefault="00835BBA" w:rsidP="00AE2FA9">
            <w:pPr>
              <w:pStyle w:val="TableHeading"/>
            </w:pPr>
            <w:r w:rsidRPr="00821C04">
              <w:t>Column 2</w:t>
            </w:r>
            <w:r w:rsidRPr="00821C04">
              <w:br/>
              <w:t>Amount</w:t>
            </w:r>
          </w:p>
        </w:tc>
      </w:tr>
      <w:tr w:rsidR="00835BBA" w:rsidRPr="00821C04" w:rsidTr="00D75B2F">
        <w:tc>
          <w:tcPr>
            <w:tcW w:w="446" w:type="pct"/>
            <w:tcBorders>
              <w:top w:val="single" w:sz="12" w:space="0" w:color="auto"/>
            </w:tcBorders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1</w:t>
            </w:r>
          </w:p>
        </w:tc>
        <w:tc>
          <w:tcPr>
            <w:tcW w:w="2277" w:type="pct"/>
            <w:tcBorders>
              <w:top w:val="single" w:sz="12" w:space="0" w:color="auto"/>
            </w:tcBorders>
            <w:shd w:val="clear" w:color="auto" w:fill="auto"/>
          </w:tcPr>
          <w:p w:rsidR="00835BBA" w:rsidRPr="00821C04" w:rsidRDefault="00091BA5" w:rsidP="003E0581">
            <w:pPr>
              <w:pStyle w:val="Tabletext"/>
            </w:pPr>
            <w:r w:rsidRPr="00821C04">
              <w:t xml:space="preserve">In relation to goods </w:t>
            </w:r>
            <w:r w:rsidR="003E0581" w:rsidRPr="00821C04">
              <w:t>that are the subject of an import declaration</w:t>
            </w:r>
            <w:r w:rsidR="00DD0077" w:rsidRPr="00821C04">
              <w:t xml:space="preserve"> and</w:t>
            </w:r>
            <w:r w:rsidR="00835BBA" w:rsidRPr="00821C04">
              <w:t xml:space="preserve"> </w:t>
            </w:r>
            <w:r w:rsidR="001A30CB" w:rsidRPr="00821C04">
              <w:t xml:space="preserve">that </w:t>
            </w:r>
            <w:r w:rsidR="00390714" w:rsidRPr="00821C04">
              <w:t>have been brought into Australian territory on an aircraft</w:t>
            </w:r>
            <w:r w:rsidR="001A30CB" w:rsidRPr="00821C04">
              <w:t>—</w:t>
            </w:r>
            <w:r w:rsidR="00835BBA" w:rsidRPr="00821C04">
              <w:t xml:space="preserve">risk profiling, surveillance, monitoring compliance and administration of other </w:t>
            </w:r>
            <w:r w:rsidR="00C47972" w:rsidRPr="00821C04">
              <w:t xml:space="preserve">biosecurity </w:t>
            </w:r>
            <w:r w:rsidR="00835BBA" w:rsidRPr="00821C04">
              <w:t>matters</w:t>
            </w:r>
          </w:p>
        </w:tc>
        <w:tc>
          <w:tcPr>
            <w:tcW w:w="2277" w:type="pct"/>
            <w:tcBorders>
              <w:top w:val="single" w:sz="12" w:space="0" w:color="auto"/>
            </w:tcBorders>
            <w:shd w:val="clear" w:color="auto" w:fill="auto"/>
          </w:tcPr>
          <w:p w:rsidR="00835BBA" w:rsidRPr="00821C04" w:rsidRDefault="00835BBA" w:rsidP="003E0581">
            <w:pPr>
              <w:pStyle w:val="Tabletext"/>
            </w:pPr>
            <w:r w:rsidRPr="00821C04">
              <w:t>For each import declaration—$33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2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1A30CB">
            <w:pPr>
              <w:pStyle w:val="Tabletext"/>
            </w:pPr>
            <w:r w:rsidRPr="00821C04">
              <w:t>In relation to goods</w:t>
            </w:r>
            <w:r w:rsidR="003E0581" w:rsidRPr="00821C04">
              <w:t xml:space="preserve"> that are the subject of an import declaration</w:t>
            </w:r>
            <w:r w:rsidR="00DD0077" w:rsidRPr="00821C04">
              <w:t xml:space="preserve"> and</w:t>
            </w:r>
            <w:r w:rsidR="00390714" w:rsidRPr="00821C04">
              <w:t xml:space="preserve"> </w:t>
            </w:r>
            <w:r w:rsidR="001A30CB" w:rsidRPr="00821C04">
              <w:t xml:space="preserve">that </w:t>
            </w:r>
            <w:r w:rsidR="00091BA5" w:rsidRPr="00821C04">
              <w:t>have been brought into Australian territory on a vessel</w:t>
            </w:r>
            <w:r w:rsidR="001A30CB" w:rsidRPr="00821C04">
              <w:t>—</w:t>
            </w:r>
            <w:r w:rsidRPr="00821C04">
              <w:t xml:space="preserve">risk profiling, surveillance, monitoring compliance and administration of other </w:t>
            </w:r>
            <w:r w:rsidR="00C47972" w:rsidRPr="00821C04">
              <w:t>biosecurity</w:t>
            </w:r>
            <w:r w:rsidRPr="00821C04">
              <w:t xml:space="preserve"> matters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3E0581">
            <w:pPr>
              <w:pStyle w:val="Tabletext"/>
            </w:pPr>
            <w:r w:rsidRPr="00821C04">
              <w:t>For each import declaration—$42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3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9A00DD">
            <w:pPr>
              <w:pStyle w:val="Tabletext"/>
            </w:pPr>
            <w:r w:rsidRPr="00821C04">
              <w:t xml:space="preserve">Application for a permit </w:t>
            </w:r>
            <w:r w:rsidR="009A00DD" w:rsidRPr="00821C04">
              <w:t>under section</w:t>
            </w:r>
            <w:r w:rsidR="00821C04" w:rsidRPr="00821C04">
              <w:t> </w:t>
            </w:r>
            <w:r w:rsidR="009A00DD" w:rsidRPr="00821C04">
              <w:t xml:space="preserve">177 of the </w:t>
            </w:r>
            <w:r w:rsidR="009A00DD" w:rsidRPr="00821C04">
              <w:rPr>
                <w:i/>
              </w:rPr>
              <w:t xml:space="preserve">Biosecurity Act 2015 </w:t>
            </w:r>
            <w:r w:rsidR="00C47972" w:rsidRPr="00821C04">
              <w:t xml:space="preserve">authorising goods to be brought or imported into Australian </w:t>
            </w:r>
            <w:r w:rsidR="00EE2B39" w:rsidRPr="00821C04">
              <w:t>t</w:t>
            </w:r>
            <w:r w:rsidR="00D6372A" w:rsidRPr="00821C04">
              <w:t>erritory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$120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4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765A9C">
            <w:pPr>
              <w:pStyle w:val="Tabletext"/>
            </w:pPr>
            <w:r w:rsidRPr="00821C04">
              <w:t xml:space="preserve">Administration and management of </w:t>
            </w:r>
            <w:r w:rsidR="00765A9C" w:rsidRPr="00821C04">
              <w:t xml:space="preserve">biosecurity </w:t>
            </w:r>
            <w:r w:rsidRPr="00821C04">
              <w:t xml:space="preserve">activities in relation to a horse or ruminant, or any other animal (other than a cat or dog) weighing more than 25 kilograms, in a </w:t>
            </w:r>
            <w:r w:rsidR="00512708" w:rsidRPr="00821C04">
              <w:t>post</w:t>
            </w:r>
            <w:r w:rsidR="00821C04">
              <w:noBreakHyphen/>
            </w:r>
            <w:r w:rsidR="00512708" w:rsidRPr="00821C04">
              <w:t>entry quarantine facility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animal—$3</w:t>
            </w:r>
            <w:r w:rsidR="00821C04" w:rsidRPr="00821C04">
              <w:t> </w:t>
            </w:r>
            <w:r w:rsidRPr="00821C04">
              <w:t>000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5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765A9C">
            <w:pPr>
              <w:pStyle w:val="Tabletext"/>
            </w:pPr>
            <w:r w:rsidRPr="00821C04">
              <w:t xml:space="preserve">Administration and management of </w:t>
            </w:r>
            <w:r w:rsidR="00765A9C" w:rsidRPr="00821C04">
              <w:t>biosecurity</w:t>
            </w:r>
            <w:r w:rsidRPr="00821C04">
              <w:t xml:space="preserve"> activities in relation to a cat or dog, or any other animal weighing 25 kilograms or less, in a </w:t>
            </w:r>
            <w:r w:rsidR="00512708" w:rsidRPr="00821C04">
              <w:t>post</w:t>
            </w:r>
            <w:r w:rsidR="00821C04">
              <w:noBreakHyphen/>
            </w:r>
            <w:r w:rsidR="00512708" w:rsidRPr="00821C04">
              <w:t>entry quarantine facility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animal—$1</w:t>
            </w:r>
            <w:r w:rsidR="00821C04" w:rsidRPr="00821C04">
              <w:t> </w:t>
            </w:r>
            <w:r w:rsidRPr="00821C04">
              <w:t>200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6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765A9C">
            <w:pPr>
              <w:pStyle w:val="Tabletext"/>
            </w:pPr>
            <w:r w:rsidRPr="00821C04">
              <w:t xml:space="preserve">Administration and management of </w:t>
            </w:r>
            <w:r w:rsidR="00765A9C" w:rsidRPr="00821C04">
              <w:t xml:space="preserve">biosecurity </w:t>
            </w:r>
            <w:r w:rsidRPr="00821C04">
              <w:t xml:space="preserve">activities in relation to a consignment of bees in a </w:t>
            </w:r>
            <w:r w:rsidR="00512708" w:rsidRPr="00821C04">
              <w:t>post</w:t>
            </w:r>
            <w:r w:rsidR="00821C04">
              <w:noBreakHyphen/>
            </w:r>
            <w:r w:rsidR="00512708" w:rsidRPr="00821C04">
              <w:t>entry quarantine facility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consignment—$2</w:t>
            </w:r>
            <w:r w:rsidR="00821C04" w:rsidRPr="00821C04">
              <w:t> </w:t>
            </w:r>
            <w:r w:rsidRPr="00821C04">
              <w:t>500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7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512708">
            <w:pPr>
              <w:pStyle w:val="Tabletext"/>
            </w:pPr>
            <w:r w:rsidRPr="00821C04">
              <w:t xml:space="preserve">Reservation of a place in a </w:t>
            </w:r>
            <w:r w:rsidR="00765A9C" w:rsidRPr="00821C04">
              <w:t>post</w:t>
            </w:r>
            <w:r w:rsidR="00821C04">
              <w:noBreakHyphen/>
            </w:r>
            <w:r w:rsidR="00765A9C" w:rsidRPr="00821C04">
              <w:t>entry quarantine facility</w:t>
            </w:r>
            <w:r w:rsidRPr="00821C04">
              <w:t xml:space="preserve"> for a consignment of live birds, and administration and management of </w:t>
            </w:r>
            <w:r w:rsidR="00512708" w:rsidRPr="00821C04">
              <w:t>biosecurity</w:t>
            </w:r>
            <w:r w:rsidRPr="00821C04">
              <w:t xml:space="preserve"> activities in relation to the consignment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consignment—$2</w:t>
            </w:r>
            <w:r w:rsidR="00821C04" w:rsidRPr="00821C04">
              <w:t> </w:t>
            </w:r>
            <w:r w:rsidRPr="00821C04">
              <w:t>810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8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512708">
            <w:pPr>
              <w:pStyle w:val="Tabletext"/>
            </w:pPr>
            <w:r w:rsidRPr="00821C04">
              <w:t>Confirmation of a reservation of a place in a</w:t>
            </w:r>
            <w:r w:rsidR="00765A9C" w:rsidRPr="00821C04">
              <w:t xml:space="preserve"> post</w:t>
            </w:r>
            <w:r w:rsidR="00821C04">
              <w:noBreakHyphen/>
            </w:r>
            <w:r w:rsidR="00765A9C" w:rsidRPr="00821C04">
              <w:t>entry quarantine facility</w:t>
            </w:r>
            <w:r w:rsidRPr="00821C04">
              <w:t xml:space="preserve"> for a consignment of live birds, and administration and management of </w:t>
            </w:r>
            <w:r w:rsidR="00512708" w:rsidRPr="00821C04">
              <w:t xml:space="preserve">biosecurity </w:t>
            </w:r>
            <w:r w:rsidRPr="00821C04">
              <w:t>activities in relation to the consignment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consignment—$11</w:t>
            </w:r>
            <w:r w:rsidR="00821C04" w:rsidRPr="00821C04">
              <w:t> </w:t>
            </w:r>
            <w:r w:rsidRPr="00821C04">
              <w:t>240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9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765A9C">
            <w:pPr>
              <w:pStyle w:val="Tabletext"/>
            </w:pPr>
            <w:r w:rsidRPr="00821C04">
              <w:t xml:space="preserve">Reservation of a place in a </w:t>
            </w:r>
            <w:r w:rsidR="00765A9C" w:rsidRPr="00821C04">
              <w:t>post</w:t>
            </w:r>
            <w:r w:rsidR="00821C04">
              <w:noBreakHyphen/>
            </w:r>
            <w:r w:rsidR="00765A9C" w:rsidRPr="00821C04">
              <w:t>entry quarantine facility</w:t>
            </w:r>
            <w:r w:rsidRPr="00821C04">
              <w:t xml:space="preserve"> for a consignment of birds</w:t>
            </w:r>
            <w:r w:rsidR="00F65429" w:rsidRPr="00821C04">
              <w:t>’</w:t>
            </w:r>
            <w:r w:rsidRPr="00821C04">
              <w:t xml:space="preserve"> eggs for hatching, and administration and management of </w:t>
            </w:r>
            <w:r w:rsidR="00765A9C" w:rsidRPr="00821C04">
              <w:t xml:space="preserve">biosecurity </w:t>
            </w:r>
            <w:r w:rsidRPr="00821C04">
              <w:t>activities in relation to the consignment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consignment—$7</w:t>
            </w:r>
            <w:r w:rsidR="00821C04" w:rsidRPr="00821C04">
              <w:t> </w:t>
            </w:r>
            <w:r w:rsidRPr="00821C04">
              <w:t>826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10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512708">
            <w:pPr>
              <w:pStyle w:val="Tabletext"/>
            </w:pPr>
            <w:r w:rsidRPr="00821C04">
              <w:t xml:space="preserve">Confirmation of a reservation of a place in a </w:t>
            </w:r>
            <w:r w:rsidR="00765A9C" w:rsidRPr="00821C04">
              <w:t>post</w:t>
            </w:r>
            <w:r w:rsidR="00821C04">
              <w:noBreakHyphen/>
            </w:r>
            <w:r w:rsidR="00765A9C" w:rsidRPr="00821C04">
              <w:t>entry quarantine facility</w:t>
            </w:r>
            <w:r w:rsidRPr="00821C04">
              <w:t xml:space="preserve"> for a consignment of birds</w:t>
            </w:r>
            <w:r w:rsidR="00F65429" w:rsidRPr="00821C04">
              <w:t>’</w:t>
            </w:r>
            <w:r w:rsidRPr="00821C04">
              <w:t xml:space="preserve"> eggs for hatching, and administration and management of </w:t>
            </w:r>
            <w:r w:rsidR="00512708" w:rsidRPr="00821C04">
              <w:t xml:space="preserve">biosecurity </w:t>
            </w:r>
            <w:r w:rsidRPr="00821C04">
              <w:t>activities in relation to the consignment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consignment—$31</w:t>
            </w:r>
            <w:r w:rsidR="00821C04" w:rsidRPr="00821C04">
              <w:t> </w:t>
            </w:r>
            <w:r w:rsidRPr="00821C04">
              <w:t>304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11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765A9C">
            <w:pPr>
              <w:pStyle w:val="Tabletext"/>
            </w:pPr>
            <w:r w:rsidRPr="00821C04">
              <w:t xml:space="preserve">Administration and management of </w:t>
            </w:r>
            <w:r w:rsidR="00765A9C" w:rsidRPr="00821C04">
              <w:t>biosecurity</w:t>
            </w:r>
            <w:r w:rsidRPr="00821C04">
              <w:t xml:space="preserve"> activities in relation to a plant, or plants, in a </w:t>
            </w:r>
            <w:r w:rsidR="00512708" w:rsidRPr="00821C04">
              <w:t>post</w:t>
            </w:r>
            <w:r w:rsidR="00821C04">
              <w:noBreakHyphen/>
            </w:r>
            <w:r w:rsidR="00512708" w:rsidRPr="00821C04">
              <w:t>entry quarantine facility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6A32E3">
            <w:pPr>
              <w:pStyle w:val="Tabletext"/>
            </w:pPr>
            <w:r w:rsidRPr="00821C04">
              <w:t xml:space="preserve">For each square metre, or part of a square metre, of space occupied </w:t>
            </w:r>
            <w:r w:rsidR="006A32E3" w:rsidRPr="00821C04">
              <w:t>by the plant or plants for each</w:t>
            </w:r>
            <w:r w:rsidR="004B467C" w:rsidRPr="00821C04">
              <w:t xml:space="preserve"> </w:t>
            </w:r>
            <w:r w:rsidRPr="00821C04">
              <w:t>month or part of a month—$110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12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4C2F9D">
            <w:pPr>
              <w:pStyle w:val="Tabletext"/>
            </w:pPr>
            <w:r w:rsidRPr="00821C04">
              <w:t xml:space="preserve">Application </w:t>
            </w:r>
            <w:r w:rsidR="004C2F9D" w:rsidRPr="00821C04">
              <w:t>for approval of a proposed</w:t>
            </w:r>
            <w:r w:rsidR="00512708" w:rsidRPr="00821C04">
              <w:t xml:space="preserve"> arrangement</w:t>
            </w:r>
            <w:r w:rsidR="004C2F9D" w:rsidRPr="00821C04">
              <w:t xml:space="preserve"> under section</w:t>
            </w:r>
            <w:r w:rsidR="00821C04" w:rsidRPr="00821C04">
              <w:t> </w:t>
            </w:r>
            <w:r w:rsidR="004C2F9D" w:rsidRPr="00821C04">
              <w:t xml:space="preserve">405 of the </w:t>
            </w:r>
            <w:r w:rsidR="004C2F9D" w:rsidRPr="00821C04">
              <w:rPr>
                <w:i/>
              </w:rPr>
              <w:t>Biosecurity Act 2015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$180</w:t>
            </w:r>
          </w:p>
        </w:tc>
      </w:tr>
      <w:tr w:rsidR="00835BBA" w:rsidRPr="00821C04" w:rsidTr="00D75B2F">
        <w:tc>
          <w:tcPr>
            <w:tcW w:w="446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13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6A32E3" w:rsidP="00DD0077">
            <w:pPr>
              <w:pStyle w:val="Tabletext"/>
            </w:pPr>
            <w:r w:rsidRPr="00821C04">
              <w:t xml:space="preserve">Development of a proposed arrangement that is approved </w:t>
            </w:r>
            <w:r w:rsidR="00DD0077" w:rsidRPr="00821C04">
              <w:t>under section</w:t>
            </w:r>
            <w:r w:rsidR="00821C04" w:rsidRPr="00821C04">
              <w:t> </w:t>
            </w:r>
            <w:r w:rsidR="00DD0077" w:rsidRPr="00821C04">
              <w:t xml:space="preserve">406 of the </w:t>
            </w:r>
            <w:r w:rsidR="00DD0077" w:rsidRPr="00821C04">
              <w:rPr>
                <w:i/>
              </w:rPr>
              <w:t xml:space="preserve">Biosecurity Act 2015 </w:t>
            </w:r>
            <w:r w:rsidRPr="00821C04">
              <w:t>and</w:t>
            </w:r>
            <w:r w:rsidR="00835BBA" w:rsidRPr="00821C04">
              <w:t xml:space="preserve"> management of </w:t>
            </w:r>
            <w:r w:rsidRPr="00821C04">
              <w:t xml:space="preserve">the </w:t>
            </w:r>
            <w:r w:rsidR="00512708" w:rsidRPr="00821C04">
              <w:t>approved arrangement</w:t>
            </w:r>
          </w:p>
        </w:tc>
        <w:tc>
          <w:tcPr>
            <w:tcW w:w="2277" w:type="pct"/>
            <w:shd w:val="clear" w:color="auto" w:fill="auto"/>
          </w:tcPr>
          <w:p w:rsidR="00835BBA" w:rsidRPr="00821C04" w:rsidRDefault="00835BBA" w:rsidP="00AE2FA9">
            <w:pPr>
              <w:pStyle w:val="Tabletext"/>
            </w:pPr>
            <w:r w:rsidRPr="00821C04">
              <w:t>For each financial year, or part of a financial year, during which the a</w:t>
            </w:r>
            <w:r w:rsidR="00F65429" w:rsidRPr="00821C04">
              <w:t>rrangement</w:t>
            </w:r>
            <w:r w:rsidRPr="00821C04">
              <w:t xml:space="preserve"> </w:t>
            </w:r>
            <w:r w:rsidR="00645733" w:rsidRPr="00821C04">
              <w:t xml:space="preserve">is </w:t>
            </w:r>
            <w:r w:rsidRPr="00821C04">
              <w:t>in force:</w:t>
            </w:r>
          </w:p>
          <w:p w:rsidR="00835BBA" w:rsidRPr="00821C04" w:rsidRDefault="00835BBA" w:rsidP="00AE2FA9">
            <w:pPr>
              <w:pStyle w:val="Tablea"/>
            </w:pPr>
            <w:r w:rsidRPr="00821C04">
              <w:t xml:space="preserve">(a) if the </w:t>
            </w:r>
            <w:r w:rsidR="00F65429" w:rsidRPr="00821C04">
              <w:t xml:space="preserve">arrangement </w:t>
            </w:r>
            <w:r w:rsidRPr="00821C04">
              <w:t>was in force on or before 1</w:t>
            </w:r>
            <w:r w:rsidR="00821C04" w:rsidRPr="00821C04">
              <w:t> </w:t>
            </w:r>
            <w:r w:rsidRPr="00821C04">
              <w:t>January in the financial year—$2</w:t>
            </w:r>
            <w:r w:rsidR="00821C04" w:rsidRPr="00821C04">
              <w:t> </w:t>
            </w:r>
            <w:r w:rsidRPr="00821C04">
              <w:t>900; or</w:t>
            </w:r>
          </w:p>
          <w:p w:rsidR="00835BBA" w:rsidRPr="00821C04" w:rsidRDefault="00835BBA" w:rsidP="00D75B2F">
            <w:pPr>
              <w:pStyle w:val="Tablea"/>
            </w:pPr>
            <w:r w:rsidRPr="00821C04">
              <w:t xml:space="preserve">(b) if the </w:t>
            </w:r>
            <w:r w:rsidR="00D75B2F" w:rsidRPr="00821C04">
              <w:t>arrangement</w:t>
            </w:r>
            <w:r w:rsidRPr="00821C04">
              <w:t xml:space="preserve"> is first approved after 1</w:t>
            </w:r>
            <w:r w:rsidR="00821C04" w:rsidRPr="00821C04">
              <w:t> </w:t>
            </w:r>
            <w:r w:rsidRPr="00821C04">
              <w:t>January in the financial year—$1</w:t>
            </w:r>
            <w:r w:rsidR="00821C04" w:rsidRPr="00821C04">
              <w:t> </w:t>
            </w:r>
            <w:r w:rsidRPr="00821C04">
              <w:t>450</w:t>
            </w:r>
          </w:p>
        </w:tc>
      </w:tr>
      <w:tr w:rsidR="00835BBA" w:rsidRPr="00821C04" w:rsidTr="00D75B2F">
        <w:tc>
          <w:tcPr>
            <w:tcW w:w="446" w:type="pct"/>
            <w:tcBorders>
              <w:bottom w:val="single" w:sz="12" w:space="0" w:color="auto"/>
            </w:tcBorders>
            <w:shd w:val="clear" w:color="auto" w:fill="auto"/>
          </w:tcPr>
          <w:p w:rsidR="00835BBA" w:rsidRPr="00821C04" w:rsidRDefault="00835BBA" w:rsidP="00512708">
            <w:pPr>
              <w:pStyle w:val="Tabletext"/>
            </w:pPr>
            <w:r w:rsidRPr="00821C04">
              <w:t>1</w:t>
            </w:r>
            <w:r w:rsidR="00512708" w:rsidRPr="00821C04">
              <w:t>4</w:t>
            </w:r>
          </w:p>
        </w:tc>
        <w:tc>
          <w:tcPr>
            <w:tcW w:w="2277" w:type="pct"/>
            <w:tcBorders>
              <w:bottom w:val="single" w:sz="12" w:space="0" w:color="auto"/>
            </w:tcBorders>
            <w:shd w:val="clear" w:color="auto" w:fill="auto"/>
          </w:tcPr>
          <w:p w:rsidR="00835BBA" w:rsidRPr="00821C04" w:rsidRDefault="00835BBA" w:rsidP="00521C92">
            <w:pPr>
              <w:pStyle w:val="Tabletext"/>
            </w:pPr>
            <w:r w:rsidRPr="00821C04">
              <w:t>In relation</w:t>
            </w:r>
            <w:r w:rsidR="00521C92" w:rsidRPr="00821C04">
              <w:t xml:space="preserve"> to</w:t>
            </w:r>
            <w:r w:rsidRPr="00821C04">
              <w:t xml:space="preserve"> th</w:t>
            </w:r>
            <w:r w:rsidR="004B467C" w:rsidRPr="00821C04">
              <w:t>e first mooring of a vessel</w:t>
            </w:r>
            <w:r w:rsidRPr="00821C04">
              <w:t xml:space="preserve"> </w:t>
            </w:r>
            <w:r w:rsidR="004B467C" w:rsidRPr="00821C04">
              <w:t>at a port</w:t>
            </w:r>
            <w:r w:rsidRPr="00821C04">
              <w:t xml:space="preserve"> in Australia</w:t>
            </w:r>
            <w:r w:rsidR="009A00DD" w:rsidRPr="00821C04">
              <w:t>n territory</w:t>
            </w:r>
            <w:r w:rsidR="004B467C" w:rsidRPr="00821C04">
              <w:t xml:space="preserve"> after the vessel </w:t>
            </w:r>
            <w:r w:rsidR="00521C92" w:rsidRPr="00821C04">
              <w:t>enters</w:t>
            </w:r>
            <w:r w:rsidR="004B467C" w:rsidRPr="00821C04">
              <w:t xml:space="preserve"> Australian territory</w:t>
            </w:r>
            <w:r w:rsidRPr="00821C04">
              <w:t xml:space="preserve">—risk profiling, surveillance, monitoring compliance and administration of other </w:t>
            </w:r>
            <w:r w:rsidR="00512708" w:rsidRPr="00821C04">
              <w:t>biosecurity</w:t>
            </w:r>
            <w:r w:rsidRPr="00821C04">
              <w:t xml:space="preserve"> matters</w:t>
            </w:r>
          </w:p>
        </w:tc>
        <w:tc>
          <w:tcPr>
            <w:tcW w:w="2277" w:type="pct"/>
            <w:tcBorders>
              <w:bottom w:val="single" w:sz="12" w:space="0" w:color="auto"/>
            </w:tcBorders>
            <w:shd w:val="clear" w:color="auto" w:fill="auto"/>
          </w:tcPr>
          <w:p w:rsidR="00835BBA" w:rsidRPr="00821C04" w:rsidRDefault="00F65429" w:rsidP="00AE2FA9">
            <w:pPr>
              <w:pStyle w:val="Tabletext"/>
            </w:pPr>
            <w:r w:rsidRPr="00821C04">
              <w:t xml:space="preserve">For each </w:t>
            </w:r>
            <w:r w:rsidR="00835BBA" w:rsidRPr="00821C04">
              <w:t>vessel:</w:t>
            </w:r>
          </w:p>
          <w:p w:rsidR="00835BBA" w:rsidRPr="00821C04" w:rsidRDefault="00835BBA" w:rsidP="00AE2FA9">
            <w:pPr>
              <w:pStyle w:val="Tablea"/>
            </w:pPr>
            <w:r w:rsidRPr="00821C04">
              <w:t>(a) that is 25 metres or more long—$720; or</w:t>
            </w:r>
          </w:p>
          <w:p w:rsidR="00835BBA" w:rsidRPr="00821C04" w:rsidRDefault="00835BBA" w:rsidP="00AE2FA9">
            <w:pPr>
              <w:pStyle w:val="Tablea"/>
            </w:pPr>
            <w:r w:rsidRPr="00821C04">
              <w:t>(b) that is less than 25 metres long—$100</w:t>
            </w:r>
          </w:p>
        </w:tc>
      </w:tr>
    </w:tbl>
    <w:p w:rsidR="00835BBA" w:rsidRPr="00821C04" w:rsidRDefault="00835BBA" w:rsidP="00835BBA">
      <w:pPr>
        <w:pStyle w:val="notetext"/>
      </w:pPr>
      <w:r w:rsidRPr="00821C04">
        <w:t>Note:</w:t>
      </w:r>
      <w:r w:rsidRPr="00821C04">
        <w:tab/>
        <w:t>A person may be exempt from liability to pay t</w:t>
      </w:r>
      <w:r w:rsidR="00512708" w:rsidRPr="00821C04">
        <w:t>he charge prescribed by item</w:t>
      </w:r>
      <w:r w:rsidR="00821C04" w:rsidRPr="00821C04">
        <w:t> </w:t>
      </w:r>
      <w:r w:rsidR="00512708" w:rsidRPr="00821C04">
        <w:t>12 or 13</w:t>
      </w:r>
      <w:r w:rsidRPr="00821C04">
        <w:t xml:space="preserve"> of the above table (see section</w:t>
      </w:r>
      <w:r w:rsidR="00821C04" w:rsidRPr="00821C04">
        <w:t> </w:t>
      </w:r>
      <w:r w:rsidR="006F36C8" w:rsidRPr="00821C04">
        <w:t>10</w:t>
      </w:r>
      <w:r w:rsidRPr="00821C04">
        <w:t>).</w:t>
      </w:r>
    </w:p>
    <w:p w:rsidR="00835BBA" w:rsidRPr="00821C04" w:rsidRDefault="006F36C8" w:rsidP="00835BBA">
      <w:pPr>
        <w:pStyle w:val="ActHead5"/>
      </w:pPr>
      <w:bookmarkStart w:id="16" w:name="_Toc447718421"/>
      <w:r w:rsidRPr="00821C04">
        <w:rPr>
          <w:rStyle w:val="CharSectno"/>
        </w:rPr>
        <w:t>10</w:t>
      </w:r>
      <w:r w:rsidR="00835BBA" w:rsidRPr="00821C04">
        <w:t xml:space="preserve">  Exemptions from charges</w:t>
      </w:r>
      <w:bookmarkEnd w:id="16"/>
    </w:p>
    <w:p w:rsidR="00835BBA" w:rsidRPr="00821C04" w:rsidRDefault="00835BBA" w:rsidP="00835BBA">
      <w:pPr>
        <w:pStyle w:val="SubsectionHead"/>
      </w:pPr>
      <w:r w:rsidRPr="00821C04">
        <w:t>General</w:t>
      </w:r>
    </w:p>
    <w:p w:rsidR="00835BBA" w:rsidRPr="00821C04" w:rsidRDefault="00835BBA" w:rsidP="00835BBA">
      <w:pPr>
        <w:pStyle w:val="subsection"/>
      </w:pPr>
      <w:r w:rsidRPr="00821C04">
        <w:tab/>
        <w:t>(1)</w:t>
      </w:r>
      <w:r w:rsidRPr="00821C04">
        <w:tab/>
        <w:t>For section</w:t>
      </w:r>
      <w:r w:rsidR="00821C04" w:rsidRPr="00821C04">
        <w:t> </w:t>
      </w:r>
      <w:r w:rsidR="007831BF" w:rsidRPr="00821C04">
        <w:t>10 of the Act, the</w:t>
      </w:r>
      <w:r w:rsidRPr="00821C04">
        <w:t xml:space="preserve"> charge prescribed in relation to a </w:t>
      </w:r>
      <w:r w:rsidR="00512708" w:rsidRPr="00821C04">
        <w:t>biosecurity</w:t>
      </w:r>
      <w:r w:rsidRPr="00821C04">
        <w:t xml:space="preserve"> matter by section</w:t>
      </w:r>
      <w:r w:rsidR="00821C04" w:rsidRPr="00821C04">
        <w:t> </w:t>
      </w:r>
      <w:r w:rsidR="006F36C8" w:rsidRPr="00821C04">
        <w:t>9</w:t>
      </w:r>
      <w:r w:rsidRPr="00821C04">
        <w:t xml:space="preserve"> </w:t>
      </w:r>
      <w:r w:rsidR="00645733" w:rsidRPr="00821C04">
        <w:t xml:space="preserve">of this instrument </w:t>
      </w:r>
      <w:r w:rsidRPr="00821C04">
        <w:t xml:space="preserve">is not payable if the </w:t>
      </w:r>
      <w:r w:rsidR="00512708" w:rsidRPr="00821C04">
        <w:t>biosecurity</w:t>
      </w:r>
      <w:r w:rsidRPr="00821C04">
        <w:t xml:space="preserve"> matter relates to:</w:t>
      </w:r>
    </w:p>
    <w:p w:rsidR="00835BBA" w:rsidRPr="00821C04" w:rsidRDefault="00835BBA" w:rsidP="00835BBA">
      <w:pPr>
        <w:pStyle w:val="paragraph"/>
      </w:pPr>
      <w:r w:rsidRPr="00821C04">
        <w:tab/>
        <w:t>(a)</w:t>
      </w:r>
      <w:r w:rsidRPr="00821C04">
        <w:tab/>
      </w:r>
      <w:r w:rsidR="00390714" w:rsidRPr="00821C04">
        <w:t>goods brought or imported into Australian territory</w:t>
      </w:r>
      <w:r w:rsidRPr="00821C04">
        <w:t>:</w:t>
      </w:r>
    </w:p>
    <w:p w:rsidR="00835BBA" w:rsidRPr="00821C04" w:rsidRDefault="00835BBA" w:rsidP="00835BBA">
      <w:pPr>
        <w:pStyle w:val="paragraphsub"/>
      </w:pPr>
      <w:r w:rsidRPr="00821C04">
        <w:tab/>
        <w:t>(</w:t>
      </w:r>
      <w:proofErr w:type="spellStart"/>
      <w:r w:rsidRPr="00821C04">
        <w:t>i</w:t>
      </w:r>
      <w:proofErr w:type="spellEnd"/>
      <w:r w:rsidRPr="00821C04">
        <w:t>)</w:t>
      </w:r>
      <w:r w:rsidRPr="00821C04">
        <w:tab/>
        <w:t>for the official use of a diplomatic mission in Australia</w:t>
      </w:r>
      <w:r w:rsidR="00390714" w:rsidRPr="00821C04">
        <w:t>n territory</w:t>
      </w:r>
      <w:r w:rsidRPr="00821C04">
        <w:t>; or</w:t>
      </w:r>
    </w:p>
    <w:p w:rsidR="00835BBA" w:rsidRPr="00821C04" w:rsidRDefault="00835BBA" w:rsidP="00835BBA">
      <w:pPr>
        <w:pStyle w:val="paragraphsub"/>
      </w:pPr>
      <w:r w:rsidRPr="00821C04">
        <w:tab/>
        <w:t>(ii)</w:t>
      </w:r>
      <w:r w:rsidRPr="00821C04">
        <w:tab/>
        <w:t>for the personal use of a diplomatic agent of the mission; or</w:t>
      </w:r>
    </w:p>
    <w:p w:rsidR="00835BBA" w:rsidRPr="00821C04" w:rsidRDefault="00835BBA" w:rsidP="00835BBA">
      <w:pPr>
        <w:pStyle w:val="paragraphsub"/>
      </w:pPr>
      <w:r w:rsidRPr="00821C04">
        <w:tab/>
        <w:t>(iii)</w:t>
      </w:r>
      <w:r w:rsidRPr="00821C04">
        <w:tab/>
        <w:t>for the personal use of a member of the diplomatic agent</w:t>
      </w:r>
      <w:r w:rsidR="00F65429" w:rsidRPr="00821C04">
        <w:t>’</w:t>
      </w:r>
      <w:r w:rsidRPr="00821C04">
        <w:t>s family, if the person forms part of the diplomatic agent</w:t>
      </w:r>
      <w:r w:rsidR="00F65429" w:rsidRPr="00821C04">
        <w:t>’</w:t>
      </w:r>
      <w:r w:rsidRPr="00821C04">
        <w:t>s household and is not an Australian citizen; or</w:t>
      </w:r>
    </w:p>
    <w:p w:rsidR="00835BBA" w:rsidRPr="00821C04" w:rsidRDefault="00835BBA" w:rsidP="00835BBA">
      <w:pPr>
        <w:pStyle w:val="paragraph"/>
      </w:pPr>
      <w:r w:rsidRPr="00821C04">
        <w:tab/>
        <w:t>(b)</w:t>
      </w:r>
      <w:r w:rsidRPr="00821C04">
        <w:tab/>
      </w:r>
      <w:r w:rsidR="00390714" w:rsidRPr="00821C04">
        <w:t>goods brought or imported into Australian territory</w:t>
      </w:r>
      <w:r w:rsidRPr="00821C04">
        <w:t xml:space="preserve"> for the personal use of a member of the administrative or technical staff (the </w:t>
      </w:r>
      <w:r w:rsidRPr="00821C04">
        <w:rPr>
          <w:b/>
          <w:i/>
        </w:rPr>
        <w:t>staff member</w:t>
      </w:r>
      <w:r w:rsidRPr="00821C04">
        <w:t>) of a diplomatic mission a</w:t>
      </w:r>
      <w:r w:rsidR="00A24B4C" w:rsidRPr="00821C04">
        <w:t>t the time of first placement</w:t>
      </w:r>
      <w:r w:rsidRPr="00821C04">
        <w:t>, if the staff member is neither an Australian citizen nor permanently resident in Australia; or</w:t>
      </w:r>
    </w:p>
    <w:p w:rsidR="00835BBA" w:rsidRPr="00821C04" w:rsidRDefault="00835BBA" w:rsidP="00835BBA">
      <w:pPr>
        <w:pStyle w:val="paragraph"/>
      </w:pPr>
      <w:r w:rsidRPr="00821C04">
        <w:tab/>
        <w:t>(c)</w:t>
      </w:r>
      <w:r w:rsidRPr="00821C04">
        <w:tab/>
      </w:r>
      <w:r w:rsidR="00390714" w:rsidRPr="00821C04">
        <w:t xml:space="preserve">goods brought or imported into Australian territory </w:t>
      </w:r>
      <w:r w:rsidRPr="00821C04">
        <w:t>for the personal use of a member of the staff member</w:t>
      </w:r>
      <w:r w:rsidR="00F65429" w:rsidRPr="00821C04">
        <w:t>’</w:t>
      </w:r>
      <w:r w:rsidRPr="00821C04">
        <w:t xml:space="preserve">s family at the time of first </w:t>
      </w:r>
      <w:r w:rsidR="00A24B4C" w:rsidRPr="00821C04">
        <w:t>placement</w:t>
      </w:r>
      <w:r w:rsidRPr="00821C04">
        <w:t>, if the person forms part of the staff member</w:t>
      </w:r>
      <w:r w:rsidR="00F65429" w:rsidRPr="00821C04">
        <w:t>’</w:t>
      </w:r>
      <w:r w:rsidRPr="00821C04">
        <w:t>s household and is neither an Australian citizen nor permanently resident in Australia; or</w:t>
      </w:r>
    </w:p>
    <w:p w:rsidR="00835BBA" w:rsidRPr="00821C04" w:rsidRDefault="00835BBA" w:rsidP="00835BBA">
      <w:pPr>
        <w:pStyle w:val="paragraph"/>
      </w:pPr>
      <w:r w:rsidRPr="00821C04">
        <w:tab/>
        <w:t>(d)</w:t>
      </w:r>
      <w:r w:rsidRPr="00821C04">
        <w:tab/>
      </w:r>
      <w:r w:rsidR="003E0581" w:rsidRPr="00821C04">
        <w:t>conveyances</w:t>
      </w:r>
      <w:r w:rsidRPr="00821C04">
        <w:t xml:space="preserve"> or equipment used by the defence force of a foreign country that is engaged in a combined military activity if the Australian Defence Force has informed </w:t>
      </w:r>
      <w:r w:rsidR="0002324C" w:rsidRPr="00821C04">
        <w:t>the</w:t>
      </w:r>
      <w:r w:rsidRPr="00821C04">
        <w:t xml:space="preserve"> Director of</w:t>
      </w:r>
      <w:r w:rsidR="00390714" w:rsidRPr="00821C04">
        <w:t xml:space="preserve"> Biosecurity</w:t>
      </w:r>
      <w:r w:rsidRPr="00821C04">
        <w:t>; or</w:t>
      </w:r>
    </w:p>
    <w:p w:rsidR="00835BBA" w:rsidRPr="00821C04" w:rsidRDefault="00835BBA" w:rsidP="00835BBA">
      <w:pPr>
        <w:pStyle w:val="paragraph"/>
      </w:pPr>
      <w:r w:rsidRPr="00821C04">
        <w:tab/>
        <w:t>(e)</w:t>
      </w:r>
      <w:r w:rsidRPr="00821C04">
        <w:tab/>
      </w:r>
      <w:r w:rsidR="00390714" w:rsidRPr="00821C04">
        <w:t>a disability assistance dog brought or imp</w:t>
      </w:r>
      <w:r w:rsidR="0002324C" w:rsidRPr="00821C04">
        <w:t>orted into Australian territory</w:t>
      </w:r>
      <w:r w:rsidRPr="00821C04">
        <w:t>; or</w:t>
      </w:r>
    </w:p>
    <w:p w:rsidR="00835BBA" w:rsidRPr="00821C04" w:rsidRDefault="00835BBA" w:rsidP="00835BBA">
      <w:pPr>
        <w:pStyle w:val="paragraph"/>
      </w:pPr>
      <w:r w:rsidRPr="00821C04">
        <w:tab/>
        <w:t>(f)</w:t>
      </w:r>
      <w:r w:rsidRPr="00821C04">
        <w:tab/>
        <w:t xml:space="preserve">the examination of </w:t>
      </w:r>
      <w:r w:rsidR="004B467C" w:rsidRPr="00821C04">
        <w:t xml:space="preserve">baggage </w:t>
      </w:r>
      <w:r w:rsidRPr="00821C04">
        <w:t>that is brought</w:t>
      </w:r>
      <w:r w:rsidR="00390714" w:rsidRPr="00821C04">
        <w:t xml:space="preserve"> or imported</w:t>
      </w:r>
      <w:r w:rsidRPr="00821C04">
        <w:t xml:space="preserve"> into Australia</w:t>
      </w:r>
      <w:r w:rsidR="00D75B2F" w:rsidRPr="00821C04">
        <w:t>n</w:t>
      </w:r>
      <w:r w:rsidR="00390714" w:rsidRPr="00821C04">
        <w:t xml:space="preserve"> territory</w:t>
      </w:r>
      <w:r w:rsidRPr="00821C04">
        <w:t xml:space="preserve"> on the same </w:t>
      </w:r>
      <w:r w:rsidR="00512708" w:rsidRPr="00821C04">
        <w:t xml:space="preserve">aircraft or </w:t>
      </w:r>
      <w:r w:rsidRPr="00821C04">
        <w:t>vessel as the owner</w:t>
      </w:r>
      <w:r w:rsidR="00D75B2F" w:rsidRPr="00821C04">
        <w:t xml:space="preserve"> of the baggage</w:t>
      </w:r>
      <w:r w:rsidRPr="00821C04">
        <w:t xml:space="preserve"> or </w:t>
      </w:r>
      <w:r w:rsidR="00F65429" w:rsidRPr="00821C04">
        <w:t xml:space="preserve">the person who brought or imported </w:t>
      </w:r>
      <w:r w:rsidRPr="00821C04">
        <w:t>the</w:t>
      </w:r>
      <w:r w:rsidR="004B467C" w:rsidRPr="00821C04">
        <w:t xml:space="preserve"> baggage</w:t>
      </w:r>
      <w:r w:rsidRPr="00821C04">
        <w:t>; or</w:t>
      </w:r>
    </w:p>
    <w:p w:rsidR="00835BBA" w:rsidRPr="00821C04" w:rsidRDefault="00835BBA" w:rsidP="00835BBA">
      <w:pPr>
        <w:pStyle w:val="paragraph"/>
      </w:pPr>
      <w:r w:rsidRPr="00821C04">
        <w:tab/>
        <w:t>(g)</w:t>
      </w:r>
      <w:r w:rsidRPr="00821C04">
        <w:tab/>
        <w:t xml:space="preserve">the screening or inspection of </w:t>
      </w:r>
      <w:r w:rsidR="00512708" w:rsidRPr="00821C04">
        <w:t>mail</w:t>
      </w:r>
      <w:r w:rsidRPr="00821C04">
        <w:t xml:space="preserve"> that arrive</w:t>
      </w:r>
      <w:r w:rsidR="00390714" w:rsidRPr="00821C04">
        <w:t>s</w:t>
      </w:r>
      <w:r w:rsidRPr="00821C04">
        <w:t xml:space="preserve"> in Australia</w:t>
      </w:r>
      <w:r w:rsidR="00390714" w:rsidRPr="00821C04">
        <w:t>n territory</w:t>
      </w:r>
      <w:r w:rsidR="001161B9" w:rsidRPr="00821C04">
        <w:t>.</w:t>
      </w:r>
    </w:p>
    <w:p w:rsidR="006E31CC" w:rsidRPr="00821C04" w:rsidRDefault="006E31CC" w:rsidP="006E31CC">
      <w:pPr>
        <w:pStyle w:val="SubsectionHead"/>
      </w:pPr>
      <w:r w:rsidRPr="00821C04">
        <w:t>Biosecurity matters carried out in, or in relation to goods, conveyances or other things brought or imported into</w:t>
      </w:r>
      <w:r w:rsidR="00645733" w:rsidRPr="00821C04">
        <w:t>,</w:t>
      </w:r>
      <w:r w:rsidRPr="00821C04">
        <w:t xml:space="preserve"> Norfolk Island, Christmas Island or Cocos (Keeling) Islands</w:t>
      </w:r>
    </w:p>
    <w:p w:rsidR="006E31CC" w:rsidRPr="00821C04" w:rsidRDefault="006E31CC" w:rsidP="006E31CC">
      <w:pPr>
        <w:pStyle w:val="subsection"/>
      </w:pPr>
      <w:r w:rsidRPr="00821C04">
        <w:tab/>
        <w:t>(2)</w:t>
      </w:r>
      <w:r w:rsidRPr="00821C04">
        <w:tab/>
        <w:t>For section</w:t>
      </w:r>
      <w:r w:rsidR="00821C04" w:rsidRPr="00821C04">
        <w:t> </w:t>
      </w:r>
      <w:r w:rsidRPr="00821C04">
        <w:t>10 of the Act, the charge prescribed in relation to a biosecurity matter by section</w:t>
      </w:r>
      <w:r w:rsidR="00821C04" w:rsidRPr="00821C04">
        <w:t> </w:t>
      </w:r>
      <w:r w:rsidRPr="00821C04">
        <w:t>9</w:t>
      </w:r>
      <w:r w:rsidR="00645733" w:rsidRPr="00821C04">
        <w:t xml:space="preserve"> of this instrument</w:t>
      </w:r>
      <w:r w:rsidRPr="00821C04">
        <w:t xml:space="preserve"> is not payable if the biosecurity matter relates to:</w:t>
      </w:r>
    </w:p>
    <w:p w:rsidR="00945BA4" w:rsidRPr="00821C04" w:rsidRDefault="00835BBA" w:rsidP="00835BBA">
      <w:pPr>
        <w:pStyle w:val="paragraph"/>
      </w:pPr>
      <w:r w:rsidRPr="00821C04">
        <w:tab/>
        <w:t>(</w:t>
      </w:r>
      <w:r w:rsidR="006E31CC" w:rsidRPr="00821C04">
        <w:t>a</w:t>
      </w:r>
      <w:r w:rsidRPr="00821C04">
        <w:t>)</w:t>
      </w:r>
      <w:r w:rsidRPr="00821C04">
        <w:tab/>
      </w:r>
      <w:r w:rsidR="00945BA4" w:rsidRPr="00821C04">
        <w:t>goods</w:t>
      </w:r>
      <w:r w:rsidR="008D0D78" w:rsidRPr="00821C04">
        <w:t xml:space="preserve"> </w:t>
      </w:r>
      <w:r w:rsidR="00945BA4" w:rsidRPr="00821C04">
        <w:t xml:space="preserve">that are, or are intended to be, brought or imported into </w:t>
      </w:r>
      <w:r w:rsidR="008C1A08" w:rsidRPr="00821C04">
        <w:t xml:space="preserve">Norfolk Island, </w:t>
      </w:r>
      <w:r w:rsidRPr="00821C04">
        <w:t>Christmas Island or Cocos (Keeling) Islands</w:t>
      </w:r>
      <w:r w:rsidR="00945BA4" w:rsidRPr="00821C04">
        <w:t>; or</w:t>
      </w:r>
    </w:p>
    <w:p w:rsidR="006E31CC" w:rsidRPr="00821C04" w:rsidRDefault="006E31CC" w:rsidP="00835BBA">
      <w:pPr>
        <w:pStyle w:val="paragraph"/>
      </w:pPr>
      <w:r w:rsidRPr="00821C04">
        <w:tab/>
        <w:t>(b)</w:t>
      </w:r>
      <w:r w:rsidRPr="00821C04">
        <w:tab/>
        <w:t>an application for approval</w:t>
      </w:r>
      <w:r w:rsidR="00167625" w:rsidRPr="00821C04">
        <w:t>, under section</w:t>
      </w:r>
      <w:r w:rsidR="00821C04" w:rsidRPr="00821C04">
        <w:t> </w:t>
      </w:r>
      <w:r w:rsidR="00167625" w:rsidRPr="00821C04">
        <w:t xml:space="preserve">405 of the </w:t>
      </w:r>
      <w:r w:rsidR="00167625" w:rsidRPr="00821C04">
        <w:rPr>
          <w:i/>
        </w:rPr>
        <w:t>Biosecurity Act 2015,</w:t>
      </w:r>
      <w:r w:rsidR="00167625" w:rsidRPr="00821C04">
        <w:t xml:space="preserve"> of a proposed arrangement</w:t>
      </w:r>
      <w:r w:rsidR="00167625" w:rsidRPr="00821C04">
        <w:rPr>
          <w:i/>
        </w:rPr>
        <w:t xml:space="preserve"> </w:t>
      </w:r>
      <w:r w:rsidR="00167625" w:rsidRPr="00821C04">
        <w:t xml:space="preserve">that provides for a person to carry out activities </w:t>
      </w:r>
      <w:r w:rsidR="008D7E74" w:rsidRPr="00821C04">
        <w:t xml:space="preserve">to manage biosecurity risks associated with specified goods, premises or other things </w:t>
      </w:r>
      <w:r w:rsidR="00167625" w:rsidRPr="00821C04">
        <w:t>in Norfolk Island, Christmas Island or Cocos (Keeling) Islands</w:t>
      </w:r>
      <w:r w:rsidRPr="00821C04">
        <w:t>; or</w:t>
      </w:r>
    </w:p>
    <w:p w:rsidR="006E31CC" w:rsidRPr="00821C04" w:rsidRDefault="006E31CC" w:rsidP="00835BBA">
      <w:pPr>
        <w:pStyle w:val="paragraph"/>
      </w:pPr>
      <w:r w:rsidRPr="00821C04">
        <w:tab/>
        <w:t>(c)</w:t>
      </w:r>
      <w:r w:rsidRPr="00821C04">
        <w:tab/>
        <w:t>the development of a proposed arrangement</w:t>
      </w:r>
      <w:r w:rsidR="00CB0593" w:rsidRPr="00821C04">
        <w:t>,</w:t>
      </w:r>
      <w:r w:rsidRPr="00821C04">
        <w:t xml:space="preserve"> that is approved under section</w:t>
      </w:r>
      <w:r w:rsidR="00821C04" w:rsidRPr="00821C04">
        <w:t> </w:t>
      </w:r>
      <w:r w:rsidRPr="00821C04">
        <w:t xml:space="preserve">406 of the </w:t>
      </w:r>
      <w:r w:rsidR="00167625" w:rsidRPr="00821C04">
        <w:rPr>
          <w:i/>
        </w:rPr>
        <w:t>Biosecurity Act 2015</w:t>
      </w:r>
      <w:r w:rsidR="00CB0593" w:rsidRPr="00821C04">
        <w:t>,</w:t>
      </w:r>
      <w:r w:rsidR="00167625" w:rsidRPr="00821C04">
        <w:rPr>
          <w:i/>
        </w:rPr>
        <w:t xml:space="preserve"> </w:t>
      </w:r>
      <w:r w:rsidR="00167625" w:rsidRPr="00821C04">
        <w:t xml:space="preserve">that provides for a person to carry out activities </w:t>
      </w:r>
      <w:r w:rsidR="008D7E74" w:rsidRPr="00821C04">
        <w:t xml:space="preserve">to manage biosecurity risks associated with specified goods, premises or other things </w:t>
      </w:r>
      <w:r w:rsidR="00167625" w:rsidRPr="00821C04">
        <w:t xml:space="preserve">in Norfolk Island, Christmas Island or Cocos (Keeling) Islands </w:t>
      </w:r>
      <w:r w:rsidRPr="00821C04">
        <w:t>and management of the approved arrangement; or</w:t>
      </w:r>
    </w:p>
    <w:p w:rsidR="008D0D78" w:rsidRPr="00821C04" w:rsidRDefault="006E31CC" w:rsidP="008D0D78">
      <w:pPr>
        <w:pStyle w:val="paragraph"/>
      </w:pPr>
      <w:r w:rsidRPr="00821C04">
        <w:tab/>
        <w:t>(d</w:t>
      </w:r>
      <w:r w:rsidR="008D0D78" w:rsidRPr="00821C04">
        <w:t>)</w:t>
      </w:r>
      <w:r w:rsidR="008D0D78" w:rsidRPr="00821C04">
        <w:tab/>
        <w:t xml:space="preserve">conveyances that </w:t>
      </w:r>
      <w:r w:rsidRPr="00821C04">
        <w:t xml:space="preserve">are in </w:t>
      </w:r>
      <w:r w:rsidR="008D0D78" w:rsidRPr="00821C04">
        <w:t>Norfolk Island, Christmas Island or Cocos (Keeling) Islands</w:t>
      </w:r>
      <w:r w:rsidR="00E232E4" w:rsidRPr="00821C04">
        <w:t>.</w:t>
      </w:r>
    </w:p>
    <w:p w:rsidR="00945BA4" w:rsidRPr="00821C04" w:rsidRDefault="00945BA4" w:rsidP="00945BA4">
      <w:pPr>
        <w:pStyle w:val="notetext"/>
      </w:pPr>
      <w:r w:rsidRPr="00821C04">
        <w:t>Note:</w:t>
      </w:r>
      <w:r w:rsidRPr="00821C04">
        <w:tab/>
        <w:t xml:space="preserve">This section applies in relation to </w:t>
      </w:r>
      <w:r w:rsidR="008D0D78" w:rsidRPr="00821C04">
        <w:t>biosecurity matter</w:t>
      </w:r>
      <w:r w:rsidR="009058F4" w:rsidRPr="00821C04">
        <w:t>s</w:t>
      </w:r>
      <w:r w:rsidRPr="00821C04">
        <w:t xml:space="preserve"> in </w:t>
      </w:r>
      <w:r w:rsidR="008D0D78" w:rsidRPr="00821C04">
        <w:t>relation to goods</w:t>
      </w:r>
      <w:r w:rsidRPr="00821C04">
        <w:t xml:space="preserve"> that are</w:t>
      </w:r>
      <w:r w:rsidR="008D0D78" w:rsidRPr="00821C04">
        <w:t>, or are intended to be,</w:t>
      </w:r>
      <w:r w:rsidRPr="00821C04">
        <w:t xml:space="preserve"> brought or imported into Norfolk Island on or after 1</w:t>
      </w:r>
      <w:r w:rsidR="00821C04" w:rsidRPr="00821C04">
        <w:t> </w:t>
      </w:r>
      <w:r w:rsidRPr="00821C04">
        <w:t>July 2016</w:t>
      </w:r>
      <w:r w:rsidR="008D0D78" w:rsidRPr="00821C04">
        <w:t xml:space="preserve"> or a conveyance that enters</w:t>
      </w:r>
      <w:r w:rsidRPr="00821C04">
        <w:t xml:space="preserve"> Norfolk Island on or after that date (see section</w:t>
      </w:r>
      <w:r w:rsidR="00821C04" w:rsidRPr="00821C04">
        <w:t> </w:t>
      </w:r>
      <w:r w:rsidRPr="00821C04">
        <w:t>4).</w:t>
      </w:r>
    </w:p>
    <w:p w:rsidR="007831BF" w:rsidRPr="00821C04" w:rsidRDefault="007831BF" w:rsidP="007831BF">
      <w:pPr>
        <w:pStyle w:val="SubsectionHead"/>
      </w:pPr>
      <w:r w:rsidRPr="00821C04">
        <w:t xml:space="preserve">Biosecurity matters relating to goods </w:t>
      </w:r>
      <w:r w:rsidR="002F5BCA" w:rsidRPr="00821C04">
        <w:t xml:space="preserve">or vessels </w:t>
      </w:r>
      <w:r w:rsidRPr="00821C04">
        <w:t>moving from the protected zone or the Torres Strait permanent biosecurity monitoring zone to certain other parts of Australian territory</w:t>
      </w:r>
    </w:p>
    <w:p w:rsidR="0000519E" w:rsidRPr="00821C04" w:rsidRDefault="006E31CC" w:rsidP="00D6372A">
      <w:pPr>
        <w:pStyle w:val="subsection"/>
      </w:pPr>
      <w:r w:rsidRPr="00821C04">
        <w:tab/>
        <w:t>(3</w:t>
      </w:r>
      <w:r w:rsidR="007831BF" w:rsidRPr="00821C04">
        <w:t>)</w:t>
      </w:r>
      <w:r w:rsidR="007831BF" w:rsidRPr="00821C04">
        <w:tab/>
        <w:t>For section</w:t>
      </w:r>
      <w:r w:rsidR="00821C04" w:rsidRPr="00821C04">
        <w:t> </w:t>
      </w:r>
      <w:r w:rsidR="007831BF" w:rsidRPr="00821C04">
        <w:t xml:space="preserve">10 of the Act, the charge prescribed </w:t>
      </w:r>
      <w:r w:rsidR="00D6372A" w:rsidRPr="00821C04">
        <w:t>by item</w:t>
      </w:r>
      <w:r w:rsidR="00821C04" w:rsidRPr="00821C04">
        <w:t> </w:t>
      </w:r>
      <w:r w:rsidR="00645733" w:rsidRPr="00821C04">
        <w:t>3 of</w:t>
      </w:r>
      <w:r w:rsidR="00D6372A" w:rsidRPr="00821C04">
        <w:t xml:space="preserve"> the table in section</w:t>
      </w:r>
      <w:r w:rsidR="00821C04" w:rsidRPr="00821C04">
        <w:t> </w:t>
      </w:r>
      <w:r w:rsidR="00D6372A" w:rsidRPr="00821C04">
        <w:t>9</w:t>
      </w:r>
      <w:r w:rsidR="00645733" w:rsidRPr="00821C04">
        <w:t xml:space="preserve"> of this instrument</w:t>
      </w:r>
      <w:r w:rsidR="00D6372A" w:rsidRPr="00821C04">
        <w:t xml:space="preserve"> is not payable </w:t>
      </w:r>
      <w:r w:rsidR="0000519E" w:rsidRPr="00821C04">
        <w:t>in relation to an application for a permit under section</w:t>
      </w:r>
      <w:r w:rsidR="00821C04" w:rsidRPr="00821C04">
        <w:t> </w:t>
      </w:r>
      <w:r w:rsidR="0000519E" w:rsidRPr="00821C04">
        <w:t xml:space="preserve">177 of the </w:t>
      </w:r>
      <w:r w:rsidR="0000519E" w:rsidRPr="00821C04">
        <w:rPr>
          <w:i/>
        </w:rPr>
        <w:t>Biosecurity Act 2015</w:t>
      </w:r>
      <w:r w:rsidR="002F5BCA" w:rsidRPr="00821C04">
        <w:t xml:space="preserve"> </w:t>
      </w:r>
      <w:r w:rsidR="00732B8A" w:rsidRPr="00821C04">
        <w:t>authorising</w:t>
      </w:r>
      <w:r w:rsidR="002F5BCA" w:rsidRPr="00821C04">
        <w:t xml:space="preserve"> goods to be brought or imported:</w:t>
      </w:r>
    </w:p>
    <w:p w:rsidR="007831BF" w:rsidRPr="00821C04" w:rsidRDefault="0000519E" w:rsidP="0000519E">
      <w:pPr>
        <w:pStyle w:val="paragraph"/>
      </w:pPr>
      <w:r w:rsidRPr="00821C04">
        <w:tab/>
        <w:t>(a)</w:t>
      </w:r>
      <w:r w:rsidRPr="00821C04">
        <w:tab/>
      </w:r>
      <w:r w:rsidR="00660920" w:rsidRPr="00821C04">
        <w:t xml:space="preserve">from </w:t>
      </w:r>
      <w:r w:rsidR="007831BF" w:rsidRPr="00821C04">
        <w:t>a part of Australian</w:t>
      </w:r>
      <w:r w:rsidR="00660920" w:rsidRPr="00821C04">
        <w:t xml:space="preserve"> territory specified in column 1</w:t>
      </w:r>
      <w:r w:rsidR="007831BF" w:rsidRPr="00821C04">
        <w:t xml:space="preserve"> of item</w:t>
      </w:r>
      <w:r w:rsidR="00821C04" w:rsidRPr="00821C04">
        <w:t> </w:t>
      </w:r>
      <w:r w:rsidR="007831BF" w:rsidRPr="00821C04">
        <w:t>9 of the table in section</w:t>
      </w:r>
      <w:r w:rsidR="00821C04" w:rsidRPr="00821C04">
        <w:t> </w:t>
      </w:r>
      <w:r w:rsidR="007831BF" w:rsidRPr="00821C04">
        <w:t xml:space="preserve">5 of the </w:t>
      </w:r>
      <w:r w:rsidR="007831BF" w:rsidRPr="00821C04">
        <w:rPr>
          <w:i/>
        </w:rPr>
        <w:t>Biosecurity (Movements between Parts of Australian Territory) Declaration</w:t>
      </w:r>
      <w:r w:rsidR="00821C04" w:rsidRPr="00821C04">
        <w:rPr>
          <w:i/>
        </w:rPr>
        <w:t> </w:t>
      </w:r>
      <w:r w:rsidR="007831BF" w:rsidRPr="00821C04">
        <w:rPr>
          <w:i/>
        </w:rPr>
        <w:t>2016</w:t>
      </w:r>
      <w:r w:rsidR="007831BF" w:rsidRPr="00821C04">
        <w:t xml:space="preserve"> </w:t>
      </w:r>
      <w:r w:rsidR="00660920" w:rsidRPr="00821C04">
        <w:t xml:space="preserve">into </w:t>
      </w:r>
      <w:r w:rsidR="007831BF" w:rsidRPr="00821C04">
        <w:t>a part of Australian territory spe</w:t>
      </w:r>
      <w:r w:rsidR="00D6372A" w:rsidRPr="00821C04">
        <w:t>ci</w:t>
      </w:r>
      <w:r w:rsidR="00660920" w:rsidRPr="00821C04">
        <w:t>fied in column 2</w:t>
      </w:r>
      <w:r w:rsidR="00D6372A" w:rsidRPr="00821C04">
        <w:t xml:space="preserve"> of that item</w:t>
      </w:r>
      <w:r w:rsidRPr="00821C04">
        <w:t>; or</w:t>
      </w:r>
    </w:p>
    <w:p w:rsidR="0000519E" w:rsidRPr="00821C04" w:rsidRDefault="0000519E" w:rsidP="0000519E">
      <w:pPr>
        <w:pStyle w:val="paragraph"/>
      </w:pPr>
      <w:r w:rsidRPr="00821C04">
        <w:tab/>
        <w:t>(b)</w:t>
      </w:r>
      <w:r w:rsidRPr="00821C04">
        <w:tab/>
      </w:r>
      <w:r w:rsidR="00660920" w:rsidRPr="00821C04">
        <w:t xml:space="preserve">from </w:t>
      </w:r>
      <w:r w:rsidRPr="00821C04">
        <w:t>a part of Australian</w:t>
      </w:r>
      <w:r w:rsidR="00660920" w:rsidRPr="00821C04">
        <w:t xml:space="preserve"> territory specified in column 1</w:t>
      </w:r>
      <w:r w:rsidRPr="00821C04">
        <w:t xml:space="preserve"> of item</w:t>
      </w:r>
      <w:r w:rsidR="00821C04" w:rsidRPr="00821C04">
        <w:t> </w:t>
      </w:r>
      <w:r w:rsidRPr="00821C04">
        <w:t>10 of the table in section</w:t>
      </w:r>
      <w:r w:rsidR="00821C04" w:rsidRPr="00821C04">
        <w:t> </w:t>
      </w:r>
      <w:r w:rsidRPr="00821C04">
        <w:t xml:space="preserve">5 of the </w:t>
      </w:r>
      <w:r w:rsidRPr="00821C04">
        <w:rPr>
          <w:i/>
        </w:rPr>
        <w:t>Biosecurity (Movements between Parts of Australian Territory) Declaration</w:t>
      </w:r>
      <w:r w:rsidR="00821C04" w:rsidRPr="00821C04">
        <w:rPr>
          <w:i/>
        </w:rPr>
        <w:t> </w:t>
      </w:r>
      <w:r w:rsidRPr="00821C04">
        <w:rPr>
          <w:i/>
        </w:rPr>
        <w:t>2016</w:t>
      </w:r>
      <w:r w:rsidRPr="00821C04">
        <w:t xml:space="preserve"> </w:t>
      </w:r>
      <w:r w:rsidR="00660920" w:rsidRPr="00821C04">
        <w:t xml:space="preserve">into </w:t>
      </w:r>
      <w:r w:rsidRPr="00821C04">
        <w:t xml:space="preserve">a part of Australian territory </w:t>
      </w:r>
      <w:r w:rsidR="00660920" w:rsidRPr="00821C04">
        <w:t>specified in column 2</w:t>
      </w:r>
      <w:r w:rsidRPr="00821C04">
        <w:t xml:space="preserve"> of that item; or</w:t>
      </w:r>
    </w:p>
    <w:p w:rsidR="0000519E" w:rsidRPr="00821C04" w:rsidRDefault="0000519E" w:rsidP="0000519E">
      <w:pPr>
        <w:pStyle w:val="paragraph"/>
      </w:pPr>
      <w:r w:rsidRPr="00821C04">
        <w:tab/>
        <w:t>(c)</w:t>
      </w:r>
      <w:r w:rsidRPr="00821C04">
        <w:tab/>
      </w:r>
      <w:r w:rsidR="00660920" w:rsidRPr="00821C04">
        <w:t xml:space="preserve">from </w:t>
      </w:r>
      <w:r w:rsidRPr="00821C04">
        <w:t>a part of Australian</w:t>
      </w:r>
      <w:r w:rsidR="00660920" w:rsidRPr="00821C04">
        <w:t xml:space="preserve"> territory specified in column 1</w:t>
      </w:r>
      <w:r w:rsidRPr="00821C04">
        <w:t xml:space="preserve"> of item</w:t>
      </w:r>
      <w:r w:rsidR="00821C04" w:rsidRPr="00821C04">
        <w:t> </w:t>
      </w:r>
      <w:r w:rsidRPr="00821C04">
        <w:t>11 of the table in section</w:t>
      </w:r>
      <w:r w:rsidR="00821C04" w:rsidRPr="00821C04">
        <w:t> </w:t>
      </w:r>
      <w:r w:rsidRPr="00821C04">
        <w:t xml:space="preserve">5 of the </w:t>
      </w:r>
      <w:r w:rsidRPr="00821C04">
        <w:rPr>
          <w:i/>
        </w:rPr>
        <w:t>Biosecurity (Movements between Parts of Australian Territory) Declaration</w:t>
      </w:r>
      <w:r w:rsidR="00821C04" w:rsidRPr="00821C04">
        <w:rPr>
          <w:i/>
        </w:rPr>
        <w:t> </w:t>
      </w:r>
      <w:r w:rsidRPr="00821C04">
        <w:rPr>
          <w:i/>
        </w:rPr>
        <w:t>2016</w:t>
      </w:r>
      <w:r w:rsidRPr="00821C04">
        <w:t xml:space="preserve"> </w:t>
      </w:r>
      <w:r w:rsidR="00660920" w:rsidRPr="00821C04">
        <w:t xml:space="preserve">into </w:t>
      </w:r>
      <w:r w:rsidRPr="00821C04">
        <w:t>a part of Australian</w:t>
      </w:r>
      <w:r w:rsidR="00660920" w:rsidRPr="00821C04">
        <w:t xml:space="preserve"> territory specified in column 2</w:t>
      </w:r>
      <w:r w:rsidRPr="00821C04">
        <w:t xml:space="preserve"> of that item.</w:t>
      </w:r>
    </w:p>
    <w:p w:rsidR="0000519E" w:rsidRPr="00821C04" w:rsidRDefault="006E31CC" w:rsidP="0000519E">
      <w:pPr>
        <w:pStyle w:val="subsection"/>
      </w:pPr>
      <w:r w:rsidRPr="00821C04">
        <w:tab/>
        <w:t>(4</w:t>
      </w:r>
      <w:r w:rsidR="0000519E" w:rsidRPr="00821C04">
        <w:t>)</w:t>
      </w:r>
      <w:r w:rsidR="0000519E" w:rsidRPr="00821C04">
        <w:tab/>
        <w:t>For section</w:t>
      </w:r>
      <w:r w:rsidR="00821C04" w:rsidRPr="00821C04">
        <w:t> </w:t>
      </w:r>
      <w:r w:rsidR="0000519E" w:rsidRPr="00821C04">
        <w:t>10 of the Act, the charge prescribed by item</w:t>
      </w:r>
      <w:r w:rsidR="00821C04" w:rsidRPr="00821C04">
        <w:t> </w:t>
      </w:r>
      <w:r w:rsidR="00645733" w:rsidRPr="00821C04">
        <w:t>14 of</w:t>
      </w:r>
      <w:r w:rsidR="0000519E" w:rsidRPr="00821C04">
        <w:t xml:space="preserve"> the table in section</w:t>
      </w:r>
      <w:r w:rsidR="00821C04" w:rsidRPr="00821C04">
        <w:t> </w:t>
      </w:r>
      <w:r w:rsidR="0000519E" w:rsidRPr="00821C04">
        <w:t>9</w:t>
      </w:r>
      <w:r w:rsidR="00645733" w:rsidRPr="00821C04">
        <w:t xml:space="preserve"> of this instrument</w:t>
      </w:r>
      <w:r w:rsidR="0000519E" w:rsidRPr="00821C04">
        <w:t xml:space="preserve"> </w:t>
      </w:r>
      <w:r w:rsidR="002F5BCA" w:rsidRPr="00821C04">
        <w:t>is not payable in relation to</w:t>
      </w:r>
      <w:r w:rsidR="0000519E" w:rsidRPr="00821C04">
        <w:t>:</w:t>
      </w:r>
    </w:p>
    <w:p w:rsidR="007831BF" w:rsidRPr="00821C04" w:rsidRDefault="007831BF" w:rsidP="007831BF">
      <w:pPr>
        <w:pStyle w:val="paragraph"/>
      </w:pPr>
      <w:r w:rsidRPr="00821C04">
        <w:tab/>
        <w:t>(</w:t>
      </w:r>
      <w:r w:rsidR="0000519E" w:rsidRPr="00821C04">
        <w:t>a</w:t>
      </w:r>
      <w:r w:rsidRPr="00821C04">
        <w:t>)</w:t>
      </w:r>
      <w:r w:rsidRPr="00821C04">
        <w:tab/>
      </w:r>
      <w:r w:rsidR="00D518D2" w:rsidRPr="00821C04">
        <w:t xml:space="preserve">the mooring of </w:t>
      </w:r>
      <w:r w:rsidR="002F5BCA" w:rsidRPr="00821C04">
        <w:t xml:space="preserve">a vessel </w:t>
      </w:r>
      <w:r w:rsidR="00130E40" w:rsidRPr="00821C04">
        <w:t xml:space="preserve">at a port in </w:t>
      </w:r>
      <w:r w:rsidRPr="00821C04">
        <w:t xml:space="preserve">a part </w:t>
      </w:r>
      <w:r w:rsidR="00D518D2" w:rsidRPr="00821C04">
        <w:t xml:space="preserve">(the </w:t>
      </w:r>
      <w:r w:rsidR="00D518D2" w:rsidRPr="00821C04">
        <w:rPr>
          <w:b/>
          <w:i/>
        </w:rPr>
        <w:t>destination part</w:t>
      </w:r>
      <w:r w:rsidR="00D518D2" w:rsidRPr="00821C04">
        <w:t xml:space="preserve">) </w:t>
      </w:r>
      <w:r w:rsidRPr="00821C04">
        <w:t>of Australian</w:t>
      </w:r>
      <w:r w:rsidR="002F5BCA" w:rsidRPr="00821C04">
        <w:t xml:space="preserve"> territory specified in column </w:t>
      </w:r>
      <w:r w:rsidR="00130E40" w:rsidRPr="00821C04">
        <w:t>2</w:t>
      </w:r>
      <w:r w:rsidRPr="00821C04">
        <w:t xml:space="preserve"> of item</w:t>
      </w:r>
      <w:r w:rsidR="00821C04" w:rsidRPr="00821C04">
        <w:t> </w:t>
      </w:r>
      <w:r w:rsidRPr="00821C04">
        <w:t>10 of the table in section</w:t>
      </w:r>
      <w:r w:rsidR="00821C04" w:rsidRPr="00821C04">
        <w:t> </w:t>
      </w:r>
      <w:r w:rsidRPr="00821C04">
        <w:t xml:space="preserve">5 of the </w:t>
      </w:r>
      <w:r w:rsidRPr="00821C04">
        <w:rPr>
          <w:i/>
        </w:rPr>
        <w:t>Biosecurity (Movements between Parts of Australian Territory) Declaration</w:t>
      </w:r>
      <w:r w:rsidR="00821C04" w:rsidRPr="00821C04">
        <w:rPr>
          <w:i/>
        </w:rPr>
        <w:t> </w:t>
      </w:r>
      <w:r w:rsidRPr="00821C04">
        <w:rPr>
          <w:i/>
        </w:rPr>
        <w:t>2016</w:t>
      </w:r>
      <w:r w:rsidRPr="00821C04">
        <w:t xml:space="preserve"> </w:t>
      </w:r>
      <w:r w:rsidR="00130E40" w:rsidRPr="00821C04">
        <w:t xml:space="preserve">after </w:t>
      </w:r>
      <w:r w:rsidR="00D518D2" w:rsidRPr="00821C04">
        <w:t xml:space="preserve">the vessel entered the destination part in the course of a voyage </w:t>
      </w:r>
      <w:r w:rsidR="00130E40" w:rsidRPr="00821C04">
        <w:t xml:space="preserve">from </w:t>
      </w:r>
      <w:r w:rsidRPr="00821C04">
        <w:t>a part of Australian</w:t>
      </w:r>
      <w:r w:rsidR="00130E40" w:rsidRPr="00821C04">
        <w:t xml:space="preserve"> territory specified in column 1</w:t>
      </w:r>
      <w:r w:rsidRPr="00821C04">
        <w:t xml:space="preserve"> of that item; or</w:t>
      </w:r>
    </w:p>
    <w:p w:rsidR="00D518D2" w:rsidRPr="00821C04" w:rsidRDefault="00D518D2" w:rsidP="00D518D2">
      <w:pPr>
        <w:pStyle w:val="paragraph"/>
      </w:pPr>
      <w:r w:rsidRPr="00821C04">
        <w:tab/>
        <w:t>(b)</w:t>
      </w:r>
      <w:r w:rsidRPr="00821C04">
        <w:tab/>
        <w:t xml:space="preserve">the mooring of a vessel at a port in a part (the </w:t>
      </w:r>
      <w:r w:rsidRPr="00821C04">
        <w:rPr>
          <w:b/>
          <w:i/>
        </w:rPr>
        <w:t>destination part</w:t>
      </w:r>
      <w:r w:rsidRPr="00821C04">
        <w:t>) of Australian territory specified in column 2 of item</w:t>
      </w:r>
      <w:r w:rsidR="00821C04" w:rsidRPr="00821C04">
        <w:t> </w:t>
      </w:r>
      <w:r w:rsidRPr="00821C04">
        <w:t>11 of the table in section</w:t>
      </w:r>
      <w:r w:rsidR="00821C04" w:rsidRPr="00821C04">
        <w:t> </w:t>
      </w:r>
      <w:r w:rsidRPr="00821C04">
        <w:t xml:space="preserve">5 of the </w:t>
      </w:r>
      <w:r w:rsidRPr="00821C04">
        <w:rPr>
          <w:i/>
        </w:rPr>
        <w:t>Biosecurity (Movements between Parts of Australian Territory) Declaration</w:t>
      </w:r>
      <w:r w:rsidR="00821C04" w:rsidRPr="00821C04">
        <w:rPr>
          <w:i/>
        </w:rPr>
        <w:t> </w:t>
      </w:r>
      <w:r w:rsidRPr="00821C04">
        <w:rPr>
          <w:i/>
        </w:rPr>
        <w:t>2016</w:t>
      </w:r>
      <w:r w:rsidRPr="00821C04">
        <w:t xml:space="preserve"> after the vessel entered the destination part in the course of a voyage from a part of Australian territory specified in column 1 of that item.</w:t>
      </w:r>
    </w:p>
    <w:p w:rsidR="002F5BCA" w:rsidRPr="00821C04" w:rsidRDefault="002F5BCA" w:rsidP="002F5BCA">
      <w:pPr>
        <w:pStyle w:val="SubsectionHead"/>
      </w:pPr>
      <w:r w:rsidRPr="00821C04">
        <w:t>Mooring of protected zone vessels</w:t>
      </w:r>
    </w:p>
    <w:p w:rsidR="002F5BCA" w:rsidRPr="00821C04" w:rsidRDefault="002F5BCA" w:rsidP="002F5BCA">
      <w:pPr>
        <w:pStyle w:val="subsection"/>
      </w:pPr>
      <w:r w:rsidRPr="00821C04">
        <w:tab/>
        <w:t>(</w:t>
      </w:r>
      <w:r w:rsidR="006E31CC" w:rsidRPr="00821C04">
        <w:t>5</w:t>
      </w:r>
      <w:r w:rsidRPr="00821C04">
        <w:t>)</w:t>
      </w:r>
      <w:r w:rsidRPr="00821C04">
        <w:tab/>
        <w:t>For section</w:t>
      </w:r>
      <w:r w:rsidR="00821C04" w:rsidRPr="00821C04">
        <w:t> </w:t>
      </w:r>
      <w:r w:rsidRPr="00821C04">
        <w:t>10 of the Act, the charge prescribed by item</w:t>
      </w:r>
      <w:r w:rsidR="00821C04" w:rsidRPr="00821C04">
        <w:t> </w:t>
      </w:r>
      <w:r w:rsidR="00645733" w:rsidRPr="00821C04">
        <w:t>14 of</w:t>
      </w:r>
      <w:r w:rsidRPr="00821C04">
        <w:t xml:space="preserve"> the table in section</w:t>
      </w:r>
      <w:r w:rsidR="00821C04" w:rsidRPr="00821C04">
        <w:t> </w:t>
      </w:r>
      <w:r w:rsidRPr="00821C04">
        <w:t xml:space="preserve">9 </w:t>
      </w:r>
      <w:r w:rsidR="00645733" w:rsidRPr="00821C04">
        <w:t xml:space="preserve">of this instrument </w:t>
      </w:r>
      <w:r w:rsidRPr="00821C04">
        <w:t>is not payable in relation to a protected zone vessel.</w:t>
      </w:r>
    </w:p>
    <w:p w:rsidR="00835BBA" w:rsidRPr="00821C04" w:rsidRDefault="00835BBA" w:rsidP="00835BBA">
      <w:pPr>
        <w:pStyle w:val="SubsectionHead"/>
      </w:pPr>
      <w:r w:rsidRPr="00821C04">
        <w:t xml:space="preserve">Application </w:t>
      </w:r>
      <w:r w:rsidR="0002324C" w:rsidRPr="00821C04">
        <w:t xml:space="preserve">for </w:t>
      </w:r>
      <w:r w:rsidR="005972AC" w:rsidRPr="00821C04">
        <w:t xml:space="preserve">approval of </w:t>
      </w:r>
      <w:r w:rsidR="0002324C" w:rsidRPr="00821C04">
        <w:t>proposed</w:t>
      </w:r>
      <w:r w:rsidR="00512708" w:rsidRPr="00821C04">
        <w:t xml:space="preserve"> arrangement</w:t>
      </w:r>
      <w:r w:rsidR="0002324C" w:rsidRPr="00821C04">
        <w:t xml:space="preserve"> to carry out biosecurity activities</w:t>
      </w:r>
    </w:p>
    <w:p w:rsidR="00F65429" w:rsidRPr="00821C04" w:rsidRDefault="006E31CC" w:rsidP="00512708">
      <w:pPr>
        <w:pStyle w:val="subsection"/>
      </w:pPr>
      <w:r w:rsidRPr="00821C04">
        <w:tab/>
        <w:t>(6</w:t>
      </w:r>
      <w:r w:rsidR="00835BBA" w:rsidRPr="00821C04">
        <w:t>)</w:t>
      </w:r>
      <w:r w:rsidR="00835BBA" w:rsidRPr="00821C04">
        <w:tab/>
        <w:t>For section</w:t>
      </w:r>
      <w:r w:rsidR="00821C04" w:rsidRPr="00821C04">
        <w:t> </w:t>
      </w:r>
      <w:r w:rsidR="00835BBA" w:rsidRPr="00821C04">
        <w:t>10 of the Act, a person is not liable to pay the charge prescribed by item</w:t>
      </w:r>
      <w:r w:rsidR="00821C04" w:rsidRPr="00821C04">
        <w:t> </w:t>
      </w:r>
      <w:r w:rsidR="00835BBA" w:rsidRPr="00821C04">
        <w:t>12 of the table in section</w:t>
      </w:r>
      <w:r w:rsidR="00821C04" w:rsidRPr="00821C04">
        <w:t> </w:t>
      </w:r>
      <w:r w:rsidR="006F36C8" w:rsidRPr="00821C04">
        <w:t>9</w:t>
      </w:r>
      <w:r w:rsidR="00835BBA" w:rsidRPr="00821C04">
        <w:t xml:space="preserve"> of this instrument in relation to an application referred</w:t>
      </w:r>
      <w:r w:rsidR="00512708" w:rsidRPr="00821C04">
        <w:t xml:space="preserve"> to in that item if the person </w:t>
      </w:r>
      <w:r w:rsidR="00835BBA" w:rsidRPr="00821C04">
        <w:t>is</w:t>
      </w:r>
      <w:r w:rsidR="00F65429" w:rsidRPr="00821C04">
        <w:t>:</w:t>
      </w:r>
    </w:p>
    <w:p w:rsidR="00F65429" w:rsidRPr="00821C04" w:rsidRDefault="00F65429" w:rsidP="00F65429">
      <w:pPr>
        <w:pStyle w:val="paragraph"/>
      </w:pPr>
      <w:r w:rsidRPr="00821C04">
        <w:tab/>
        <w:t>(a)</w:t>
      </w:r>
      <w:r w:rsidRPr="00821C04">
        <w:tab/>
        <w:t>covered by an approved arrangement; or</w:t>
      </w:r>
    </w:p>
    <w:p w:rsidR="00835BBA" w:rsidRPr="00821C04" w:rsidRDefault="00F65429" w:rsidP="00F65429">
      <w:pPr>
        <w:pStyle w:val="paragraph"/>
      </w:pPr>
      <w:r w:rsidRPr="00821C04">
        <w:tab/>
        <w:t>(b)</w:t>
      </w:r>
      <w:r w:rsidRPr="00821C04">
        <w:tab/>
      </w:r>
      <w:r w:rsidR="00835BBA" w:rsidRPr="00821C04">
        <w:t>a party to a compliance agreement in force under section</w:t>
      </w:r>
      <w:r w:rsidR="00821C04" w:rsidRPr="00821C04">
        <w:t> </w:t>
      </w:r>
      <w:r w:rsidR="00835BBA" w:rsidRPr="00821C04">
        <w:t xml:space="preserve">35A of the </w:t>
      </w:r>
      <w:r w:rsidR="00835BBA" w:rsidRPr="00821C04">
        <w:rPr>
          <w:i/>
        </w:rPr>
        <w:t>Imported Food Control Act 1992</w:t>
      </w:r>
      <w:r w:rsidR="00835BBA" w:rsidRPr="00821C04">
        <w:t>.</w:t>
      </w:r>
    </w:p>
    <w:p w:rsidR="00835BBA" w:rsidRPr="00821C04" w:rsidRDefault="00835BBA" w:rsidP="00835BBA">
      <w:pPr>
        <w:pStyle w:val="SubsectionHead"/>
      </w:pPr>
      <w:r w:rsidRPr="00821C04">
        <w:t xml:space="preserve">Management of </w:t>
      </w:r>
      <w:r w:rsidR="0002324C" w:rsidRPr="00821C04">
        <w:t xml:space="preserve">an </w:t>
      </w:r>
      <w:r w:rsidR="00512708" w:rsidRPr="00821C04">
        <w:t>approved</w:t>
      </w:r>
      <w:r w:rsidRPr="00821C04">
        <w:t xml:space="preserve"> a</w:t>
      </w:r>
      <w:r w:rsidR="0002324C" w:rsidRPr="00821C04">
        <w:t>rrangement</w:t>
      </w:r>
    </w:p>
    <w:p w:rsidR="00835BBA" w:rsidRPr="00821C04" w:rsidRDefault="006E31CC" w:rsidP="00835BBA">
      <w:pPr>
        <w:pStyle w:val="subsection"/>
      </w:pPr>
      <w:r w:rsidRPr="00821C04">
        <w:tab/>
        <w:t>(7</w:t>
      </w:r>
      <w:r w:rsidR="00835BBA" w:rsidRPr="00821C04">
        <w:t>)</w:t>
      </w:r>
      <w:r w:rsidR="00835BBA" w:rsidRPr="00821C04">
        <w:tab/>
        <w:t>For section</w:t>
      </w:r>
      <w:r w:rsidR="00821C04" w:rsidRPr="00821C04">
        <w:t> </w:t>
      </w:r>
      <w:r w:rsidR="00835BBA" w:rsidRPr="00821C04">
        <w:t>10 of the Act, a person is not liable to pay the charge prescribed by item</w:t>
      </w:r>
      <w:r w:rsidR="00821C04" w:rsidRPr="00821C04">
        <w:t> </w:t>
      </w:r>
      <w:r w:rsidR="00835BBA" w:rsidRPr="00821C04">
        <w:t>13 of the table in section</w:t>
      </w:r>
      <w:r w:rsidR="00821C04" w:rsidRPr="00821C04">
        <w:t> </w:t>
      </w:r>
      <w:r w:rsidR="006F36C8" w:rsidRPr="00821C04">
        <w:t>9</w:t>
      </w:r>
      <w:r w:rsidR="00835BBA" w:rsidRPr="00821C04">
        <w:t xml:space="preserve"> of this instrument for a financial year, or a part of a financial year, in r</w:t>
      </w:r>
      <w:r w:rsidR="00F65429" w:rsidRPr="00821C04">
        <w:t>elation to an approved arrangement</w:t>
      </w:r>
      <w:r w:rsidR="00835BBA" w:rsidRPr="00821C04">
        <w:t xml:space="preserve"> if the person has paid any of the following:</w:t>
      </w:r>
    </w:p>
    <w:p w:rsidR="00835BBA" w:rsidRPr="00821C04" w:rsidRDefault="00835BBA" w:rsidP="00835BBA">
      <w:pPr>
        <w:pStyle w:val="paragraph"/>
      </w:pPr>
      <w:r w:rsidRPr="00821C04">
        <w:tab/>
        <w:t>(a)</w:t>
      </w:r>
      <w:r w:rsidRPr="00821C04">
        <w:tab/>
        <w:t>the charge prescribed by item</w:t>
      </w:r>
      <w:r w:rsidR="00821C04" w:rsidRPr="00821C04">
        <w:t> </w:t>
      </w:r>
      <w:r w:rsidRPr="00821C04">
        <w:t>13 of the table in section</w:t>
      </w:r>
      <w:r w:rsidR="00821C04" w:rsidRPr="00821C04">
        <w:t> </w:t>
      </w:r>
      <w:r w:rsidR="006F36C8" w:rsidRPr="00821C04">
        <w:t>9</w:t>
      </w:r>
      <w:r w:rsidRPr="00821C04">
        <w:t xml:space="preserve"> of this instrument for that financial year, or that part of the financial year, in relation to another </w:t>
      </w:r>
      <w:r w:rsidR="00390714" w:rsidRPr="00821C04">
        <w:t>approved arrangement</w:t>
      </w:r>
      <w:r w:rsidRPr="00821C04">
        <w:t>;</w:t>
      </w:r>
    </w:p>
    <w:p w:rsidR="00835BBA" w:rsidRPr="00821C04" w:rsidRDefault="00835BBA" w:rsidP="00835BBA">
      <w:pPr>
        <w:pStyle w:val="paragraph"/>
      </w:pPr>
      <w:r w:rsidRPr="00821C04">
        <w:tab/>
        <w:t>(b)</w:t>
      </w:r>
      <w:r w:rsidRPr="00821C04">
        <w:tab/>
        <w:t>the charge prescribed by item</w:t>
      </w:r>
      <w:r w:rsidR="00821C04" w:rsidRPr="00821C04">
        <w:t> </w:t>
      </w:r>
      <w:r w:rsidRPr="00821C04">
        <w:t>13 of the table in section</w:t>
      </w:r>
      <w:r w:rsidR="00821C04" w:rsidRPr="00821C04">
        <w:t> </w:t>
      </w:r>
      <w:r w:rsidR="006F36C8" w:rsidRPr="00821C04">
        <w:t>9</w:t>
      </w:r>
      <w:r w:rsidRPr="00821C04">
        <w:t xml:space="preserve"> of the </w:t>
      </w:r>
      <w:r w:rsidR="00512708" w:rsidRPr="00821C04">
        <w:rPr>
          <w:i/>
        </w:rPr>
        <w:t>Biosecurity Charges Imposition (</w:t>
      </w:r>
      <w:r w:rsidRPr="00821C04">
        <w:rPr>
          <w:i/>
        </w:rPr>
        <w:t>Customs) Regulation</w:t>
      </w:r>
      <w:r w:rsidR="00821C04" w:rsidRPr="00821C04">
        <w:rPr>
          <w:i/>
        </w:rPr>
        <w:t> </w:t>
      </w:r>
      <w:r w:rsidRPr="00821C04">
        <w:rPr>
          <w:i/>
        </w:rPr>
        <w:t>201</w:t>
      </w:r>
      <w:r w:rsidR="00D75B2F" w:rsidRPr="00821C04">
        <w:rPr>
          <w:i/>
        </w:rPr>
        <w:t>6</w:t>
      </w:r>
      <w:r w:rsidRPr="00821C04">
        <w:t xml:space="preserve"> for that financial year, or that part of the financial year,</w:t>
      </w:r>
      <w:r w:rsidR="00F65429" w:rsidRPr="00821C04">
        <w:t xml:space="preserve"> in relation to another approved arrangement</w:t>
      </w:r>
      <w:r w:rsidRPr="00821C04">
        <w:t>;</w:t>
      </w:r>
    </w:p>
    <w:p w:rsidR="00835BBA" w:rsidRPr="00821C04" w:rsidRDefault="00835BBA" w:rsidP="00512708">
      <w:pPr>
        <w:pStyle w:val="paragraph"/>
      </w:pPr>
      <w:r w:rsidRPr="00821C04">
        <w:tab/>
        <w:t>(</w:t>
      </w:r>
      <w:r w:rsidR="00512708" w:rsidRPr="00821C04">
        <w:t>c</w:t>
      </w:r>
      <w:r w:rsidRPr="00821C04">
        <w:t>)</w:t>
      </w:r>
      <w:r w:rsidRPr="00821C04">
        <w:tab/>
        <w:t>the charge prescribed by item</w:t>
      </w:r>
      <w:r w:rsidR="00821C04" w:rsidRPr="00821C04">
        <w:t> </w:t>
      </w:r>
      <w:r w:rsidRPr="00821C04">
        <w:t>2 of the table in section</w:t>
      </w:r>
      <w:r w:rsidR="00821C04" w:rsidRPr="00821C04">
        <w:t> </w:t>
      </w:r>
      <w:r w:rsidR="00EE2B39" w:rsidRPr="00821C04">
        <w:t xml:space="preserve">6 </w:t>
      </w:r>
      <w:r w:rsidRPr="00821C04">
        <w:t xml:space="preserve">of the </w:t>
      </w:r>
      <w:r w:rsidRPr="00821C04">
        <w:rPr>
          <w:i/>
        </w:rPr>
        <w:t>Imported Food Charges (Imposition—Customs) Regulation</w:t>
      </w:r>
      <w:r w:rsidR="00821C04" w:rsidRPr="00821C04">
        <w:rPr>
          <w:i/>
        </w:rPr>
        <w:t> </w:t>
      </w:r>
      <w:r w:rsidRPr="00821C04">
        <w:rPr>
          <w:i/>
        </w:rPr>
        <w:t>2015</w:t>
      </w:r>
      <w:r w:rsidRPr="00821C04">
        <w:t xml:space="preserve"> for that financial year or that part of the financial year;</w:t>
      </w:r>
    </w:p>
    <w:p w:rsidR="006E31CC" w:rsidRPr="00821C04" w:rsidRDefault="00835BBA" w:rsidP="00892A52">
      <w:pPr>
        <w:pStyle w:val="paragraph"/>
      </w:pPr>
      <w:r w:rsidRPr="00821C04">
        <w:tab/>
        <w:t>(</w:t>
      </w:r>
      <w:r w:rsidR="00512708" w:rsidRPr="00821C04">
        <w:t>d</w:t>
      </w:r>
      <w:r w:rsidRPr="00821C04">
        <w:t>)</w:t>
      </w:r>
      <w:r w:rsidRPr="00821C04">
        <w:tab/>
        <w:t>the charge prescribed by item</w:t>
      </w:r>
      <w:r w:rsidR="00821C04" w:rsidRPr="00821C04">
        <w:t> </w:t>
      </w:r>
      <w:r w:rsidRPr="00821C04">
        <w:t>2 of the table in section</w:t>
      </w:r>
      <w:r w:rsidR="00821C04" w:rsidRPr="00821C04">
        <w:t> </w:t>
      </w:r>
      <w:r w:rsidR="00EE2B39" w:rsidRPr="00821C04">
        <w:t>6</w:t>
      </w:r>
      <w:r w:rsidRPr="00821C04">
        <w:t xml:space="preserve"> of the </w:t>
      </w:r>
      <w:r w:rsidRPr="00821C04">
        <w:rPr>
          <w:i/>
        </w:rPr>
        <w:t>Imported Food Charges (Imposition—General) Regulation</w:t>
      </w:r>
      <w:r w:rsidR="00821C04" w:rsidRPr="00821C04">
        <w:rPr>
          <w:i/>
        </w:rPr>
        <w:t> </w:t>
      </w:r>
      <w:r w:rsidRPr="00821C04">
        <w:rPr>
          <w:i/>
        </w:rPr>
        <w:t>2015</w:t>
      </w:r>
      <w:r w:rsidRPr="00821C04">
        <w:t xml:space="preserve"> for that financial year or that part of the financial year.</w:t>
      </w:r>
      <w:bookmarkStart w:id="17" w:name="f_Check_Lines_above"/>
      <w:bookmarkEnd w:id="17"/>
    </w:p>
    <w:sectPr w:rsidR="006E31CC" w:rsidRPr="00821C04" w:rsidSect="0033037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9E" w:rsidRDefault="0000519E" w:rsidP="00715914">
      <w:pPr>
        <w:spacing w:line="240" w:lineRule="auto"/>
      </w:pPr>
      <w:r>
        <w:separator/>
      </w:r>
    </w:p>
  </w:endnote>
  <w:endnote w:type="continuationSeparator" w:id="0">
    <w:p w:rsidR="0000519E" w:rsidRDefault="0000519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330373" w:rsidRDefault="0000519E" w:rsidP="003303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30373">
      <w:rPr>
        <w:i/>
        <w:sz w:val="18"/>
      </w:rPr>
      <w:t xml:space="preserve"> </w:t>
    </w:r>
    <w:r w:rsidR="00330373" w:rsidRPr="00330373">
      <w:rPr>
        <w:i/>
        <w:sz w:val="18"/>
      </w:rPr>
      <w:t>OPC61093 -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Default="0000519E" w:rsidP="00151231">
    <w:pPr>
      <w:pStyle w:val="Footer"/>
      <w:spacing w:before="120"/>
    </w:pPr>
  </w:p>
  <w:p w:rsidR="0000519E" w:rsidRPr="00E44C17" w:rsidRDefault="00330373" w:rsidP="00330373">
    <w:pPr>
      <w:pStyle w:val="Footer"/>
    </w:pPr>
    <w:r w:rsidRPr="00330373">
      <w:rPr>
        <w:i/>
        <w:sz w:val="18"/>
      </w:rPr>
      <w:t>OPC61093 -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ED79B6" w:rsidRDefault="000051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330373" w:rsidRDefault="0000519E" w:rsidP="00E708D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0519E" w:rsidRPr="00330373" w:rsidTr="00541395">
      <w:tc>
        <w:tcPr>
          <w:tcW w:w="365" w:type="pct"/>
        </w:tcPr>
        <w:p w:rsidR="0000519E" w:rsidRPr="00330373" w:rsidRDefault="0000519E" w:rsidP="00541395">
          <w:pPr>
            <w:spacing w:line="0" w:lineRule="atLeast"/>
            <w:rPr>
              <w:rFonts w:cs="Times New Roman"/>
              <w:i/>
              <w:sz w:val="18"/>
            </w:rPr>
          </w:pPr>
          <w:r w:rsidRPr="00330373">
            <w:rPr>
              <w:rFonts w:cs="Times New Roman"/>
              <w:i/>
              <w:sz w:val="18"/>
            </w:rPr>
            <w:fldChar w:fldCharType="begin"/>
          </w:r>
          <w:r w:rsidRPr="00330373">
            <w:rPr>
              <w:rFonts w:cs="Times New Roman"/>
              <w:i/>
              <w:sz w:val="18"/>
            </w:rPr>
            <w:instrText xml:space="preserve"> PAGE </w:instrText>
          </w:r>
          <w:r w:rsidRPr="00330373">
            <w:rPr>
              <w:rFonts w:cs="Times New Roman"/>
              <w:i/>
              <w:sz w:val="18"/>
            </w:rPr>
            <w:fldChar w:fldCharType="separate"/>
          </w:r>
          <w:r w:rsidR="002E3DFA">
            <w:rPr>
              <w:rFonts w:cs="Times New Roman"/>
              <w:i/>
              <w:noProof/>
              <w:sz w:val="18"/>
            </w:rPr>
            <w:t>v</w:t>
          </w:r>
          <w:r w:rsidRPr="0033037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0519E" w:rsidRPr="00330373" w:rsidRDefault="0000519E" w:rsidP="0054139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30373">
            <w:rPr>
              <w:rFonts w:cs="Times New Roman"/>
              <w:i/>
              <w:sz w:val="18"/>
            </w:rPr>
            <w:fldChar w:fldCharType="begin"/>
          </w:r>
          <w:r w:rsidRPr="00330373">
            <w:rPr>
              <w:rFonts w:cs="Times New Roman"/>
              <w:i/>
              <w:sz w:val="18"/>
            </w:rPr>
            <w:instrText xml:space="preserve"> DOCPROPERTY ShortT </w:instrText>
          </w:r>
          <w:r w:rsidRPr="00330373">
            <w:rPr>
              <w:rFonts w:cs="Times New Roman"/>
              <w:i/>
              <w:sz w:val="18"/>
            </w:rPr>
            <w:fldChar w:fldCharType="separate"/>
          </w:r>
          <w:r w:rsidR="00343CFB">
            <w:rPr>
              <w:rFonts w:cs="Times New Roman"/>
              <w:i/>
              <w:sz w:val="18"/>
            </w:rPr>
            <w:t>Biosecurity Charges Imposition (General) Regulation 2016</w:t>
          </w:r>
          <w:r w:rsidRPr="0033037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0519E" w:rsidRPr="00330373" w:rsidRDefault="0000519E" w:rsidP="0054139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0519E" w:rsidRPr="00330373" w:rsidRDefault="00330373" w:rsidP="00330373">
    <w:pPr>
      <w:rPr>
        <w:rFonts w:cs="Times New Roman"/>
        <w:i/>
        <w:sz w:val="18"/>
      </w:rPr>
    </w:pPr>
    <w:r w:rsidRPr="00330373">
      <w:rPr>
        <w:rFonts w:cs="Times New Roman"/>
        <w:i/>
        <w:sz w:val="18"/>
      </w:rPr>
      <w:t>OPC61093 -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2B0EA5" w:rsidRDefault="0000519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0519E" w:rsidTr="00541395">
      <w:tc>
        <w:tcPr>
          <w:tcW w:w="947" w:type="pct"/>
        </w:tcPr>
        <w:p w:rsidR="0000519E" w:rsidRDefault="0000519E" w:rsidP="0054139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0519E" w:rsidRDefault="0000519E" w:rsidP="005413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3CFB">
            <w:rPr>
              <w:i/>
              <w:sz w:val="18"/>
            </w:rPr>
            <w:t>Biosecurity Charges Imposition (General)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0519E" w:rsidRDefault="0000519E" w:rsidP="005413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E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519E" w:rsidRPr="00ED79B6" w:rsidRDefault="00330373" w:rsidP="00330373">
    <w:pPr>
      <w:rPr>
        <w:i/>
        <w:sz w:val="18"/>
      </w:rPr>
    </w:pPr>
    <w:r w:rsidRPr="00330373">
      <w:rPr>
        <w:rFonts w:cs="Times New Roman"/>
        <w:i/>
        <w:sz w:val="18"/>
      </w:rPr>
      <w:t>OPC61093 -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330373" w:rsidRDefault="0000519E" w:rsidP="00151231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0519E" w:rsidRPr="00330373" w:rsidTr="00151231">
      <w:tc>
        <w:tcPr>
          <w:tcW w:w="365" w:type="pct"/>
        </w:tcPr>
        <w:p w:rsidR="0000519E" w:rsidRPr="00330373" w:rsidRDefault="0000519E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330373">
            <w:rPr>
              <w:rFonts w:cs="Times New Roman"/>
              <w:i/>
              <w:sz w:val="18"/>
            </w:rPr>
            <w:fldChar w:fldCharType="begin"/>
          </w:r>
          <w:r w:rsidRPr="00330373">
            <w:rPr>
              <w:rFonts w:cs="Times New Roman"/>
              <w:i/>
              <w:sz w:val="18"/>
            </w:rPr>
            <w:instrText xml:space="preserve"> PAGE </w:instrText>
          </w:r>
          <w:r w:rsidRPr="00330373">
            <w:rPr>
              <w:rFonts w:cs="Times New Roman"/>
              <w:i/>
              <w:sz w:val="18"/>
            </w:rPr>
            <w:fldChar w:fldCharType="separate"/>
          </w:r>
          <w:r w:rsidR="00D64E57">
            <w:rPr>
              <w:rFonts w:cs="Times New Roman"/>
              <w:i/>
              <w:noProof/>
              <w:sz w:val="18"/>
            </w:rPr>
            <w:t>2</w:t>
          </w:r>
          <w:r w:rsidRPr="0033037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0519E" w:rsidRPr="00330373" w:rsidRDefault="0000519E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30373">
            <w:rPr>
              <w:rFonts w:cs="Times New Roman"/>
              <w:i/>
              <w:sz w:val="18"/>
            </w:rPr>
            <w:fldChar w:fldCharType="begin"/>
          </w:r>
          <w:r w:rsidRPr="00330373">
            <w:rPr>
              <w:rFonts w:cs="Times New Roman"/>
              <w:i/>
              <w:sz w:val="18"/>
            </w:rPr>
            <w:instrText xml:space="preserve"> DOCPROPERTY ShortT </w:instrText>
          </w:r>
          <w:r w:rsidRPr="00330373">
            <w:rPr>
              <w:rFonts w:cs="Times New Roman"/>
              <w:i/>
              <w:sz w:val="18"/>
            </w:rPr>
            <w:fldChar w:fldCharType="separate"/>
          </w:r>
          <w:r w:rsidR="00343CFB">
            <w:rPr>
              <w:rFonts w:cs="Times New Roman"/>
              <w:i/>
              <w:sz w:val="18"/>
            </w:rPr>
            <w:t>Biosecurity Charges Imposition (General) Regulation 2016</w:t>
          </w:r>
          <w:r w:rsidRPr="0033037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0519E" w:rsidRPr="00330373" w:rsidRDefault="0000519E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0519E" w:rsidRPr="00330373" w:rsidRDefault="00330373" w:rsidP="00330373">
    <w:pPr>
      <w:rPr>
        <w:rFonts w:cs="Times New Roman"/>
        <w:i/>
        <w:sz w:val="18"/>
      </w:rPr>
    </w:pPr>
    <w:r w:rsidRPr="00330373">
      <w:rPr>
        <w:rFonts w:cs="Times New Roman"/>
        <w:i/>
        <w:sz w:val="18"/>
      </w:rPr>
      <w:t>OPC61093 -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2B0EA5" w:rsidRDefault="0000519E" w:rsidP="0015123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0519E" w:rsidTr="00151231">
      <w:tc>
        <w:tcPr>
          <w:tcW w:w="947" w:type="pct"/>
        </w:tcPr>
        <w:p w:rsidR="0000519E" w:rsidRDefault="0000519E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0519E" w:rsidRDefault="0000519E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3CFB">
            <w:rPr>
              <w:i/>
              <w:sz w:val="18"/>
            </w:rPr>
            <w:t>Biosecurity Charges Imposition (General)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0519E" w:rsidRDefault="0000519E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E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519E" w:rsidRPr="00ED79B6" w:rsidRDefault="00330373" w:rsidP="00330373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ID \* MERGEFORMAT </w:instrText>
    </w:r>
    <w:r>
      <w:rPr>
        <w:i/>
        <w:sz w:val="18"/>
      </w:rPr>
      <w:fldChar w:fldCharType="separate"/>
    </w:r>
    <w:r w:rsidR="00343CFB">
      <w:rPr>
        <w:i/>
        <w:sz w:val="18"/>
      </w:rPr>
      <w:t>OPC61093</w:t>
    </w:r>
    <w:r>
      <w:rPr>
        <w:i/>
        <w:sz w:val="18"/>
      </w:rPr>
      <w:fldChar w:fldCharType="end"/>
    </w:r>
    <w:r w:rsidRPr="00330373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2B0EA5" w:rsidRDefault="0000519E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0519E" w:rsidTr="00151231">
      <w:tc>
        <w:tcPr>
          <w:tcW w:w="947" w:type="pct"/>
        </w:tcPr>
        <w:p w:rsidR="0000519E" w:rsidRDefault="0000519E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0519E" w:rsidRDefault="0000519E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3CFB">
            <w:rPr>
              <w:i/>
              <w:sz w:val="18"/>
            </w:rPr>
            <w:t>Biosecurity Charges Imposition (General)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0519E" w:rsidRDefault="0000519E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3DF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519E" w:rsidRPr="00ED79B6" w:rsidRDefault="0000519E" w:rsidP="00CE51C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9E" w:rsidRDefault="0000519E" w:rsidP="00715914">
      <w:pPr>
        <w:spacing w:line="240" w:lineRule="auto"/>
      </w:pPr>
      <w:r>
        <w:separator/>
      </w:r>
    </w:p>
  </w:footnote>
  <w:footnote w:type="continuationSeparator" w:id="0">
    <w:p w:rsidR="0000519E" w:rsidRDefault="0000519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5F1388" w:rsidRDefault="0000519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5F1388" w:rsidRDefault="0000519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5F1388" w:rsidRDefault="000051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ED79B6" w:rsidRDefault="0000519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ED79B6" w:rsidRDefault="0000519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ED79B6" w:rsidRDefault="0000519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Default="0000519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0519E" w:rsidRDefault="0000519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64E57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64E57">
      <w:rPr>
        <w:noProof/>
        <w:sz w:val="20"/>
      </w:rPr>
      <w:t>Preliminary</w:t>
    </w:r>
    <w:r>
      <w:rPr>
        <w:sz w:val="20"/>
      </w:rPr>
      <w:fldChar w:fldCharType="end"/>
    </w:r>
  </w:p>
  <w:p w:rsidR="0000519E" w:rsidRPr="007A1328" w:rsidRDefault="0000519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0519E" w:rsidRPr="007A1328" w:rsidRDefault="0000519E" w:rsidP="00715914">
    <w:pPr>
      <w:rPr>
        <w:b/>
        <w:sz w:val="24"/>
      </w:rPr>
    </w:pPr>
  </w:p>
  <w:p w:rsidR="0000519E" w:rsidRPr="007A1328" w:rsidRDefault="0000519E" w:rsidP="0015123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43CF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64E57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7A1328" w:rsidRDefault="0000519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0519E" w:rsidRPr="007A1328" w:rsidRDefault="0000519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D64E57">
      <w:rPr>
        <w:sz w:val="20"/>
      </w:rPr>
      <w:fldChar w:fldCharType="separate"/>
    </w:r>
    <w:r w:rsidR="00D64E5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D64E57">
      <w:rPr>
        <w:b/>
        <w:sz w:val="20"/>
      </w:rPr>
      <w:fldChar w:fldCharType="separate"/>
    </w:r>
    <w:r w:rsidR="00D64E57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00519E" w:rsidRPr="007A1328" w:rsidRDefault="0000519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0519E" w:rsidRPr="007A1328" w:rsidRDefault="0000519E" w:rsidP="00715914">
    <w:pPr>
      <w:jc w:val="right"/>
      <w:rPr>
        <w:b/>
        <w:sz w:val="24"/>
      </w:rPr>
    </w:pPr>
  </w:p>
  <w:p w:rsidR="0000519E" w:rsidRPr="007A1328" w:rsidRDefault="0000519E" w:rsidP="0015123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43CF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64E5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9E" w:rsidRPr="007A1328" w:rsidRDefault="0000519E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BA"/>
    <w:rsid w:val="000019A2"/>
    <w:rsid w:val="00002093"/>
    <w:rsid w:val="0000519E"/>
    <w:rsid w:val="00005FA4"/>
    <w:rsid w:val="000136AF"/>
    <w:rsid w:val="0002324C"/>
    <w:rsid w:val="00030CA8"/>
    <w:rsid w:val="00034097"/>
    <w:rsid w:val="0005348C"/>
    <w:rsid w:val="00057C37"/>
    <w:rsid w:val="00061256"/>
    <w:rsid w:val="000614BF"/>
    <w:rsid w:val="00084FFB"/>
    <w:rsid w:val="00091BA5"/>
    <w:rsid w:val="00097C35"/>
    <w:rsid w:val="000A6C6A"/>
    <w:rsid w:val="000D05EF"/>
    <w:rsid w:val="000D20FC"/>
    <w:rsid w:val="000E2261"/>
    <w:rsid w:val="000E4706"/>
    <w:rsid w:val="000E4974"/>
    <w:rsid w:val="000E4DF3"/>
    <w:rsid w:val="000F21C1"/>
    <w:rsid w:val="000F2FF6"/>
    <w:rsid w:val="0010745C"/>
    <w:rsid w:val="00112C34"/>
    <w:rsid w:val="001161B9"/>
    <w:rsid w:val="00116547"/>
    <w:rsid w:val="001209CE"/>
    <w:rsid w:val="00121963"/>
    <w:rsid w:val="00121EB8"/>
    <w:rsid w:val="001250EE"/>
    <w:rsid w:val="00130E40"/>
    <w:rsid w:val="001311FD"/>
    <w:rsid w:val="0014455B"/>
    <w:rsid w:val="0014542C"/>
    <w:rsid w:val="001475B8"/>
    <w:rsid w:val="00151231"/>
    <w:rsid w:val="00152D89"/>
    <w:rsid w:val="0016125C"/>
    <w:rsid w:val="00166C2F"/>
    <w:rsid w:val="00167625"/>
    <w:rsid w:val="00187E6E"/>
    <w:rsid w:val="00190377"/>
    <w:rsid w:val="00192D25"/>
    <w:rsid w:val="001939E1"/>
    <w:rsid w:val="00195382"/>
    <w:rsid w:val="001A30CB"/>
    <w:rsid w:val="001A61E5"/>
    <w:rsid w:val="001B39BC"/>
    <w:rsid w:val="001B693A"/>
    <w:rsid w:val="001C0CD2"/>
    <w:rsid w:val="001C5F34"/>
    <w:rsid w:val="001C69C4"/>
    <w:rsid w:val="001C7461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1992"/>
    <w:rsid w:val="00214D06"/>
    <w:rsid w:val="00217D6C"/>
    <w:rsid w:val="0022240B"/>
    <w:rsid w:val="0023028C"/>
    <w:rsid w:val="002306E3"/>
    <w:rsid w:val="002348CF"/>
    <w:rsid w:val="0024010F"/>
    <w:rsid w:val="00240749"/>
    <w:rsid w:val="00241E2B"/>
    <w:rsid w:val="002564A4"/>
    <w:rsid w:val="00261029"/>
    <w:rsid w:val="002624EB"/>
    <w:rsid w:val="00285644"/>
    <w:rsid w:val="00287C6D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EDD"/>
    <w:rsid w:val="002E349D"/>
    <w:rsid w:val="002E3DFA"/>
    <w:rsid w:val="002F5389"/>
    <w:rsid w:val="002F5BCA"/>
    <w:rsid w:val="002F7C4F"/>
    <w:rsid w:val="003074B7"/>
    <w:rsid w:val="0032005E"/>
    <w:rsid w:val="003229CD"/>
    <w:rsid w:val="003278F2"/>
    <w:rsid w:val="00330373"/>
    <w:rsid w:val="003415D3"/>
    <w:rsid w:val="00343CFB"/>
    <w:rsid w:val="00352B0F"/>
    <w:rsid w:val="00360459"/>
    <w:rsid w:val="003636FB"/>
    <w:rsid w:val="00372C84"/>
    <w:rsid w:val="00372FAD"/>
    <w:rsid w:val="003768E4"/>
    <w:rsid w:val="00380BA6"/>
    <w:rsid w:val="0038268D"/>
    <w:rsid w:val="00390714"/>
    <w:rsid w:val="003C3EBF"/>
    <w:rsid w:val="003D0BFE"/>
    <w:rsid w:val="003D5700"/>
    <w:rsid w:val="003E0581"/>
    <w:rsid w:val="003E6DF1"/>
    <w:rsid w:val="003F520F"/>
    <w:rsid w:val="004116CD"/>
    <w:rsid w:val="004167EB"/>
    <w:rsid w:val="00417EB9"/>
    <w:rsid w:val="00422464"/>
    <w:rsid w:val="00424CA9"/>
    <w:rsid w:val="0044291A"/>
    <w:rsid w:val="00444DB4"/>
    <w:rsid w:val="00462FD0"/>
    <w:rsid w:val="0047485E"/>
    <w:rsid w:val="0049297F"/>
    <w:rsid w:val="0049536B"/>
    <w:rsid w:val="00496F97"/>
    <w:rsid w:val="004A5980"/>
    <w:rsid w:val="004B467C"/>
    <w:rsid w:val="004C2F9D"/>
    <w:rsid w:val="004E3FAB"/>
    <w:rsid w:val="004E7BEC"/>
    <w:rsid w:val="004E7FE0"/>
    <w:rsid w:val="004F495A"/>
    <w:rsid w:val="004F4B72"/>
    <w:rsid w:val="00504DD3"/>
    <w:rsid w:val="0050600B"/>
    <w:rsid w:val="00512708"/>
    <w:rsid w:val="00516068"/>
    <w:rsid w:val="00516B8D"/>
    <w:rsid w:val="00521C92"/>
    <w:rsid w:val="005253D0"/>
    <w:rsid w:val="00537F28"/>
    <w:rsid w:val="00537FBC"/>
    <w:rsid w:val="00541395"/>
    <w:rsid w:val="00545597"/>
    <w:rsid w:val="00552554"/>
    <w:rsid w:val="0056187F"/>
    <w:rsid w:val="00584811"/>
    <w:rsid w:val="00593AA6"/>
    <w:rsid w:val="00594161"/>
    <w:rsid w:val="005941BA"/>
    <w:rsid w:val="00594749"/>
    <w:rsid w:val="0059723F"/>
    <w:rsid w:val="005972AC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65C4"/>
    <w:rsid w:val="00612E60"/>
    <w:rsid w:val="00635D9C"/>
    <w:rsid w:val="006442D3"/>
    <w:rsid w:val="00645733"/>
    <w:rsid w:val="006475DA"/>
    <w:rsid w:val="00660920"/>
    <w:rsid w:val="006744CF"/>
    <w:rsid w:val="00677CC2"/>
    <w:rsid w:val="006905DE"/>
    <w:rsid w:val="0069207B"/>
    <w:rsid w:val="006A0B6C"/>
    <w:rsid w:val="006A2AAB"/>
    <w:rsid w:val="006A32E3"/>
    <w:rsid w:val="006C5B15"/>
    <w:rsid w:val="006C7F8C"/>
    <w:rsid w:val="006D02BD"/>
    <w:rsid w:val="006E31CC"/>
    <w:rsid w:val="006E5800"/>
    <w:rsid w:val="006E59E2"/>
    <w:rsid w:val="006F318F"/>
    <w:rsid w:val="006F36C8"/>
    <w:rsid w:val="006F47C1"/>
    <w:rsid w:val="00700B2C"/>
    <w:rsid w:val="0071014D"/>
    <w:rsid w:val="0071144E"/>
    <w:rsid w:val="00713084"/>
    <w:rsid w:val="00715914"/>
    <w:rsid w:val="00723802"/>
    <w:rsid w:val="00731E00"/>
    <w:rsid w:val="00732B8A"/>
    <w:rsid w:val="007335E0"/>
    <w:rsid w:val="00733A7C"/>
    <w:rsid w:val="007440B7"/>
    <w:rsid w:val="007553B3"/>
    <w:rsid w:val="00765A9C"/>
    <w:rsid w:val="007715C9"/>
    <w:rsid w:val="00774EDD"/>
    <w:rsid w:val="007757EC"/>
    <w:rsid w:val="007809F4"/>
    <w:rsid w:val="00782620"/>
    <w:rsid w:val="00782A3F"/>
    <w:rsid w:val="007831BF"/>
    <w:rsid w:val="007837FD"/>
    <w:rsid w:val="007A6816"/>
    <w:rsid w:val="007B0372"/>
    <w:rsid w:val="007D519E"/>
    <w:rsid w:val="007E163D"/>
    <w:rsid w:val="00804F27"/>
    <w:rsid w:val="00811A9C"/>
    <w:rsid w:val="00811AA6"/>
    <w:rsid w:val="00821C04"/>
    <w:rsid w:val="00835BBA"/>
    <w:rsid w:val="00840C6F"/>
    <w:rsid w:val="008437FA"/>
    <w:rsid w:val="00851AE2"/>
    <w:rsid w:val="00851BB5"/>
    <w:rsid w:val="0085365A"/>
    <w:rsid w:val="00856A31"/>
    <w:rsid w:val="008754D0"/>
    <w:rsid w:val="0087793C"/>
    <w:rsid w:val="00877E19"/>
    <w:rsid w:val="00880C34"/>
    <w:rsid w:val="00884FDE"/>
    <w:rsid w:val="008861ED"/>
    <w:rsid w:val="00890BE0"/>
    <w:rsid w:val="00892A52"/>
    <w:rsid w:val="008A34E8"/>
    <w:rsid w:val="008A44F0"/>
    <w:rsid w:val="008A73F5"/>
    <w:rsid w:val="008B45EE"/>
    <w:rsid w:val="008C1A08"/>
    <w:rsid w:val="008C5DCB"/>
    <w:rsid w:val="008D0D78"/>
    <w:rsid w:val="008D0EE0"/>
    <w:rsid w:val="008D7E74"/>
    <w:rsid w:val="008F3B75"/>
    <w:rsid w:val="008F54E7"/>
    <w:rsid w:val="008F6E1F"/>
    <w:rsid w:val="00903422"/>
    <w:rsid w:val="00903477"/>
    <w:rsid w:val="009058F4"/>
    <w:rsid w:val="00931C61"/>
    <w:rsid w:val="00932377"/>
    <w:rsid w:val="009334DF"/>
    <w:rsid w:val="00936A68"/>
    <w:rsid w:val="00945BA4"/>
    <w:rsid w:val="00947D5A"/>
    <w:rsid w:val="00950467"/>
    <w:rsid w:val="009532A5"/>
    <w:rsid w:val="00967AB4"/>
    <w:rsid w:val="00971818"/>
    <w:rsid w:val="00986860"/>
    <w:rsid w:val="009868E9"/>
    <w:rsid w:val="00987BAE"/>
    <w:rsid w:val="009A00DD"/>
    <w:rsid w:val="009A5949"/>
    <w:rsid w:val="009D0287"/>
    <w:rsid w:val="009D070D"/>
    <w:rsid w:val="009D3B7A"/>
    <w:rsid w:val="00A22C98"/>
    <w:rsid w:val="00A231E2"/>
    <w:rsid w:val="00A24B4C"/>
    <w:rsid w:val="00A60898"/>
    <w:rsid w:val="00A64912"/>
    <w:rsid w:val="00A70A74"/>
    <w:rsid w:val="00A802BC"/>
    <w:rsid w:val="00A81C9D"/>
    <w:rsid w:val="00A872DC"/>
    <w:rsid w:val="00AC03E1"/>
    <w:rsid w:val="00AD5641"/>
    <w:rsid w:val="00AE2FA9"/>
    <w:rsid w:val="00AF06CF"/>
    <w:rsid w:val="00AF4660"/>
    <w:rsid w:val="00B01D78"/>
    <w:rsid w:val="00B029C2"/>
    <w:rsid w:val="00B054B8"/>
    <w:rsid w:val="00B136FC"/>
    <w:rsid w:val="00B1535F"/>
    <w:rsid w:val="00B20503"/>
    <w:rsid w:val="00B21F29"/>
    <w:rsid w:val="00B33B3C"/>
    <w:rsid w:val="00B41448"/>
    <w:rsid w:val="00B43968"/>
    <w:rsid w:val="00B46132"/>
    <w:rsid w:val="00B4705A"/>
    <w:rsid w:val="00B52575"/>
    <w:rsid w:val="00B54457"/>
    <w:rsid w:val="00B63834"/>
    <w:rsid w:val="00B72456"/>
    <w:rsid w:val="00B74416"/>
    <w:rsid w:val="00B80199"/>
    <w:rsid w:val="00BA220B"/>
    <w:rsid w:val="00BA2409"/>
    <w:rsid w:val="00BC27D6"/>
    <w:rsid w:val="00BD7FEA"/>
    <w:rsid w:val="00BE719A"/>
    <w:rsid w:val="00BE720A"/>
    <w:rsid w:val="00BE78CA"/>
    <w:rsid w:val="00BF08EB"/>
    <w:rsid w:val="00C31DE7"/>
    <w:rsid w:val="00C3317E"/>
    <w:rsid w:val="00C33FA4"/>
    <w:rsid w:val="00C42BF8"/>
    <w:rsid w:val="00C42E0D"/>
    <w:rsid w:val="00C47765"/>
    <w:rsid w:val="00C47972"/>
    <w:rsid w:val="00C50043"/>
    <w:rsid w:val="00C70B70"/>
    <w:rsid w:val="00C7573B"/>
    <w:rsid w:val="00CB0593"/>
    <w:rsid w:val="00CB50CD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23F2B"/>
    <w:rsid w:val="00D27F56"/>
    <w:rsid w:val="00D31A57"/>
    <w:rsid w:val="00D32CE3"/>
    <w:rsid w:val="00D518D2"/>
    <w:rsid w:val="00D62F3D"/>
    <w:rsid w:val="00D6372A"/>
    <w:rsid w:val="00D637D5"/>
    <w:rsid w:val="00D64E57"/>
    <w:rsid w:val="00D675E2"/>
    <w:rsid w:val="00D70DFB"/>
    <w:rsid w:val="00D75B2F"/>
    <w:rsid w:val="00D766DF"/>
    <w:rsid w:val="00D93A50"/>
    <w:rsid w:val="00DA186E"/>
    <w:rsid w:val="00DB6179"/>
    <w:rsid w:val="00DC4F88"/>
    <w:rsid w:val="00DD0077"/>
    <w:rsid w:val="00DD29C8"/>
    <w:rsid w:val="00DD661C"/>
    <w:rsid w:val="00DE5669"/>
    <w:rsid w:val="00E05704"/>
    <w:rsid w:val="00E10719"/>
    <w:rsid w:val="00E232E4"/>
    <w:rsid w:val="00E2386F"/>
    <w:rsid w:val="00E338EF"/>
    <w:rsid w:val="00E44C17"/>
    <w:rsid w:val="00E567B9"/>
    <w:rsid w:val="00E64861"/>
    <w:rsid w:val="00E708D8"/>
    <w:rsid w:val="00E71E89"/>
    <w:rsid w:val="00E74DC7"/>
    <w:rsid w:val="00E75FF5"/>
    <w:rsid w:val="00E8175C"/>
    <w:rsid w:val="00E85C54"/>
    <w:rsid w:val="00E94D5E"/>
    <w:rsid w:val="00E97F31"/>
    <w:rsid w:val="00EA4541"/>
    <w:rsid w:val="00EA7100"/>
    <w:rsid w:val="00EB22CA"/>
    <w:rsid w:val="00EC01C1"/>
    <w:rsid w:val="00EC4384"/>
    <w:rsid w:val="00ED7C2C"/>
    <w:rsid w:val="00EE2B39"/>
    <w:rsid w:val="00EF2D3B"/>
    <w:rsid w:val="00EF2E3A"/>
    <w:rsid w:val="00EF3217"/>
    <w:rsid w:val="00EF4FE7"/>
    <w:rsid w:val="00EF7BF5"/>
    <w:rsid w:val="00F033EC"/>
    <w:rsid w:val="00F06C88"/>
    <w:rsid w:val="00F072A7"/>
    <w:rsid w:val="00F078DC"/>
    <w:rsid w:val="00F1760F"/>
    <w:rsid w:val="00F234E7"/>
    <w:rsid w:val="00F243EA"/>
    <w:rsid w:val="00F53184"/>
    <w:rsid w:val="00F5436C"/>
    <w:rsid w:val="00F61B89"/>
    <w:rsid w:val="00F65429"/>
    <w:rsid w:val="00F73BD6"/>
    <w:rsid w:val="00F83989"/>
    <w:rsid w:val="00F90E5C"/>
    <w:rsid w:val="00F91D09"/>
    <w:rsid w:val="00F9632C"/>
    <w:rsid w:val="00FA5392"/>
    <w:rsid w:val="00FD7AED"/>
    <w:rsid w:val="00FD7BAB"/>
    <w:rsid w:val="00FF2995"/>
    <w:rsid w:val="00FF404D"/>
    <w:rsid w:val="00FF523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1C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B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35B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35B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B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B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B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21C04"/>
  </w:style>
  <w:style w:type="paragraph" w:customStyle="1" w:styleId="OPCParaBase">
    <w:name w:val="OPCParaBase"/>
    <w:qFormat/>
    <w:rsid w:val="00821C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21C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21C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21C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21C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21C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21C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21C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21C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21C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21C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21C04"/>
  </w:style>
  <w:style w:type="paragraph" w:customStyle="1" w:styleId="Blocks">
    <w:name w:val="Blocks"/>
    <w:aliases w:val="bb"/>
    <w:basedOn w:val="OPCParaBase"/>
    <w:qFormat/>
    <w:rsid w:val="00821C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21C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21C04"/>
    <w:rPr>
      <w:i/>
    </w:rPr>
  </w:style>
  <w:style w:type="paragraph" w:customStyle="1" w:styleId="BoxList">
    <w:name w:val="BoxList"/>
    <w:aliases w:val="bl"/>
    <w:basedOn w:val="BoxText"/>
    <w:qFormat/>
    <w:rsid w:val="00821C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21C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21C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21C0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21C04"/>
  </w:style>
  <w:style w:type="character" w:customStyle="1" w:styleId="CharAmPartText">
    <w:name w:val="CharAmPartText"/>
    <w:basedOn w:val="OPCCharBase"/>
    <w:uiPriority w:val="1"/>
    <w:qFormat/>
    <w:rsid w:val="00821C04"/>
  </w:style>
  <w:style w:type="character" w:customStyle="1" w:styleId="CharAmSchNo">
    <w:name w:val="CharAmSchNo"/>
    <w:basedOn w:val="OPCCharBase"/>
    <w:uiPriority w:val="1"/>
    <w:qFormat/>
    <w:rsid w:val="00821C04"/>
  </w:style>
  <w:style w:type="character" w:customStyle="1" w:styleId="CharAmSchText">
    <w:name w:val="CharAmSchText"/>
    <w:basedOn w:val="OPCCharBase"/>
    <w:uiPriority w:val="1"/>
    <w:qFormat/>
    <w:rsid w:val="00821C04"/>
  </w:style>
  <w:style w:type="character" w:customStyle="1" w:styleId="CharBoldItalic">
    <w:name w:val="CharBoldItalic"/>
    <w:basedOn w:val="OPCCharBase"/>
    <w:uiPriority w:val="1"/>
    <w:qFormat/>
    <w:rsid w:val="00821C04"/>
    <w:rPr>
      <w:b/>
      <w:i/>
    </w:rPr>
  </w:style>
  <w:style w:type="character" w:customStyle="1" w:styleId="CharChapNo">
    <w:name w:val="CharChapNo"/>
    <w:basedOn w:val="OPCCharBase"/>
    <w:qFormat/>
    <w:rsid w:val="00821C04"/>
  </w:style>
  <w:style w:type="character" w:customStyle="1" w:styleId="CharChapText">
    <w:name w:val="CharChapText"/>
    <w:basedOn w:val="OPCCharBase"/>
    <w:qFormat/>
    <w:rsid w:val="00821C04"/>
  </w:style>
  <w:style w:type="character" w:customStyle="1" w:styleId="CharDivNo">
    <w:name w:val="CharDivNo"/>
    <w:basedOn w:val="OPCCharBase"/>
    <w:qFormat/>
    <w:rsid w:val="00821C04"/>
  </w:style>
  <w:style w:type="character" w:customStyle="1" w:styleId="CharDivText">
    <w:name w:val="CharDivText"/>
    <w:basedOn w:val="OPCCharBase"/>
    <w:qFormat/>
    <w:rsid w:val="00821C04"/>
  </w:style>
  <w:style w:type="character" w:customStyle="1" w:styleId="CharItalic">
    <w:name w:val="CharItalic"/>
    <w:basedOn w:val="OPCCharBase"/>
    <w:uiPriority w:val="1"/>
    <w:qFormat/>
    <w:rsid w:val="00821C04"/>
    <w:rPr>
      <w:i/>
    </w:rPr>
  </w:style>
  <w:style w:type="character" w:customStyle="1" w:styleId="CharPartNo">
    <w:name w:val="CharPartNo"/>
    <w:basedOn w:val="OPCCharBase"/>
    <w:qFormat/>
    <w:rsid w:val="00821C04"/>
  </w:style>
  <w:style w:type="character" w:customStyle="1" w:styleId="CharPartText">
    <w:name w:val="CharPartText"/>
    <w:basedOn w:val="OPCCharBase"/>
    <w:qFormat/>
    <w:rsid w:val="00821C04"/>
  </w:style>
  <w:style w:type="character" w:customStyle="1" w:styleId="CharSectno">
    <w:name w:val="CharSectno"/>
    <w:basedOn w:val="OPCCharBase"/>
    <w:qFormat/>
    <w:rsid w:val="00821C04"/>
  </w:style>
  <w:style w:type="character" w:customStyle="1" w:styleId="CharSubdNo">
    <w:name w:val="CharSubdNo"/>
    <w:basedOn w:val="OPCCharBase"/>
    <w:uiPriority w:val="1"/>
    <w:qFormat/>
    <w:rsid w:val="00821C04"/>
  </w:style>
  <w:style w:type="character" w:customStyle="1" w:styleId="CharSubdText">
    <w:name w:val="CharSubdText"/>
    <w:basedOn w:val="OPCCharBase"/>
    <w:uiPriority w:val="1"/>
    <w:qFormat/>
    <w:rsid w:val="00821C04"/>
  </w:style>
  <w:style w:type="paragraph" w:customStyle="1" w:styleId="CTA--">
    <w:name w:val="CTA --"/>
    <w:basedOn w:val="OPCParaBase"/>
    <w:next w:val="Normal"/>
    <w:rsid w:val="00821C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21C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21C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21C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21C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21C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21C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21C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21C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21C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21C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21C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21C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21C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21C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21C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21C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21C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21C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21C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21C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21C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21C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21C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21C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1C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21C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21C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21C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21C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21C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821C04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21C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21C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21C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21C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21C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21C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21C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21C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21C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21C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21C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21C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21C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21C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21C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21C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21C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21C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21C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21C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21C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21C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21C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21C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21C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21C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21C0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21C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21C0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21C0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21C0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21C0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21C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21C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21C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21C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21C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21C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21C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21C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21C04"/>
    <w:rPr>
      <w:sz w:val="16"/>
    </w:rPr>
  </w:style>
  <w:style w:type="table" w:customStyle="1" w:styleId="CFlag">
    <w:name w:val="CFlag"/>
    <w:basedOn w:val="TableNormal"/>
    <w:uiPriority w:val="99"/>
    <w:rsid w:val="00821C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21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21C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D070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21C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21C0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21C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21C04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21C04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21C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21C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21C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21C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21C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21C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21C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21C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21C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21C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21C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21C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21C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21C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21C04"/>
  </w:style>
  <w:style w:type="character" w:customStyle="1" w:styleId="CharSubPartNoCASA">
    <w:name w:val="CharSubPartNo(CASA)"/>
    <w:basedOn w:val="OPCCharBase"/>
    <w:uiPriority w:val="1"/>
    <w:rsid w:val="00821C04"/>
  </w:style>
  <w:style w:type="paragraph" w:customStyle="1" w:styleId="ENoteTTIndentHeadingSub">
    <w:name w:val="ENoteTTIndentHeadingSub"/>
    <w:aliases w:val="enTTHis"/>
    <w:basedOn w:val="OPCParaBase"/>
    <w:rsid w:val="00821C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21C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21C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21C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5123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21C04"/>
    <w:rPr>
      <w:sz w:val="22"/>
    </w:rPr>
  </w:style>
  <w:style w:type="paragraph" w:customStyle="1" w:styleId="SOTextNote">
    <w:name w:val="SO TextNote"/>
    <w:aliases w:val="sont"/>
    <w:basedOn w:val="SOText"/>
    <w:qFormat/>
    <w:rsid w:val="00821C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21C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21C04"/>
    <w:rPr>
      <w:sz w:val="22"/>
    </w:rPr>
  </w:style>
  <w:style w:type="paragraph" w:customStyle="1" w:styleId="FileName">
    <w:name w:val="FileName"/>
    <w:basedOn w:val="Normal"/>
    <w:rsid w:val="00821C04"/>
  </w:style>
  <w:style w:type="paragraph" w:customStyle="1" w:styleId="TableHeading">
    <w:name w:val="TableHeading"/>
    <w:aliases w:val="th"/>
    <w:basedOn w:val="OPCParaBase"/>
    <w:next w:val="Tabletext"/>
    <w:rsid w:val="00821C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21C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21C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21C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21C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21C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21C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21C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21C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21C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21C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5B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5B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5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B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B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835B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35B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B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B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BB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1C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B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35B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35B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B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B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B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21C04"/>
  </w:style>
  <w:style w:type="paragraph" w:customStyle="1" w:styleId="OPCParaBase">
    <w:name w:val="OPCParaBase"/>
    <w:qFormat/>
    <w:rsid w:val="00821C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21C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21C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21C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21C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21C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21C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21C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21C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21C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21C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21C04"/>
  </w:style>
  <w:style w:type="paragraph" w:customStyle="1" w:styleId="Blocks">
    <w:name w:val="Blocks"/>
    <w:aliases w:val="bb"/>
    <w:basedOn w:val="OPCParaBase"/>
    <w:qFormat/>
    <w:rsid w:val="00821C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21C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21C04"/>
    <w:rPr>
      <w:i/>
    </w:rPr>
  </w:style>
  <w:style w:type="paragraph" w:customStyle="1" w:styleId="BoxList">
    <w:name w:val="BoxList"/>
    <w:aliases w:val="bl"/>
    <w:basedOn w:val="BoxText"/>
    <w:qFormat/>
    <w:rsid w:val="00821C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21C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21C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21C0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21C04"/>
  </w:style>
  <w:style w:type="character" w:customStyle="1" w:styleId="CharAmPartText">
    <w:name w:val="CharAmPartText"/>
    <w:basedOn w:val="OPCCharBase"/>
    <w:uiPriority w:val="1"/>
    <w:qFormat/>
    <w:rsid w:val="00821C04"/>
  </w:style>
  <w:style w:type="character" w:customStyle="1" w:styleId="CharAmSchNo">
    <w:name w:val="CharAmSchNo"/>
    <w:basedOn w:val="OPCCharBase"/>
    <w:uiPriority w:val="1"/>
    <w:qFormat/>
    <w:rsid w:val="00821C04"/>
  </w:style>
  <w:style w:type="character" w:customStyle="1" w:styleId="CharAmSchText">
    <w:name w:val="CharAmSchText"/>
    <w:basedOn w:val="OPCCharBase"/>
    <w:uiPriority w:val="1"/>
    <w:qFormat/>
    <w:rsid w:val="00821C04"/>
  </w:style>
  <w:style w:type="character" w:customStyle="1" w:styleId="CharBoldItalic">
    <w:name w:val="CharBoldItalic"/>
    <w:basedOn w:val="OPCCharBase"/>
    <w:uiPriority w:val="1"/>
    <w:qFormat/>
    <w:rsid w:val="00821C04"/>
    <w:rPr>
      <w:b/>
      <w:i/>
    </w:rPr>
  </w:style>
  <w:style w:type="character" w:customStyle="1" w:styleId="CharChapNo">
    <w:name w:val="CharChapNo"/>
    <w:basedOn w:val="OPCCharBase"/>
    <w:qFormat/>
    <w:rsid w:val="00821C04"/>
  </w:style>
  <w:style w:type="character" w:customStyle="1" w:styleId="CharChapText">
    <w:name w:val="CharChapText"/>
    <w:basedOn w:val="OPCCharBase"/>
    <w:qFormat/>
    <w:rsid w:val="00821C04"/>
  </w:style>
  <w:style w:type="character" w:customStyle="1" w:styleId="CharDivNo">
    <w:name w:val="CharDivNo"/>
    <w:basedOn w:val="OPCCharBase"/>
    <w:qFormat/>
    <w:rsid w:val="00821C04"/>
  </w:style>
  <w:style w:type="character" w:customStyle="1" w:styleId="CharDivText">
    <w:name w:val="CharDivText"/>
    <w:basedOn w:val="OPCCharBase"/>
    <w:qFormat/>
    <w:rsid w:val="00821C04"/>
  </w:style>
  <w:style w:type="character" w:customStyle="1" w:styleId="CharItalic">
    <w:name w:val="CharItalic"/>
    <w:basedOn w:val="OPCCharBase"/>
    <w:uiPriority w:val="1"/>
    <w:qFormat/>
    <w:rsid w:val="00821C04"/>
    <w:rPr>
      <w:i/>
    </w:rPr>
  </w:style>
  <w:style w:type="character" w:customStyle="1" w:styleId="CharPartNo">
    <w:name w:val="CharPartNo"/>
    <w:basedOn w:val="OPCCharBase"/>
    <w:qFormat/>
    <w:rsid w:val="00821C04"/>
  </w:style>
  <w:style w:type="character" w:customStyle="1" w:styleId="CharPartText">
    <w:name w:val="CharPartText"/>
    <w:basedOn w:val="OPCCharBase"/>
    <w:qFormat/>
    <w:rsid w:val="00821C04"/>
  </w:style>
  <w:style w:type="character" w:customStyle="1" w:styleId="CharSectno">
    <w:name w:val="CharSectno"/>
    <w:basedOn w:val="OPCCharBase"/>
    <w:qFormat/>
    <w:rsid w:val="00821C04"/>
  </w:style>
  <w:style w:type="character" w:customStyle="1" w:styleId="CharSubdNo">
    <w:name w:val="CharSubdNo"/>
    <w:basedOn w:val="OPCCharBase"/>
    <w:uiPriority w:val="1"/>
    <w:qFormat/>
    <w:rsid w:val="00821C04"/>
  </w:style>
  <w:style w:type="character" w:customStyle="1" w:styleId="CharSubdText">
    <w:name w:val="CharSubdText"/>
    <w:basedOn w:val="OPCCharBase"/>
    <w:uiPriority w:val="1"/>
    <w:qFormat/>
    <w:rsid w:val="00821C04"/>
  </w:style>
  <w:style w:type="paragraph" w:customStyle="1" w:styleId="CTA--">
    <w:name w:val="CTA --"/>
    <w:basedOn w:val="OPCParaBase"/>
    <w:next w:val="Normal"/>
    <w:rsid w:val="00821C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21C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21C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21C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21C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21C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21C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21C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21C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21C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21C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21C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21C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21C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21C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21C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21C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21C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21C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21C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21C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21C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21C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21C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21C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1C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21C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21C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21C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21C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21C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821C04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21C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21C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21C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21C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21C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21C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21C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21C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21C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21C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21C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21C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21C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21C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21C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21C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21C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21C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21C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21C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21C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21C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21C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21C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21C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21C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21C0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21C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21C0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21C0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21C0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21C0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21C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21C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21C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21C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21C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21C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21C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21C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21C04"/>
    <w:rPr>
      <w:sz w:val="16"/>
    </w:rPr>
  </w:style>
  <w:style w:type="table" w:customStyle="1" w:styleId="CFlag">
    <w:name w:val="CFlag"/>
    <w:basedOn w:val="TableNormal"/>
    <w:uiPriority w:val="99"/>
    <w:rsid w:val="00821C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21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21C0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D070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21C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21C0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21C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21C04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21C04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21C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21C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21C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21C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21C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21C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21C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21C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21C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21C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21C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21C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21C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21C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21C04"/>
  </w:style>
  <w:style w:type="character" w:customStyle="1" w:styleId="CharSubPartNoCASA">
    <w:name w:val="CharSubPartNo(CASA)"/>
    <w:basedOn w:val="OPCCharBase"/>
    <w:uiPriority w:val="1"/>
    <w:rsid w:val="00821C04"/>
  </w:style>
  <w:style w:type="paragraph" w:customStyle="1" w:styleId="ENoteTTIndentHeadingSub">
    <w:name w:val="ENoteTTIndentHeadingSub"/>
    <w:aliases w:val="enTTHis"/>
    <w:basedOn w:val="OPCParaBase"/>
    <w:rsid w:val="00821C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21C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21C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21C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5123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21C04"/>
    <w:rPr>
      <w:sz w:val="22"/>
    </w:rPr>
  </w:style>
  <w:style w:type="paragraph" w:customStyle="1" w:styleId="SOTextNote">
    <w:name w:val="SO TextNote"/>
    <w:aliases w:val="sont"/>
    <w:basedOn w:val="SOText"/>
    <w:qFormat/>
    <w:rsid w:val="00821C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21C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21C04"/>
    <w:rPr>
      <w:sz w:val="22"/>
    </w:rPr>
  </w:style>
  <w:style w:type="paragraph" w:customStyle="1" w:styleId="FileName">
    <w:name w:val="FileName"/>
    <w:basedOn w:val="Normal"/>
    <w:rsid w:val="00821C04"/>
  </w:style>
  <w:style w:type="paragraph" w:customStyle="1" w:styleId="TableHeading">
    <w:name w:val="TableHeading"/>
    <w:aliases w:val="th"/>
    <w:basedOn w:val="OPCParaBase"/>
    <w:next w:val="Tabletext"/>
    <w:rsid w:val="00821C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21C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21C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21C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21C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21C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21C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21C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21C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21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21C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21C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5B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5B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5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B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B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835B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35B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B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B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BB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E807-12FD-4350-A4B2-04DAA62F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12</Pages>
  <Words>2782</Words>
  <Characters>14246</Characters>
  <Application>Microsoft Office Word</Application>
  <DocSecurity>0</DocSecurity>
  <PresentationFormat/>
  <Lines>407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2016-03-31T00:36:00Z</cp:lastPrinted>
  <dcterms:created xsi:type="dcterms:W3CDTF">2018-04-10T05:44:00Z</dcterms:created>
  <dcterms:modified xsi:type="dcterms:W3CDTF">2018-04-10T05:44:00Z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Biosecurity Charges Imposition (General) Regulation 2016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05 May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OPC61093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Biosecurity Charges Imposition (General) Act 2015</vt:lpwstr>
  </property>
  <property fmtid="{D5CDD505-2E9C-101B-9397-08002B2CF9AE}" pid="15" name="NonLegInst">
    <vt:lpwstr>0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May 2016</vt:lpwstr>
  </property>
</Properties>
</file>