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BB" w:rsidRDefault="007548BB" w:rsidP="007548BB">
      <w:pPr>
        <w:jc w:val="center"/>
        <w:rPr>
          <w:b/>
          <w:u w:val="single"/>
        </w:rPr>
      </w:pPr>
      <w:r w:rsidRPr="00134023">
        <w:rPr>
          <w:b/>
          <w:u w:val="single"/>
        </w:rPr>
        <w:t>EXPLANATORY STATEMENT</w:t>
      </w:r>
    </w:p>
    <w:p w:rsidR="007548BB" w:rsidRPr="00134023" w:rsidRDefault="007548BB" w:rsidP="007548BB">
      <w:pPr>
        <w:jc w:val="center"/>
        <w:rPr>
          <w:b/>
          <w:u w:val="single"/>
        </w:rPr>
      </w:pPr>
    </w:p>
    <w:p w:rsidR="007548BB" w:rsidRDefault="007548BB" w:rsidP="007548BB">
      <w:pPr>
        <w:jc w:val="center"/>
        <w:rPr>
          <w:b/>
          <w:u w:val="single"/>
        </w:rPr>
      </w:pPr>
      <w:r w:rsidRPr="00134023">
        <w:rPr>
          <w:b/>
          <w:u w:val="single"/>
        </w:rPr>
        <w:t xml:space="preserve">Ordinance No. </w:t>
      </w:r>
      <w:r w:rsidR="00AB04DB">
        <w:rPr>
          <w:b/>
          <w:u w:val="single"/>
        </w:rPr>
        <w:t>11</w:t>
      </w:r>
      <w:r w:rsidRPr="00134023">
        <w:rPr>
          <w:b/>
          <w:u w:val="single"/>
        </w:rPr>
        <w:t>, 2016</w:t>
      </w:r>
    </w:p>
    <w:p w:rsidR="007548BB" w:rsidRPr="00134023" w:rsidRDefault="007548BB" w:rsidP="007548BB">
      <w:pPr>
        <w:jc w:val="center"/>
        <w:rPr>
          <w:b/>
          <w:u w:val="single"/>
        </w:rPr>
      </w:pPr>
    </w:p>
    <w:p w:rsidR="007548BB" w:rsidRDefault="007548BB" w:rsidP="007548BB">
      <w:pPr>
        <w:jc w:val="center"/>
      </w:pPr>
      <w:r w:rsidRPr="00134023">
        <w:t>Issued by the authority of the Minister for Territories</w:t>
      </w:r>
      <w:r>
        <w:t>,</w:t>
      </w:r>
      <w:r w:rsidRPr="00134023">
        <w:t xml:space="preserve"> Local Government </w:t>
      </w:r>
      <w:r>
        <w:t>and Major Projects</w:t>
      </w:r>
    </w:p>
    <w:p w:rsidR="007548BB" w:rsidRPr="00134023" w:rsidRDefault="007548BB" w:rsidP="007548BB">
      <w:pPr>
        <w:jc w:val="center"/>
      </w:pPr>
    </w:p>
    <w:p w:rsidR="007548BB" w:rsidRDefault="007548BB" w:rsidP="007548BB">
      <w:pPr>
        <w:jc w:val="center"/>
        <w:rPr>
          <w:i/>
        </w:rPr>
      </w:pPr>
      <w:r w:rsidRPr="00134023">
        <w:rPr>
          <w:i/>
        </w:rPr>
        <w:t>Norfolk Island Act 1979</w:t>
      </w:r>
    </w:p>
    <w:p w:rsidR="007548BB" w:rsidRPr="00134023" w:rsidRDefault="007548BB" w:rsidP="007548BB">
      <w:pPr>
        <w:jc w:val="center"/>
        <w:rPr>
          <w:i/>
        </w:rPr>
      </w:pPr>
    </w:p>
    <w:p w:rsidR="007548BB" w:rsidRPr="00134023" w:rsidRDefault="007548BB" w:rsidP="007548BB">
      <w:pPr>
        <w:jc w:val="center"/>
        <w:rPr>
          <w:i/>
        </w:rPr>
      </w:pPr>
      <w:bookmarkStart w:id="0" w:name="_GoBack"/>
      <w:r w:rsidRPr="00134023">
        <w:rPr>
          <w:i/>
          <w:noProof/>
        </w:rPr>
        <w:t xml:space="preserve">Norfolk Island </w:t>
      </w:r>
      <w:r>
        <w:rPr>
          <w:i/>
          <w:noProof/>
        </w:rPr>
        <w:t>Regional Council Declaration</w:t>
      </w:r>
      <w:r w:rsidRPr="00134023">
        <w:rPr>
          <w:i/>
          <w:noProof/>
        </w:rPr>
        <w:t xml:space="preserve"> Ordinance 2016</w:t>
      </w:r>
      <w:bookmarkEnd w:id="0"/>
    </w:p>
    <w:p w:rsidR="00307F0C" w:rsidRPr="00772980" w:rsidRDefault="00307F0C" w:rsidP="00307F0C">
      <w:pPr>
        <w:tabs>
          <w:tab w:val="right" w:pos="9072"/>
        </w:tabs>
        <w:ind w:right="91"/>
      </w:pPr>
    </w:p>
    <w:p w:rsidR="007548BB" w:rsidRPr="00134023" w:rsidRDefault="007548BB" w:rsidP="007548BB">
      <w:pPr>
        <w:rPr>
          <w:i/>
          <w:u w:val="single"/>
        </w:rPr>
      </w:pPr>
      <w:r w:rsidRPr="00134023">
        <w:rPr>
          <w:i/>
          <w:u w:val="single"/>
        </w:rPr>
        <w:t>Authority</w:t>
      </w:r>
    </w:p>
    <w:p w:rsidR="007548BB" w:rsidRDefault="007548BB" w:rsidP="007548BB">
      <w:pPr>
        <w:tabs>
          <w:tab w:val="left" w:pos="1701"/>
          <w:tab w:val="right" w:pos="9072"/>
        </w:tabs>
        <w:spacing w:line="240" w:lineRule="exact"/>
        <w:ind w:right="91"/>
      </w:pPr>
    </w:p>
    <w:p w:rsidR="007548BB" w:rsidRPr="00134023" w:rsidRDefault="007548BB" w:rsidP="007548BB">
      <w:pPr>
        <w:autoSpaceDE w:val="0"/>
        <w:autoSpaceDN w:val="0"/>
        <w:adjustRightInd w:val="0"/>
        <w:spacing w:after="120"/>
        <w:rPr>
          <w:lang w:val="en-US"/>
        </w:rPr>
      </w:pPr>
      <w:r w:rsidRPr="00134023">
        <w:t xml:space="preserve">The </w:t>
      </w:r>
      <w:r w:rsidRPr="00134023">
        <w:rPr>
          <w:i/>
          <w:iCs/>
        </w:rPr>
        <w:t>Norfolk Island Act 1979</w:t>
      </w:r>
      <w:r w:rsidRPr="00134023">
        <w:t xml:space="preserve"> (the Act) provides for the Government of the Territory of Norfolk Island.  It defines the roles, responsibilities and powers of the Governor</w:t>
      </w:r>
      <w:r w:rsidRPr="00134023">
        <w:noBreakHyphen/>
        <w:t xml:space="preserve">General, the responsible Commonwealth Minister, the Administrator of Norfolk Island, and the Executive Director of Norfolk Island.  </w:t>
      </w:r>
    </w:p>
    <w:p w:rsidR="007548BB" w:rsidRPr="00134023" w:rsidRDefault="007548BB" w:rsidP="007548BB">
      <w:pPr>
        <w:rPr>
          <w:i/>
          <w:u w:val="single"/>
        </w:rPr>
      </w:pPr>
      <w:r w:rsidRPr="00134023">
        <w:t xml:space="preserve">Section 19A of the </w:t>
      </w:r>
      <w:r>
        <w:rPr>
          <w:iCs/>
        </w:rPr>
        <w:t>Act</w:t>
      </w:r>
      <w:r w:rsidRPr="00134023">
        <w:t xml:space="preserve"> provides that the Governor-General may make Ordinances for the peace, order and good government of the Territory of Norfolk Island.</w:t>
      </w:r>
    </w:p>
    <w:p w:rsidR="007548BB" w:rsidRDefault="007548BB" w:rsidP="007548BB">
      <w:pPr>
        <w:rPr>
          <w:noProof/>
        </w:rPr>
      </w:pPr>
    </w:p>
    <w:p w:rsidR="007548BB" w:rsidRPr="00134023" w:rsidRDefault="007548BB" w:rsidP="007548BB">
      <w:pPr>
        <w:rPr>
          <w:i/>
        </w:rPr>
      </w:pPr>
      <w:r w:rsidRPr="00134023">
        <w:rPr>
          <w:noProof/>
        </w:rPr>
        <w:t xml:space="preserve">The </w:t>
      </w:r>
      <w:r w:rsidRPr="00134023">
        <w:rPr>
          <w:i/>
          <w:noProof/>
        </w:rPr>
        <w:t xml:space="preserve">Norfolk Island </w:t>
      </w:r>
      <w:r>
        <w:rPr>
          <w:i/>
          <w:noProof/>
        </w:rPr>
        <w:t>Regional Council Declaration</w:t>
      </w:r>
      <w:r w:rsidRPr="00134023">
        <w:rPr>
          <w:i/>
          <w:noProof/>
        </w:rPr>
        <w:t xml:space="preserve"> </w:t>
      </w:r>
      <w:r>
        <w:rPr>
          <w:i/>
          <w:noProof/>
        </w:rPr>
        <w:t xml:space="preserve">Ordinance </w:t>
      </w:r>
      <w:r w:rsidRPr="00134023">
        <w:rPr>
          <w:i/>
          <w:noProof/>
        </w:rPr>
        <w:t>2016</w:t>
      </w:r>
      <w:r w:rsidRPr="00134023">
        <w:t xml:space="preserve"> is made under section 19A of the </w:t>
      </w:r>
      <w:r>
        <w:t>Act</w:t>
      </w:r>
      <w:r w:rsidRPr="00134023">
        <w:rPr>
          <w:i/>
        </w:rPr>
        <w:t>.</w:t>
      </w:r>
    </w:p>
    <w:p w:rsidR="007548BB" w:rsidRDefault="007548BB" w:rsidP="007548BB">
      <w:pPr>
        <w:rPr>
          <w:i/>
          <w:u w:val="single"/>
        </w:rPr>
      </w:pPr>
    </w:p>
    <w:p w:rsidR="007548BB" w:rsidRPr="00134023" w:rsidRDefault="007548BB" w:rsidP="007548BB">
      <w:pPr>
        <w:rPr>
          <w:i/>
          <w:u w:val="single"/>
        </w:rPr>
      </w:pPr>
      <w:r w:rsidRPr="00134023">
        <w:rPr>
          <w:i/>
          <w:u w:val="single"/>
        </w:rPr>
        <w:t>Purpose and operation</w:t>
      </w:r>
    </w:p>
    <w:p w:rsidR="00425B81" w:rsidRDefault="00425B81" w:rsidP="00425B81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accordance with the </w:t>
      </w:r>
      <w:r>
        <w:rPr>
          <w:rFonts w:ascii="Times New Roman" w:hAnsi="Times New Roman" w:cs="Times New Roman"/>
          <w:i/>
          <w:sz w:val="24"/>
        </w:rPr>
        <w:t xml:space="preserve">Norfolk Island Legislation Amendment Act 2015 </w:t>
      </w:r>
      <w:r>
        <w:rPr>
          <w:rFonts w:ascii="Times New Roman" w:hAnsi="Times New Roman" w:cs="Times New Roman"/>
          <w:sz w:val="24"/>
        </w:rPr>
        <w:t>(the </w:t>
      </w:r>
      <w:proofErr w:type="spellStart"/>
      <w:r>
        <w:rPr>
          <w:rFonts w:ascii="Times New Roman" w:hAnsi="Times New Roman" w:cs="Times New Roman"/>
          <w:sz w:val="24"/>
        </w:rPr>
        <w:t>NILA</w:t>
      </w:r>
      <w:proofErr w:type="spellEnd"/>
      <w:r>
        <w:rPr>
          <w:rFonts w:ascii="Times New Roman" w:hAnsi="Times New Roman" w:cs="Times New Roman"/>
          <w:sz w:val="24"/>
        </w:rPr>
        <w:t xml:space="preserve"> Act), on 1</w:t>
      </w:r>
      <w:r w:rsidR="006871F9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July</w:t>
      </w:r>
      <w:r w:rsidR="006871F9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2016 the Administration of Norfolk Island ceases to exist, and its</w:t>
      </w:r>
      <w:r w:rsidRPr="000776CC">
        <w:rPr>
          <w:rFonts w:ascii="Times New Roman" w:hAnsi="Times New Roman" w:cs="Times New Roman"/>
          <w:sz w:val="24"/>
        </w:rPr>
        <w:t xml:space="preserve"> assets, liabilities, employees etc. </w:t>
      </w:r>
      <w:r>
        <w:rPr>
          <w:rFonts w:ascii="Times New Roman" w:hAnsi="Times New Roman" w:cs="Times New Roman"/>
          <w:sz w:val="24"/>
        </w:rPr>
        <w:t xml:space="preserve">will be transferred, under Part 2 of Schedule 2 of the </w:t>
      </w:r>
      <w:proofErr w:type="spellStart"/>
      <w:r>
        <w:rPr>
          <w:rFonts w:ascii="Times New Roman" w:hAnsi="Times New Roman" w:cs="Times New Roman"/>
          <w:sz w:val="24"/>
        </w:rPr>
        <w:t>NILA</w:t>
      </w:r>
      <w:proofErr w:type="spellEnd"/>
      <w:r>
        <w:rPr>
          <w:rFonts w:ascii="Times New Roman" w:hAnsi="Times New Roman" w:cs="Times New Roman"/>
          <w:sz w:val="24"/>
        </w:rPr>
        <w:t xml:space="preserve"> Act, </w:t>
      </w:r>
      <w:r w:rsidRPr="000776CC">
        <w:rPr>
          <w:rFonts w:ascii="Times New Roman" w:hAnsi="Times New Roman" w:cs="Times New Roman"/>
          <w:sz w:val="24"/>
        </w:rPr>
        <w:t xml:space="preserve">to the Norfolk Island Regional Council </w:t>
      </w:r>
      <w:r>
        <w:rPr>
          <w:rFonts w:ascii="Times New Roman" w:hAnsi="Times New Roman" w:cs="Times New Roman"/>
          <w:sz w:val="24"/>
        </w:rPr>
        <w:t>(</w:t>
      </w:r>
      <w:r w:rsidR="006871F9">
        <w:rPr>
          <w:rFonts w:ascii="Times New Roman" w:hAnsi="Times New Roman" w:cs="Times New Roman"/>
          <w:sz w:val="24"/>
        </w:rPr>
        <w:t>the Regional Council</w:t>
      </w:r>
      <w:r>
        <w:rPr>
          <w:rFonts w:ascii="Times New Roman" w:hAnsi="Times New Roman" w:cs="Times New Roman"/>
          <w:sz w:val="24"/>
        </w:rPr>
        <w:t>) or the Commonwealth, as the case may be</w:t>
      </w:r>
      <w:r w:rsidRPr="000776C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The Act defines ‘Norfolk Island Regional Council’ to mean a body established by or under a law in force in Norfolk Island, and declared by a section 19A Ordinance to be</w:t>
      </w:r>
      <w:r w:rsidR="006871F9">
        <w:rPr>
          <w:rFonts w:ascii="Times New Roman" w:hAnsi="Times New Roman" w:cs="Times New Roman"/>
          <w:sz w:val="24"/>
        </w:rPr>
        <w:t xml:space="preserve"> the Regional Council</w:t>
      </w:r>
      <w:r>
        <w:rPr>
          <w:rFonts w:ascii="Times New Roman" w:hAnsi="Times New Roman" w:cs="Times New Roman"/>
          <w:sz w:val="24"/>
        </w:rPr>
        <w:t xml:space="preserve">. </w:t>
      </w:r>
    </w:p>
    <w:p w:rsidR="00425B81" w:rsidRDefault="00425B81" w:rsidP="00425B81">
      <w:pPr>
        <w:pStyle w:val="NumberLevel1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1 July 2016, the </w:t>
      </w:r>
      <w:r>
        <w:rPr>
          <w:rFonts w:ascii="Times New Roman" w:hAnsi="Times New Roman" w:cs="Times New Roman"/>
          <w:i/>
          <w:sz w:val="24"/>
        </w:rPr>
        <w:t xml:space="preserve">Local Government Act 1993 </w:t>
      </w:r>
      <w:r>
        <w:rPr>
          <w:rFonts w:ascii="Times New Roman" w:hAnsi="Times New Roman" w:cs="Times New Roman"/>
          <w:sz w:val="24"/>
        </w:rPr>
        <w:t xml:space="preserve">(NSW) </w:t>
      </w:r>
      <w:r w:rsidRPr="0020603C">
        <w:rPr>
          <w:rFonts w:ascii="Times New Roman" w:hAnsi="Times New Roman" w:cs="Times New Roman"/>
          <w:sz w:val="24"/>
        </w:rPr>
        <w:t>will</w:t>
      </w:r>
      <w:r>
        <w:rPr>
          <w:rFonts w:ascii="Times New Roman" w:hAnsi="Times New Roman" w:cs="Times New Roman"/>
          <w:sz w:val="24"/>
        </w:rPr>
        <w:t xml:space="preserve"> become a law in force in Norfolk Island. That Act, in its application to Norfolk Island, will be amended by the proposed </w:t>
      </w:r>
      <w:r>
        <w:rPr>
          <w:rFonts w:ascii="Times New Roman" w:hAnsi="Times New Roman" w:cs="Times New Roman"/>
          <w:i/>
          <w:sz w:val="24"/>
        </w:rPr>
        <w:t xml:space="preserve">Norfolk Island Applied Laws Ordinance </w:t>
      </w:r>
      <w:r w:rsidRPr="0020603C">
        <w:rPr>
          <w:rFonts w:ascii="Times New Roman" w:hAnsi="Times New Roman" w:cs="Times New Roman"/>
          <w:sz w:val="24"/>
        </w:rPr>
        <w:t>2016</w:t>
      </w:r>
      <w:r>
        <w:rPr>
          <w:rFonts w:ascii="Times New Roman" w:hAnsi="Times New Roman" w:cs="Times New Roman"/>
          <w:sz w:val="24"/>
        </w:rPr>
        <w:t xml:space="preserve"> and constitute a council for Norfolk</w:t>
      </w:r>
      <w:r w:rsidR="006871F9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Island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This proposed Ordinance would declare that council to be </w:t>
      </w:r>
      <w:r w:rsidR="006871F9">
        <w:rPr>
          <w:rFonts w:ascii="Times New Roman" w:hAnsi="Times New Roman" w:cs="Times New Roman"/>
          <w:sz w:val="24"/>
        </w:rPr>
        <w:t>the Regional Council</w:t>
      </w:r>
      <w:r>
        <w:rPr>
          <w:rFonts w:ascii="Times New Roman" w:hAnsi="Times New Roman" w:cs="Times New Roman"/>
          <w:sz w:val="24"/>
        </w:rPr>
        <w:t xml:space="preserve">. </w:t>
      </w:r>
    </w:p>
    <w:p w:rsidR="00425B81" w:rsidRDefault="00425B81" w:rsidP="00425B81">
      <w:pPr>
        <w:pStyle w:val="NumberLevel1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proposed Ordinance also provides that those persons elected as councillors in the election provided for under the </w:t>
      </w:r>
      <w:r w:rsidRPr="00AC74EB">
        <w:rPr>
          <w:rFonts w:ascii="Times New Roman" w:hAnsi="Times New Roman" w:cs="Times New Roman"/>
          <w:i/>
          <w:sz w:val="24"/>
        </w:rPr>
        <w:t>Norfolk Island Regional Council Preparatory Election Ordinance 2016</w:t>
      </w:r>
      <w:r>
        <w:rPr>
          <w:rFonts w:ascii="Times New Roman" w:hAnsi="Times New Roman" w:cs="Times New Roman"/>
          <w:sz w:val="24"/>
        </w:rPr>
        <w:t xml:space="preserve"> will become councillors for </w:t>
      </w:r>
      <w:r w:rsidR="006871F9">
        <w:rPr>
          <w:rFonts w:ascii="Times New Roman" w:hAnsi="Times New Roman" w:cs="Times New Roman"/>
          <w:sz w:val="24"/>
        </w:rPr>
        <w:t>the Regional Council</w:t>
      </w:r>
      <w:r>
        <w:rPr>
          <w:rFonts w:ascii="Times New Roman" w:hAnsi="Times New Roman" w:cs="Times New Roman"/>
          <w:sz w:val="24"/>
        </w:rPr>
        <w:t xml:space="preserve"> upon its establishment under the </w:t>
      </w:r>
      <w:r>
        <w:rPr>
          <w:rFonts w:ascii="Times New Roman" w:hAnsi="Times New Roman" w:cs="Times New Roman"/>
          <w:i/>
          <w:sz w:val="24"/>
        </w:rPr>
        <w:t xml:space="preserve">Local Government Act 1993 </w:t>
      </w:r>
      <w:r>
        <w:rPr>
          <w:rFonts w:ascii="Times New Roman" w:hAnsi="Times New Roman" w:cs="Times New Roman"/>
          <w:sz w:val="24"/>
        </w:rPr>
        <w:t xml:space="preserve">(NSW)(NI).  </w:t>
      </w:r>
    </w:p>
    <w:p w:rsidR="007548BB" w:rsidRPr="00134023" w:rsidRDefault="007548BB" w:rsidP="007548BB">
      <w:pPr>
        <w:spacing w:before="240"/>
        <w:rPr>
          <w:i/>
          <w:u w:val="single"/>
        </w:rPr>
      </w:pPr>
      <w:r w:rsidRPr="00134023">
        <w:rPr>
          <w:i/>
          <w:u w:val="single"/>
        </w:rPr>
        <w:t>Consultation</w:t>
      </w:r>
    </w:p>
    <w:p w:rsidR="005C2F2D" w:rsidRPr="00AC74EB" w:rsidRDefault="005C2F2D" w:rsidP="00144538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the Ordinance </w:t>
      </w:r>
      <w:r w:rsidR="007548BB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machinery in nature, consultation was not undertaken. </w:t>
      </w:r>
    </w:p>
    <w:p w:rsidR="006871F9" w:rsidRDefault="006871F9" w:rsidP="00772980">
      <w:pPr>
        <w:tabs>
          <w:tab w:val="left" w:pos="1701"/>
          <w:tab w:val="right" w:pos="9072"/>
        </w:tabs>
        <w:spacing w:before="120" w:after="120" w:line="240" w:lineRule="exact"/>
        <w:ind w:right="91"/>
      </w:pPr>
    </w:p>
    <w:p w:rsidR="00A7659E" w:rsidRPr="00772980" w:rsidRDefault="00A7659E" w:rsidP="00772980">
      <w:pPr>
        <w:tabs>
          <w:tab w:val="left" w:pos="1701"/>
          <w:tab w:val="right" w:pos="9072"/>
        </w:tabs>
        <w:spacing w:before="120" w:after="120" w:line="240" w:lineRule="exact"/>
        <w:ind w:right="91"/>
      </w:pPr>
      <w:r w:rsidRPr="00772980">
        <w:t xml:space="preserve">Details of the proposed Ordinance are set out in the </w:t>
      </w:r>
      <w:r w:rsidRPr="007548BB">
        <w:rPr>
          <w:u w:val="single"/>
        </w:rPr>
        <w:t>Attachment</w:t>
      </w:r>
      <w:r w:rsidRPr="00772980">
        <w:t>.</w:t>
      </w:r>
    </w:p>
    <w:p w:rsidR="00A7659E" w:rsidRPr="00772980" w:rsidRDefault="00A7659E" w:rsidP="00772980">
      <w:pPr>
        <w:tabs>
          <w:tab w:val="left" w:pos="1701"/>
          <w:tab w:val="right" w:pos="9072"/>
        </w:tabs>
        <w:spacing w:before="120" w:after="120" w:line="240" w:lineRule="exact"/>
        <w:ind w:right="91"/>
      </w:pPr>
      <w:r w:rsidRPr="00772980">
        <w:t xml:space="preserve">The Ordinance </w:t>
      </w:r>
      <w:r w:rsidR="007548BB">
        <w:t>is</w:t>
      </w:r>
      <w:r w:rsidRPr="00772980">
        <w:t xml:space="preserve"> a legislative instrument for the purposes of the </w:t>
      </w:r>
      <w:r w:rsidR="00B72B1C">
        <w:rPr>
          <w:i/>
        </w:rPr>
        <w:t>Legislation</w:t>
      </w:r>
      <w:r w:rsidRPr="00772980">
        <w:rPr>
          <w:i/>
        </w:rPr>
        <w:t xml:space="preserve"> Act 2003</w:t>
      </w:r>
      <w:r w:rsidRPr="00772980">
        <w:t>.</w:t>
      </w:r>
    </w:p>
    <w:p w:rsidR="00307F0C" w:rsidRPr="00772980" w:rsidRDefault="00307F0C" w:rsidP="007548BB">
      <w:pPr>
        <w:tabs>
          <w:tab w:val="left" w:pos="1701"/>
          <w:tab w:val="right" w:pos="9072"/>
        </w:tabs>
        <w:spacing w:before="120" w:after="120" w:line="240" w:lineRule="exact"/>
        <w:ind w:right="91"/>
      </w:pPr>
      <w:r w:rsidRPr="00772980">
        <w:t>The Ordinance commence</w:t>
      </w:r>
      <w:r w:rsidR="007548BB">
        <w:t>s</w:t>
      </w:r>
      <w:r w:rsidRPr="00772980">
        <w:t xml:space="preserve"> </w:t>
      </w:r>
      <w:r w:rsidR="00B72B1C">
        <w:t>on 1 July 2016</w:t>
      </w:r>
      <w:r w:rsidR="003B48F9">
        <w:t>.</w:t>
      </w:r>
    </w:p>
    <w:p w:rsidR="007548BB" w:rsidRDefault="007548BB" w:rsidP="00425B81">
      <w:pPr>
        <w:keepNext/>
        <w:rPr>
          <w:i/>
          <w:u w:val="single"/>
        </w:rPr>
      </w:pPr>
      <w:r w:rsidRPr="00134023">
        <w:rPr>
          <w:i/>
          <w:u w:val="single"/>
        </w:rPr>
        <w:lastRenderedPageBreak/>
        <w:t>Statement of compatibility with human rights</w:t>
      </w:r>
    </w:p>
    <w:p w:rsidR="007548BB" w:rsidRPr="00134023" w:rsidRDefault="007548BB" w:rsidP="00425B81">
      <w:pPr>
        <w:keepNext/>
        <w:rPr>
          <w:i/>
          <w:u w:val="single"/>
        </w:rPr>
      </w:pPr>
    </w:p>
    <w:p w:rsidR="007548BB" w:rsidRPr="00134023" w:rsidRDefault="007548BB" w:rsidP="007548BB">
      <w:r w:rsidRPr="00134023">
        <w:t xml:space="preserve">Prepared in accordance with Part 3 of the </w:t>
      </w:r>
      <w:r w:rsidRPr="00134023">
        <w:rPr>
          <w:i/>
        </w:rPr>
        <w:t>Human Rights (Parliamentary Scrutiny) Act 2011.</w:t>
      </w:r>
    </w:p>
    <w:p w:rsidR="007548BB" w:rsidRDefault="007548BB" w:rsidP="007548BB"/>
    <w:p w:rsidR="007548BB" w:rsidRPr="007548BB" w:rsidRDefault="007548BB" w:rsidP="007548BB">
      <w:pPr>
        <w:rPr>
          <w:i/>
        </w:rPr>
      </w:pPr>
      <w:r w:rsidRPr="00134023">
        <w:t xml:space="preserve">The instrument is compatible with the human rights and freedoms recognised or declared in the international instruments listed in section 3 of the </w:t>
      </w:r>
      <w:r w:rsidRPr="00134023">
        <w:rPr>
          <w:i/>
        </w:rPr>
        <w:t>Human Rights (Parliamentary Scrutiny) Act 2011</w:t>
      </w:r>
      <w:r w:rsidRPr="00134023">
        <w:t>.</w:t>
      </w:r>
    </w:p>
    <w:p w:rsidR="007548BB" w:rsidRPr="00134023" w:rsidRDefault="007548BB" w:rsidP="007548BB"/>
    <w:p w:rsidR="00307F0C" w:rsidRPr="00772980" w:rsidRDefault="007548BB" w:rsidP="007548BB">
      <w:pPr>
        <w:tabs>
          <w:tab w:val="left" w:pos="1701"/>
          <w:tab w:val="right" w:pos="9072"/>
        </w:tabs>
        <w:spacing w:line="240" w:lineRule="exact"/>
        <w:ind w:right="91"/>
      </w:pPr>
      <w:r w:rsidRPr="00134023">
        <w:t>The instrument does not engage any of the applicable rights or freedoms. It is compatible with human rights as it does not raise any human rights issues</w:t>
      </w:r>
      <w:r w:rsidR="0090708D">
        <w:t>.</w:t>
      </w:r>
    </w:p>
    <w:p w:rsidR="00307F0C" w:rsidRPr="00772980" w:rsidRDefault="00307F0C" w:rsidP="00307F0C">
      <w:pPr>
        <w:tabs>
          <w:tab w:val="left" w:pos="1701"/>
          <w:tab w:val="right" w:pos="9072"/>
        </w:tabs>
        <w:spacing w:line="240" w:lineRule="exact"/>
        <w:ind w:right="91"/>
      </w:pPr>
    </w:p>
    <w:p w:rsidR="00307F0C" w:rsidRPr="00772980" w:rsidRDefault="00307F0C" w:rsidP="00307F0C">
      <w:pPr>
        <w:spacing w:after="200" w:line="276" w:lineRule="auto"/>
      </w:pPr>
      <w:r w:rsidRPr="00772980">
        <w:br w:type="page"/>
      </w:r>
    </w:p>
    <w:p w:rsidR="00307F0C" w:rsidRPr="00083143" w:rsidRDefault="00083143" w:rsidP="00307F0C">
      <w:pPr>
        <w:tabs>
          <w:tab w:val="left" w:pos="1701"/>
          <w:tab w:val="right" w:pos="9072"/>
        </w:tabs>
        <w:spacing w:line="240" w:lineRule="exact"/>
        <w:ind w:right="91"/>
        <w:jc w:val="right"/>
        <w:rPr>
          <w:b/>
          <w:u w:val="single"/>
        </w:rPr>
      </w:pPr>
      <w:r w:rsidRPr="00083143">
        <w:rPr>
          <w:b/>
          <w:u w:val="single"/>
        </w:rPr>
        <w:lastRenderedPageBreak/>
        <w:t>ATTACHMENT</w:t>
      </w:r>
    </w:p>
    <w:p w:rsidR="00053D7B" w:rsidRPr="00053D7B" w:rsidRDefault="00053D7B" w:rsidP="00425B81">
      <w:pPr>
        <w:tabs>
          <w:tab w:val="left" w:pos="1701"/>
          <w:tab w:val="right" w:pos="9072"/>
        </w:tabs>
        <w:spacing w:before="120"/>
        <w:ind w:right="91"/>
        <w:rPr>
          <w:b/>
          <w:u w:val="single"/>
        </w:rPr>
      </w:pPr>
      <w:r w:rsidRPr="00053D7B">
        <w:rPr>
          <w:b/>
          <w:u w:val="single"/>
        </w:rPr>
        <w:t xml:space="preserve">Norfolk Island </w:t>
      </w:r>
      <w:r w:rsidR="00B72B1C">
        <w:rPr>
          <w:b/>
          <w:u w:val="single"/>
        </w:rPr>
        <w:t>Regional Council Declaration Ordinance</w:t>
      </w:r>
      <w:r w:rsidRPr="00053D7B">
        <w:rPr>
          <w:b/>
          <w:u w:val="single"/>
        </w:rPr>
        <w:t xml:space="preserve"> 2016</w:t>
      </w:r>
    </w:p>
    <w:p w:rsidR="00425B81" w:rsidRDefault="00425B81" w:rsidP="00425B81">
      <w:pPr>
        <w:tabs>
          <w:tab w:val="left" w:pos="1701"/>
          <w:tab w:val="right" w:pos="9072"/>
        </w:tabs>
        <w:ind w:right="91"/>
        <w:rPr>
          <w:b/>
        </w:rPr>
      </w:pPr>
    </w:p>
    <w:p w:rsidR="00425B81" w:rsidRPr="00025AEF" w:rsidRDefault="00425B81" w:rsidP="006871F9">
      <w:pPr>
        <w:tabs>
          <w:tab w:val="left" w:pos="1701"/>
          <w:tab w:val="right" w:pos="9072"/>
        </w:tabs>
        <w:spacing w:before="120" w:after="120"/>
        <w:ind w:right="91"/>
        <w:rPr>
          <w:b/>
        </w:rPr>
      </w:pPr>
      <w:r w:rsidRPr="00025AEF">
        <w:rPr>
          <w:b/>
        </w:rPr>
        <w:t>Section 1 – Name</w:t>
      </w:r>
    </w:p>
    <w:p w:rsidR="006871F9" w:rsidRDefault="00425B81" w:rsidP="006871F9">
      <w:pPr>
        <w:spacing w:before="120" w:after="120"/>
        <w:rPr>
          <w:i/>
        </w:rPr>
      </w:pPr>
      <w:r w:rsidRPr="00025AEF">
        <w:t xml:space="preserve">This section provides that the title of the Ordinance is the </w:t>
      </w:r>
      <w:r w:rsidRPr="0023677E">
        <w:rPr>
          <w:i/>
        </w:rPr>
        <w:t>Norfolk Island Regional Council Declaration Ordinance 2016</w:t>
      </w:r>
      <w:r w:rsidRPr="00025AEF">
        <w:rPr>
          <w:i/>
        </w:rPr>
        <w:t>.</w:t>
      </w:r>
    </w:p>
    <w:p w:rsidR="00425B81" w:rsidRPr="00025AEF" w:rsidRDefault="00425B81" w:rsidP="006871F9">
      <w:pPr>
        <w:spacing w:before="120" w:after="120"/>
        <w:rPr>
          <w:b/>
        </w:rPr>
      </w:pPr>
      <w:r w:rsidRPr="00025AEF">
        <w:rPr>
          <w:b/>
        </w:rPr>
        <w:t>Section 2 – Commencement</w:t>
      </w:r>
    </w:p>
    <w:p w:rsidR="006871F9" w:rsidRDefault="00425B81" w:rsidP="006871F9">
      <w:pPr>
        <w:spacing w:before="120" w:after="120"/>
      </w:pPr>
      <w:r w:rsidRPr="00025AEF">
        <w:t xml:space="preserve">This section provides that the whole of the Ordinance commences </w:t>
      </w:r>
      <w:r>
        <w:t>on 1 July 2016</w:t>
      </w:r>
      <w:r w:rsidRPr="00025AEF">
        <w:t>.</w:t>
      </w:r>
    </w:p>
    <w:p w:rsidR="00425B81" w:rsidRPr="00025AEF" w:rsidRDefault="00425B81" w:rsidP="006871F9">
      <w:pPr>
        <w:spacing w:before="120" w:after="120"/>
        <w:rPr>
          <w:b/>
        </w:rPr>
      </w:pPr>
      <w:r w:rsidRPr="00025AEF">
        <w:rPr>
          <w:b/>
        </w:rPr>
        <w:t>Section 3 – Authority</w:t>
      </w:r>
    </w:p>
    <w:p w:rsidR="006871F9" w:rsidRDefault="00425B81" w:rsidP="006871F9">
      <w:pPr>
        <w:spacing w:before="120" w:after="120"/>
      </w:pPr>
      <w:r w:rsidRPr="00025AEF">
        <w:t xml:space="preserve">This section provides that the Ordinance is made under section 19A of the </w:t>
      </w:r>
      <w:r w:rsidRPr="00025AEF">
        <w:rPr>
          <w:i/>
        </w:rPr>
        <w:t>Norfolk</w:t>
      </w:r>
      <w:r>
        <w:rPr>
          <w:i/>
        </w:rPr>
        <w:t> </w:t>
      </w:r>
      <w:r w:rsidRPr="00025AEF">
        <w:rPr>
          <w:i/>
        </w:rPr>
        <w:t>Island</w:t>
      </w:r>
      <w:r>
        <w:rPr>
          <w:i/>
        </w:rPr>
        <w:t> </w:t>
      </w:r>
      <w:r w:rsidRPr="00025AEF">
        <w:rPr>
          <w:i/>
        </w:rPr>
        <w:t>Act</w:t>
      </w:r>
      <w:r>
        <w:rPr>
          <w:i/>
        </w:rPr>
        <w:t> </w:t>
      </w:r>
      <w:r w:rsidRPr="00025AEF">
        <w:rPr>
          <w:i/>
        </w:rPr>
        <w:t>1979</w:t>
      </w:r>
      <w:r w:rsidRPr="00025AEF">
        <w:t>.</w:t>
      </w:r>
    </w:p>
    <w:p w:rsidR="00425B81" w:rsidRDefault="00425B81" w:rsidP="006871F9">
      <w:pPr>
        <w:spacing w:before="120" w:after="120"/>
        <w:rPr>
          <w:b/>
        </w:rPr>
      </w:pPr>
      <w:r w:rsidRPr="00EB35E1">
        <w:rPr>
          <w:b/>
        </w:rPr>
        <w:t xml:space="preserve">Section 4 – Definitions </w:t>
      </w:r>
    </w:p>
    <w:p w:rsidR="00425B81" w:rsidRDefault="00425B81" w:rsidP="006871F9">
      <w:pPr>
        <w:tabs>
          <w:tab w:val="left" w:pos="1701"/>
          <w:tab w:val="right" w:pos="9072"/>
        </w:tabs>
        <w:spacing w:before="120" w:after="120"/>
        <w:ind w:right="91"/>
        <w:rPr>
          <w:i/>
        </w:rPr>
      </w:pPr>
      <w:r>
        <w:t>This section defines ‘</w:t>
      </w:r>
      <w:proofErr w:type="spellStart"/>
      <w:r>
        <w:t>LGA</w:t>
      </w:r>
      <w:proofErr w:type="spellEnd"/>
      <w:r>
        <w:t xml:space="preserve">’ to mean the </w:t>
      </w:r>
      <w:r>
        <w:rPr>
          <w:i/>
        </w:rPr>
        <w:t xml:space="preserve">Local Government Act 1993 </w:t>
      </w:r>
      <w:r>
        <w:t xml:space="preserve">(NSW) as in force in the Territory. The note makes it clear that the </w:t>
      </w:r>
      <w:proofErr w:type="spellStart"/>
      <w:r>
        <w:t>LGA</w:t>
      </w:r>
      <w:proofErr w:type="spellEnd"/>
      <w:r>
        <w:t xml:space="preserve"> is in force under section 18A of the </w:t>
      </w:r>
      <w:r>
        <w:rPr>
          <w:i/>
        </w:rPr>
        <w:t>Norfolk Island Act 1979</w:t>
      </w:r>
      <w:r>
        <w:t xml:space="preserve"> (</w:t>
      </w:r>
      <w:proofErr w:type="spellStart"/>
      <w:r>
        <w:t>Cth</w:t>
      </w:r>
      <w:proofErr w:type="spellEnd"/>
      <w:r>
        <w:t xml:space="preserve">) and that amendments to the </w:t>
      </w:r>
      <w:proofErr w:type="spellStart"/>
      <w:r>
        <w:t>LGA</w:t>
      </w:r>
      <w:proofErr w:type="spellEnd"/>
      <w:r>
        <w:t xml:space="preserve"> are contained in the </w:t>
      </w:r>
      <w:r w:rsidRPr="00822560">
        <w:rPr>
          <w:i/>
        </w:rPr>
        <w:t>Norfolk Island Applied Law Ordinance 2016</w:t>
      </w:r>
      <w:r>
        <w:rPr>
          <w:i/>
        </w:rPr>
        <w:t xml:space="preserve">. </w:t>
      </w:r>
    </w:p>
    <w:p w:rsidR="00425B81" w:rsidRDefault="00425B81" w:rsidP="006871F9">
      <w:pPr>
        <w:tabs>
          <w:tab w:val="left" w:pos="1701"/>
          <w:tab w:val="right" w:pos="9072"/>
        </w:tabs>
        <w:spacing w:before="120" w:after="120"/>
        <w:ind w:right="91"/>
        <w:rPr>
          <w:b/>
        </w:rPr>
      </w:pPr>
      <w:r w:rsidRPr="00EB35E1">
        <w:rPr>
          <w:b/>
        </w:rPr>
        <w:t xml:space="preserve">Section 5 – Interpretation Act </w:t>
      </w:r>
    </w:p>
    <w:p w:rsidR="00425B81" w:rsidRDefault="00425B81" w:rsidP="006871F9">
      <w:pPr>
        <w:tabs>
          <w:tab w:val="left" w:pos="1701"/>
          <w:tab w:val="right" w:pos="9072"/>
        </w:tabs>
        <w:spacing w:before="120" w:after="120"/>
        <w:ind w:right="91"/>
      </w:pPr>
      <w:r>
        <w:t xml:space="preserve">This section provides that the </w:t>
      </w:r>
      <w:r>
        <w:rPr>
          <w:i/>
        </w:rPr>
        <w:t xml:space="preserve">Interpretation Act 1979 </w:t>
      </w:r>
      <w:r>
        <w:t xml:space="preserve">(NI) does not apply to this Ordinance. Rather the </w:t>
      </w:r>
      <w:r>
        <w:rPr>
          <w:i/>
        </w:rPr>
        <w:t xml:space="preserve">Acts Interpretation Act 1901 </w:t>
      </w:r>
      <w:r>
        <w:t>(</w:t>
      </w:r>
      <w:proofErr w:type="spellStart"/>
      <w:r>
        <w:t>Cth</w:t>
      </w:r>
      <w:proofErr w:type="spellEnd"/>
      <w:r>
        <w:t xml:space="preserve">) applies instead. The </w:t>
      </w:r>
      <w:r>
        <w:rPr>
          <w:i/>
        </w:rPr>
        <w:t xml:space="preserve">Interpretation Act 1979 </w:t>
      </w:r>
      <w:r>
        <w:t>(NI) applies to all ‘enactments’ as defined in that Act, subject to any contrary intention appearing in the enactment. Although this Ordinance is an ‘enactment’ as defined, section 5 of the Ordinance expresses a contrary intention to that Act.</w:t>
      </w:r>
    </w:p>
    <w:p w:rsidR="00425B81" w:rsidRDefault="00425B81" w:rsidP="006871F9">
      <w:pPr>
        <w:tabs>
          <w:tab w:val="left" w:pos="1701"/>
          <w:tab w:val="right" w:pos="9072"/>
        </w:tabs>
        <w:spacing w:before="120" w:after="120"/>
        <w:ind w:right="91"/>
        <w:rPr>
          <w:b/>
        </w:rPr>
      </w:pPr>
      <w:r>
        <w:rPr>
          <w:b/>
        </w:rPr>
        <w:t xml:space="preserve">Section 6 – Norfolk Island Regional Council </w:t>
      </w:r>
    </w:p>
    <w:p w:rsidR="00425B81" w:rsidRDefault="00425B81" w:rsidP="006871F9">
      <w:pPr>
        <w:tabs>
          <w:tab w:val="left" w:pos="1701"/>
          <w:tab w:val="right" w:pos="9072"/>
        </w:tabs>
        <w:spacing w:before="120" w:after="120"/>
        <w:ind w:right="91"/>
      </w:pPr>
      <w:r>
        <w:t xml:space="preserve">This section declares </w:t>
      </w:r>
      <w:r w:rsidRPr="00A422B5">
        <w:t>the council constituted for</w:t>
      </w:r>
      <w:r>
        <w:t xml:space="preserve"> Norfolk Island</w:t>
      </w:r>
      <w:r w:rsidRPr="00A422B5">
        <w:t xml:space="preserve"> by section 219 of the </w:t>
      </w:r>
      <w:proofErr w:type="spellStart"/>
      <w:r w:rsidRPr="00A422B5">
        <w:t>LGA</w:t>
      </w:r>
      <w:proofErr w:type="spellEnd"/>
      <w:r w:rsidRPr="00A422B5">
        <w:t xml:space="preserve"> </w:t>
      </w:r>
      <w:r>
        <w:t xml:space="preserve">to be </w:t>
      </w:r>
      <w:r w:rsidR="006871F9">
        <w:t>the Regional Council</w:t>
      </w:r>
      <w:r>
        <w:t xml:space="preserve">. This declaration is for the purposes of subsection 4(1) of the </w:t>
      </w:r>
      <w:r>
        <w:rPr>
          <w:i/>
        </w:rPr>
        <w:t xml:space="preserve">Norfolk Island Act 1979 </w:t>
      </w:r>
      <w:r>
        <w:t>(</w:t>
      </w:r>
      <w:proofErr w:type="spellStart"/>
      <w:r>
        <w:t>Cth</w:t>
      </w:r>
      <w:proofErr w:type="spellEnd"/>
      <w:r>
        <w:t xml:space="preserve">), which provides that </w:t>
      </w:r>
      <w:r w:rsidR="006871F9">
        <w:t>the Regional Council</w:t>
      </w:r>
      <w:r>
        <w:t xml:space="preserve"> is to be a body established under a law in force in the Territory and declared by a section 19A Ordinance. </w:t>
      </w:r>
    </w:p>
    <w:p w:rsidR="00425B81" w:rsidRDefault="00425B81" w:rsidP="006871F9">
      <w:pPr>
        <w:tabs>
          <w:tab w:val="left" w:pos="1701"/>
          <w:tab w:val="right" w:pos="9072"/>
        </w:tabs>
        <w:spacing w:before="120" w:after="120"/>
        <w:ind w:right="91"/>
      </w:pPr>
      <w:r>
        <w:t xml:space="preserve">This declaration is premised on the basis that new section 204A would be inserted into the </w:t>
      </w:r>
      <w:proofErr w:type="spellStart"/>
      <w:r>
        <w:t>LGA</w:t>
      </w:r>
      <w:proofErr w:type="spellEnd"/>
      <w:r>
        <w:t xml:space="preserve"> by the </w:t>
      </w:r>
      <w:r w:rsidRPr="00822560">
        <w:rPr>
          <w:i/>
        </w:rPr>
        <w:t>Norfolk</w:t>
      </w:r>
      <w:r>
        <w:rPr>
          <w:i/>
        </w:rPr>
        <w:t> </w:t>
      </w:r>
      <w:r w:rsidRPr="00822560">
        <w:rPr>
          <w:i/>
        </w:rPr>
        <w:t>Island Applied Laws Ordinance 2016</w:t>
      </w:r>
      <w:r w:rsidRPr="00CB16AB">
        <w:t xml:space="preserve"> </w:t>
      </w:r>
      <w:r>
        <w:t xml:space="preserve">to constitute Norfolk Island as an ‘area’ for the purposes of the </w:t>
      </w:r>
      <w:proofErr w:type="spellStart"/>
      <w:r>
        <w:t>LGA</w:t>
      </w:r>
      <w:proofErr w:type="spellEnd"/>
      <w:r>
        <w:t xml:space="preserve">. Section 219 of the </w:t>
      </w:r>
      <w:proofErr w:type="spellStart"/>
      <w:r>
        <w:t>LGA</w:t>
      </w:r>
      <w:proofErr w:type="spellEnd"/>
      <w:r>
        <w:t xml:space="preserve"> provides for a council to be constituted for each area</w:t>
      </w:r>
      <w:r>
        <w:rPr>
          <w:i/>
        </w:rPr>
        <w:t xml:space="preserve">. </w:t>
      </w:r>
      <w:r>
        <w:t xml:space="preserve">  </w:t>
      </w:r>
    </w:p>
    <w:p w:rsidR="00425B81" w:rsidRPr="00822560" w:rsidRDefault="00425B81" w:rsidP="006871F9">
      <w:pPr>
        <w:tabs>
          <w:tab w:val="left" w:pos="1701"/>
          <w:tab w:val="right" w:pos="9072"/>
        </w:tabs>
        <w:spacing w:before="120" w:after="120"/>
        <w:ind w:right="91"/>
        <w:rPr>
          <w:b/>
        </w:rPr>
      </w:pPr>
      <w:r w:rsidRPr="00822560">
        <w:rPr>
          <w:b/>
        </w:rPr>
        <w:t>Section 7 – Councillors</w:t>
      </w:r>
    </w:p>
    <w:p w:rsidR="00425B81" w:rsidRDefault="00425B81" w:rsidP="006871F9">
      <w:pPr>
        <w:tabs>
          <w:tab w:val="left" w:pos="1701"/>
          <w:tab w:val="right" w:pos="9072"/>
        </w:tabs>
        <w:spacing w:before="120" w:after="120"/>
        <w:ind w:right="91"/>
      </w:pPr>
      <w:r>
        <w:t xml:space="preserve">Subsection 7(1) provides that at the final transition time (i.e. 1 July 2016), the persons elected in the election provided for under the </w:t>
      </w:r>
      <w:r w:rsidRPr="00822560">
        <w:rPr>
          <w:i/>
        </w:rPr>
        <w:t>Norfolk Island Regional Council Preparatory Election Ordinance 2016</w:t>
      </w:r>
      <w:r>
        <w:t xml:space="preserve"> will become the councillors of </w:t>
      </w:r>
      <w:r w:rsidR="006871F9">
        <w:t>the Regional Council</w:t>
      </w:r>
      <w:r>
        <w:t xml:space="preserve">. </w:t>
      </w:r>
    </w:p>
    <w:p w:rsidR="003C536D" w:rsidRPr="005C2F2D" w:rsidRDefault="00425B81" w:rsidP="006871F9">
      <w:pPr>
        <w:tabs>
          <w:tab w:val="left" w:pos="1701"/>
          <w:tab w:val="right" w:pos="9072"/>
        </w:tabs>
        <w:spacing w:before="120" w:after="120"/>
        <w:ind w:right="91"/>
      </w:pPr>
      <w:r>
        <w:t xml:space="preserve">Subsection 7(2) provides that the </w:t>
      </w:r>
      <w:proofErr w:type="spellStart"/>
      <w:r>
        <w:t>LGA</w:t>
      </w:r>
      <w:proofErr w:type="spellEnd"/>
      <w:r>
        <w:t xml:space="preserve"> will apply to the councillors as if they had been elected to civic office to </w:t>
      </w:r>
      <w:r w:rsidR="006871F9">
        <w:t>the Regional Council</w:t>
      </w:r>
      <w:r>
        <w:t xml:space="preserve"> under the </w:t>
      </w:r>
      <w:proofErr w:type="spellStart"/>
      <w:r>
        <w:t>LGA</w:t>
      </w:r>
      <w:proofErr w:type="spellEnd"/>
      <w:r>
        <w:t xml:space="preserve"> at the final transition time. This provision is included to make clear that the councillors transitioned under subsection</w:t>
      </w:r>
      <w:r w:rsidR="00CD74A3">
        <w:t> </w:t>
      </w:r>
      <w:r>
        <w:t xml:space="preserve">7(1) will, as soon as they become councillors of </w:t>
      </w:r>
      <w:r w:rsidR="006871F9">
        <w:t>the Regional Council</w:t>
      </w:r>
      <w:r>
        <w:t xml:space="preserve">, be subject to the same requirements in the </w:t>
      </w:r>
      <w:proofErr w:type="spellStart"/>
      <w:r>
        <w:t>LGA</w:t>
      </w:r>
      <w:proofErr w:type="spellEnd"/>
      <w:r>
        <w:t xml:space="preserve"> as those applicable to councillors elected under the </w:t>
      </w:r>
      <w:proofErr w:type="spellStart"/>
      <w:r>
        <w:t>LGA</w:t>
      </w:r>
      <w:proofErr w:type="spellEnd"/>
      <w:r>
        <w:t xml:space="preserve">. This means that the transition provided by subsection 7(1) should not be taken to override, for example, a provision in the </w:t>
      </w:r>
      <w:proofErr w:type="spellStart"/>
      <w:r>
        <w:t>LGA</w:t>
      </w:r>
      <w:proofErr w:type="spellEnd"/>
      <w:r>
        <w:t xml:space="preserve"> which operates to vacate a person or persons from the position of councillor. </w:t>
      </w:r>
    </w:p>
    <w:sectPr w:rsidR="003C536D" w:rsidRPr="005C2F2D" w:rsidSect="00083143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E3" w:rsidRDefault="00860CE3">
      <w:r>
        <w:separator/>
      </w:r>
    </w:p>
  </w:endnote>
  <w:endnote w:type="continuationSeparator" w:id="0">
    <w:p w:rsidR="00860CE3" w:rsidRDefault="0086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505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143" w:rsidRDefault="000831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4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0760" w:rsidRPr="00425B81" w:rsidRDefault="00AB04DB" w:rsidP="00425B8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E3" w:rsidRDefault="00860CE3">
      <w:r>
        <w:separator/>
      </w:r>
    </w:p>
  </w:footnote>
  <w:footnote w:type="continuationSeparator" w:id="0">
    <w:p w:rsidR="00860CE3" w:rsidRDefault="0086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664"/>
    <w:multiLevelType w:val="multilevel"/>
    <w:tmpl w:val="F4B21BA6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">
    <w:nsid w:val="356A5EED"/>
    <w:multiLevelType w:val="hybridMultilevel"/>
    <w:tmpl w:val="E2A8E1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0C"/>
    <w:rsid w:val="0000411C"/>
    <w:rsid w:val="00032291"/>
    <w:rsid w:val="00053D7B"/>
    <w:rsid w:val="00056DF5"/>
    <w:rsid w:val="000776CC"/>
    <w:rsid w:val="00083143"/>
    <w:rsid w:val="000A5C26"/>
    <w:rsid w:val="000E3703"/>
    <w:rsid w:val="000F19D2"/>
    <w:rsid w:val="000F3CEF"/>
    <w:rsid w:val="00101755"/>
    <w:rsid w:val="001043FE"/>
    <w:rsid w:val="00114EBB"/>
    <w:rsid w:val="0012606C"/>
    <w:rsid w:val="00136B03"/>
    <w:rsid w:val="00144538"/>
    <w:rsid w:val="001658E6"/>
    <w:rsid w:val="00172F68"/>
    <w:rsid w:val="00191D03"/>
    <w:rsid w:val="001C30DC"/>
    <w:rsid w:val="001E52FB"/>
    <w:rsid w:val="00205137"/>
    <w:rsid w:val="0021113C"/>
    <w:rsid w:val="002354C1"/>
    <w:rsid w:val="00241AC3"/>
    <w:rsid w:val="00260E9A"/>
    <w:rsid w:val="002678EE"/>
    <w:rsid w:val="00270901"/>
    <w:rsid w:val="002856F5"/>
    <w:rsid w:val="00285728"/>
    <w:rsid w:val="002A1049"/>
    <w:rsid w:val="002A2ACD"/>
    <w:rsid w:val="002A43F3"/>
    <w:rsid w:val="002B050D"/>
    <w:rsid w:val="003008A4"/>
    <w:rsid w:val="00307F0C"/>
    <w:rsid w:val="003229F0"/>
    <w:rsid w:val="00323497"/>
    <w:rsid w:val="003338F3"/>
    <w:rsid w:val="00353900"/>
    <w:rsid w:val="003B1F62"/>
    <w:rsid w:val="003B48F9"/>
    <w:rsid w:val="003B6F76"/>
    <w:rsid w:val="003C3727"/>
    <w:rsid w:val="003C536D"/>
    <w:rsid w:val="003E296D"/>
    <w:rsid w:val="003F2EFF"/>
    <w:rsid w:val="0041269F"/>
    <w:rsid w:val="00412892"/>
    <w:rsid w:val="00412D88"/>
    <w:rsid w:val="00425B81"/>
    <w:rsid w:val="00443DD1"/>
    <w:rsid w:val="00460602"/>
    <w:rsid w:val="00463882"/>
    <w:rsid w:val="004B5241"/>
    <w:rsid w:val="004C7DB7"/>
    <w:rsid w:val="004D4467"/>
    <w:rsid w:val="004E0C70"/>
    <w:rsid w:val="00513249"/>
    <w:rsid w:val="00524A08"/>
    <w:rsid w:val="00542E5B"/>
    <w:rsid w:val="0055332B"/>
    <w:rsid w:val="005966E9"/>
    <w:rsid w:val="005C2F2D"/>
    <w:rsid w:val="005F7B12"/>
    <w:rsid w:val="00601061"/>
    <w:rsid w:val="00601E19"/>
    <w:rsid w:val="00610694"/>
    <w:rsid w:val="00614D2E"/>
    <w:rsid w:val="00634AA5"/>
    <w:rsid w:val="00685FAB"/>
    <w:rsid w:val="006871F9"/>
    <w:rsid w:val="00687450"/>
    <w:rsid w:val="00690D42"/>
    <w:rsid w:val="00693399"/>
    <w:rsid w:val="0069389F"/>
    <w:rsid w:val="006A6A36"/>
    <w:rsid w:val="006C6501"/>
    <w:rsid w:val="006E599B"/>
    <w:rsid w:val="006E7029"/>
    <w:rsid w:val="00715F37"/>
    <w:rsid w:val="00735BFE"/>
    <w:rsid w:val="007516B9"/>
    <w:rsid w:val="007548BB"/>
    <w:rsid w:val="00772980"/>
    <w:rsid w:val="00774ED8"/>
    <w:rsid w:val="00777772"/>
    <w:rsid w:val="007932F4"/>
    <w:rsid w:val="007A3011"/>
    <w:rsid w:val="007C12CD"/>
    <w:rsid w:val="00805412"/>
    <w:rsid w:val="00822560"/>
    <w:rsid w:val="008372A9"/>
    <w:rsid w:val="008548AD"/>
    <w:rsid w:val="00857448"/>
    <w:rsid w:val="00860CE3"/>
    <w:rsid w:val="00863DCB"/>
    <w:rsid w:val="008A04BD"/>
    <w:rsid w:val="008B45B3"/>
    <w:rsid w:val="00906878"/>
    <w:rsid w:val="0090708D"/>
    <w:rsid w:val="009119CE"/>
    <w:rsid w:val="009540FC"/>
    <w:rsid w:val="009766CC"/>
    <w:rsid w:val="00981F93"/>
    <w:rsid w:val="00986496"/>
    <w:rsid w:val="009B4D2A"/>
    <w:rsid w:val="009C3BBE"/>
    <w:rsid w:val="009D7C92"/>
    <w:rsid w:val="009E6D2E"/>
    <w:rsid w:val="009F037D"/>
    <w:rsid w:val="00A44909"/>
    <w:rsid w:val="00A52DB1"/>
    <w:rsid w:val="00A61212"/>
    <w:rsid w:val="00A6733C"/>
    <w:rsid w:val="00A7659E"/>
    <w:rsid w:val="00A81A2D"/>
    <w:rsid w:val="00A930D5"/>
    <w:rsid w:val="00AA79D2"/>
    <w:rsid w:val="00AB04DB"/>
    <w:rsid w:val="00AB7971"/>
    <w:rsid w:val="00AC74EB"/>
    <w:rsid w:val="00AD1EAD"/>
    <w:rsid w:val="00AE36EB"/>
    <w:rsid w:val="00B02089"/>
    <w:rsid w:val="00B16D20"/>
    <w:rsid w:val="00B2401D"/>
    <w:rsid w:val="00B37EAA"/>
    <w:rsid w:val="00B532AB"/>
    <w:rsid w:val="00B665C5"/>
    <w:rsid w:val="00B72B1C"/>
    <w:rsid w:val="00BB2792"/>
    <w:rsid w:val="00BC14D3"/>
    <w:rsid w:val="00BE2BE6"/>
    <w:rsid w:val="00BF19EA"/>
    <w:rsid w:val="00C047E9"/>
    <w:rsid w:val="00C207A7"/>
    <w:rsid w:val="00C21537"/>
    <w:rsid w:val="00C21ACC"/>
    <w:rsid w:val="00C4588E"/>
    <w:rsid w:val="00C50276"/>
    <w:rsid w:val="00C6619C"/>
    <w:rsid w:val="00C76F1E"/>
    <w:rsid w:val="00CA22BF"/>
    <w:rsid w:val="00CB2AE6"/>
    <w:rsid w:val="00CB4E15"/>
    <w:rsid w:val="00CD3094"/>
    <w:rsid w:val="00CD74A3"/>
    <w:rsid w:val="00CE6555"/>
    <w:rsid w:val="00D15D01"/>
    <w:rsid w:val="00D20501"/>
    <w:rsid w:val="00D23DE1"/>
    <w:rsid w:val="00D35BFB"/>
    <w:rsid w:val="00D367E3"/>
    <w:rsid w:val="00D70E9F"/>
    <w:rsid w:val="00D74A14"/>
    <w:rsid w:val="00D87A38"/>
    <w:rsid w:val="00DB5760"/>
    <w:rsid w:val="00DF15AE"/>
    <w:rsid w:val="00E02906"/>
    <w:rsid w:val="00E11575"/>
    <w:rsid w:val="00E131C2"/>
    <w:rsid w:val="00E23938"/>
    <w:rsid w:val="00E91062"/>
    <w:rsid w:val="00EA74CD"/>
    <w:rsid w:val="00EB35E1"/>
    <w:rsid w:val="00EB37A1"/>
    <w:rsid w:val="00ED3F81"/>
    <w:rsid w:val="00EF16F8"/>
    <w:rsid w:val="00F04908"/>
    <w:rsid w:val="00F13F16"/>
    <w:rsid w:val="00F204FC"/>
    <w:rsid w:val="00F62C03"/>
    <w:rsid w:val="00F66505"/>
    <w:rsid w:val="00FA14DA"/>
    <w:rsid w:val="00FC009A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7F0C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307F0C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07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F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7F0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7F0C"/>
  </w:style>
  <w:style w:type="paragraph" w:styleId="ListParagraph">
    <w:name w:val="List Paragraph"/>
    <w:basedOn w:val="Normal"/>
    <w:uiPriority w:val="34"/>
    <w:qFormat/>
    <w:rsid w:val="00954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6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5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5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C5"/>
    <w:rPr>
      <w:rFonts w:ascii="Tahoma" w:eastAsia="Times New Roman" w:hAnsi="Tahoma" w:cs="Tahoma"/>
      <w:sz w:val="16"/>
      <w:szCs w:val="16"/>
    </w:rPr>
  </w:style>
  <w:style w:type="paragraph" w:customStyle="1" w:styleId="NumberLevel1">
    <w:name w:val="Number Level 1"/>
    <w:aliases w:val="N1"/>
    <w:basedOn w:val="Normal"/>
    <w:uiPriority w:val="1"/>
    <w:qFormat/>
    <w:rsid w:val="000776CC"/>
    <w:pPr>
      <w:numPr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0776CC"/>
    <w:pPr>
      <w:numPr>
        <w:ilvl w:val="1"/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0776CC"/>
    <w:pPr>
      <w:numPr>
        <w:ilvl w:val="2"/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0776CC"/>
    <w:pPr>
      <w:numPr>
        <w:ilvl w:val="3"/>
        <w:numId w:val="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semiHidden/>
    <w:rsid w:val="000776CC"/>
    <w:pPr>
      <w:numPr>
        <w:ilvl w:val="4"/>
        <w:numId w:val="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uiPriority w:val="1"/>
    <w:semiHidden/>
    <w:rsid w:val="000776CC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0776CC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0776CC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0776CC"/>
    <w:pPr>
      <w:numPr>
        <w:ilvl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7F0C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307F0C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07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F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7F0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7F0C"/>
  </w:style>
  <w:style w:type="paragraph" w:styleId="ListParagraph">
    <w:name w:val="List Paragraph"/>
    <w:basedOn w:val="Normal"/>
    <w:uiPriority w:val="34"/>
    <w:qFormat/>
    <w:rsid w:val="00954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6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5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5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C5"/>
    <w:rPr>
      <w:rFonts w:ascii="Tahoma" w:eastAsia="Times New Roman" w:hAnsi="Tahoma" w:cs="Tahoma"/>
      <w:sz w:val="16"/>
      <w:szCs w:val="16"/>
    </w:rPr>
  </w:style>
  <w:style w:type="paragraph" w:customStyle="1" w:styleId="NumberLevel1">
    <w:name w:val="Number Level 1"/>
    <w:aliases w:val="N1"/>
    <w:basedOn w:val="Normal"/>
    <w:uiPriority w:val="1"/>
    <w:qFormat/>
    <w:rsid w:val="000776CC"/>
    <w:pPr>
      <w:numPr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0776CC"/>
    <w:pPr>
      <w:numPr>
        <w:ilvl w:val="1"/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0776CC"/>
    <w:pPr>
      <w:numPr>
        <w:ilvl w:val="2"/>
        <w:numId w:val="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0776CC"/>
    <w:pPr>
      <w:numPr>
        <w:ilvl w:val="3"/>
        <w:numId w:val="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semiHidden/>
    <w:rsid w:val="000776CC"/>
    <w:pPr>
      <w:numPr>
        <w:ilvl w:val="4"/>
        <w:numId w:val="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uiPriority w:val="1"/>
    <w:semiHidden/>
    <w:rsid w:val="000776CC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0776CC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0776CC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0776CC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Lauren</dc:creator>
  <cp:lastModifiedBy>Alabaster, John</cp:lastModifiedBy>
  <cp:revision>2</cp:revision>
  <cp:lastPrinted>2016-04-26T10:16:00Z</cp:lastPrinted>
  <dcterms:created xsi:type="dcterms:W3CDTF">2016-05-04T02:19:00Z</dcterms:created>
  <dcterms:modified xsi:type="dcterms:W3CDTF">2016-05-04T02:19:00Z</dcterms:modified>
</cp:coreProperties>
</file>