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ED" w:rsidRPr="00141BF7" w:rsidRDefault="00011EED" w:rsidP="00011EED">
      <w:pPr>
        <w:spacing w:before="0"/>
        <w:ind w:right="91"/>
        <w:jc w:val="center"/>
        <w:rPr>
          <w:szCs w:val="24"/>
        </w:rPr>
      </w:pPr>
      <w:r w:rsidRPr="00141BF7">
        <w:rPr>
          <w:b/>
          <w:szCs w:val="24"/>
          <w:u w:val="single"/>
        </w:rPr>
        <w:t>EXPLANATORY STATEMENT</w:t>
      </w:r>
    </w:p>
    <w:p w:rsidR="00011EED" w:rsidRPr="00141BF7" w:rsidRDefault="00011EED" w:rsidP="007C0B22">
      <w:pPr>
        <w:jc w:val="center"/>
        <w:rPr>
          <w:b/>
          <w:u w:val="single"/>
        </w:rPr>
      </w:pPr>
      <w:r w:rsidRPr="00141BF7">
        <w:rPr>
          <w:b/>
          <w:u w:val="single"/>
        </w:rPr>
        <w:t xml:space="preserve">Select Legislative Instrument No. </w:t>
      </w:r>
      <w:r w:rsidR="007C0B22" w:rsidRPr="00141BF7">
        <w:rPr>
          <w:b/>
          <w:u w:val="single"/>
        </w:rPr>
        <w:t xml:space="preserve">  </w:t>
      </w:r>
      <w:r w:rsidRPr="00141BF7">
        <w:rPr>
          <w:b/>
          <w:u w:val="single"/>
        </w:rPr>
        <w:t>, 201</w:t>
      </w:r>
      <w:r w:rsidR="00932E3C">
        <w:rPr>
          <w:b/>
          <w:u w:val="single"/>
        </w:rPr>
        <w:t>6</w:t>
      </w:r>
    </w:p>
    <w:p w:rsidR="00011EED" w:rsidRPr="00141BF7" w:rsidRDefault="00011EED" w:rsidP="00011EED">
      <w:pPr>
        <w:jc w:val="center"/>
        <w:rPr>
          <w:u w:val="single"/>
        </w:rPr>
      </w:pPr>
      <w:r w:rsidRPr="00141BF7">
        <w:rPr>
          <w:u w:val="single"/>
        </w:rPr>
        <w:t>Issued by the authority of the Attorney-General</w:t>
      </w:r>
    </w:p>
    <w:p w:rsidR="00011EED" w:rsidRPr="00141BF7" w:rsidRDefault="00011EED" w:rsidP="00011EED">
      <w:pPr>
        <w:spacing w:before="0"/>
        <w:ind w:right="91"/>
        <w:rPr>
          <w:szCs w:val="24"/>
        </w:rPr>
      </w:pPr>
    </w:p>
    <w:p w:rsidR="00932E3C" w:rsidRPr="00141BF7" w:rsidRDefault="00932E3C">
      <w:pPr>
        <w:spacing w:before="0"/>
        <w:ind w:right="91"/>
        <w:jc w:val="center"/>
        <w:rPr>
          <w:i/>
          <w:szCs w:val="24"/>
        </w:rPr>
      </w:pPr>
      <w:r>
        <w:rPr>
          <w:i/>
          <w:szCs w:val="24"/>
        </w:rPr>
        <w:t>Privacy Act 1988</w:t>
      </w:r>
    </w:p>
    <w:p w:rsidR="00011EED" w:rsidRPr="00141BF7" w:rsidRDefault="00EF66AA" w:rsidP="00011EED">
      <w:pPr>
        <w:spacing w:before="0"/>
        <w:ind w:right="91"/>
        <w:jc w:val="center"/>
        <w:rPr>
          <w:i/>
          <w:szCs w:val="24"/>
        </w:rPr>
      </w:pPr>
      <w:r w:rsidRPr="00141BF7">
        <w:rPr>
          <w:i/>
          <w:szCs w:val="24"/>
        </w:rPr>
        <w:t xml:space="preserve">Privacy Amendment </w:t>
      </w:r>
      <w:r w:rsidR="009670D2" w:rsidRPr="00141BF7">
        <w:rPr>
          <w:i/>
          <w:szCs w:val="24"/>
        </w:rPr>
        <w:t>(</w:t>
      </w:r>
      <w:r w:rsidR="00932E3C">
        <w:rPr>
          <w:i/>
          <w:szCs w:val="24"/>
        </w:rPr>
        <w:t>External Dispute Resolution Scheme</w:t>
      </w:r>
      <w:r w:rsidR="009670D2" w:rsidRPr="00141BF7">
        <w:rPr>
          <w:i/>
          <w:szCs w:val="24"/>
        </w:rPr>
        <w:t>)</w:t>
      </w:r>
      <w:r w:rsidR="007C0B22" w:rsidRPr="00141BF7">
        <w:rPr>
          <w:i/>
          <w:szCs w:val="24"/>
        </w:rPr>
        <w:t xml:space="preserve"> </w:t>
      </w:r>
      <w:r w:rsidR="00D557E2">
        <w:rPr>
          <w:i/>
          <w:szCs w:val="24"/>
        </w:rPr>
        <w:t>Regulation 2016</w:t>
      </w:r>
    </w:p>
    <w:p w:rsidR="007E0BF8" w:rsidRPr="00141BF7" w:rsidRDefault="007E0BF8" w:rsidP="007E0BF8">
      <w:pPr>
        <w:spacing w:before="0"/>
        <w:ind w:right="91"/>
        <w:rPr>
          <w:szCs w:val="24"/>
        </w:rPr>
      </w:pPr>
    </w:p>
    <w:p w:rsidR="0097560D" w:rsidRDefault="0097560D" w:rsidP="0097560D">
      <w:pPr>
        <w:spacing w:before="0"/>
        <w:ind w:right="91"/>
        <w:rPr>
          <w:szCs w:val="24"/>
        </w:rPr>
      </w:pPr>
      <w:r w:rsidRPr="0097560D">
        <w:rPr>
          <w:szCs w:val="24"/>
        </w:rPr>
        <w:t xml:space="preserve">The </w:t>
      </w:r>
      <w:r w:rsidRPr="0097560D">
        <w:rPr>
          <w:i/>
          <w:szCs w:val="24"/>
        </w:rPr>
        <w:t>Privacy Act 1988</w:t>
      </w:r>
      <w:r w:rsidRPr="0097560D">
        <w:rPr>
          <w:szCs w:val="24"/>
        </w:rPr>
        <w:t xml:space="preserve"> (</w:t>
      </w:r>
      <w:proofErr w:type="spellStart"/>
      <w:r w:rsidRPr="0097560D">
        <w:rPr>
          <w:szCs w:val="24"/>
        </w:rPr>
        <w:t>Cth</w:t>
      </w:r>
      <w:proofErr w:type="spellEnd"/>
      <w:r w:rsidRPr="0097560D">
        <w:rPr>
          <w:szCs w:val="24"/>
        </w:rPr>
        <w:t>) (Privacy Act) establishes, among other things, the Australian Privacy Principles (APPs)</w:t>
      </w:r>
      <w:r w:rsidR="00D557E2">
        <w:rPr>
          <w:szCs w:val="24"/>
        </w:rPr>
        <w:t>,</w:t>
      </w:r>
      <w:r w:rsidRPr="0097560D">
        <w:rPr>
          <w:szCs w:val="24"/>
        </w:rPr>
        <w:t xml:space="preserve"> which regulate the collection, use, disclosure and storage of personal</w:t>
      </w:r>
      <w:r>
        <w:rPr>
          <w:szCs w:val="24"/>
        </w:rPr>
        <w:t xml:space="preserve"> information by APP entities.  </w:t>
      </w:r>
    </w:p>
    <w:p w:rsidR="0097560D" w:rsidRDefault="0097560D" w:rsidP="0097560D">
      <w:pPr>
        <w:spacing w:before="0"/>
        <w:ind w:right="91"/>
        <w:rPr>
          <w:szCs w:val="24"/>
        </w:rPr>
      </w:pPr>
    </w:p>
    <w:p w:rsidR="007E0BF8" w:rsidRDefault="0097560D" w:rsidP="0097560D">
      <w:pPr>
        <w:spacing w:before="0"/>
        <w:ind w:right="91"/>
        <w:rPr>
          <w:szCs w:val="24"/>
        </w:rPr>
      </w:pPr>
      <w:r w:rsidRPr="0097560D">
        <w:rPr>
          <w:szCs w:val="24"/>
        </w:rPr>
        <w:t xml:space="preserve">Subsection 100(1) of the Privacy Act provides that the Governor-General may make regulations prescribing matters required or permitted by the </w:t>
      </w:r>
      <w:r w:rsidR="00D557E2">
        <w:rPr>
          <w:szCs w:val="24"/>
        </w:rPr>
        <w:t xml:space="preserve">Privacy </w:t>
      </w:r>
      <w:r w:rsidRPr="0097560D">
        <w:rPr>
          <w:szCs w:val="24"/>
        </w:rPr>
        <w:t>Act to be prescribed, or necessary or convenient to be prescribed, for carrying out or giving effect to the Privacy Act.</w:t>
      </w:r>
    </w:p>
    <w:p w:rsidR="0097560D" w:rsidRPr="00141BF7" w:rsidRDefault="0097560D" w:rsidP="0097560D">
      <w:pPr>
        <w:spacing w:before="0"/>
        <w:ind w:right="91"/>
        <w:rPr>
          <w:szCs w:val="24"/>
        </w:rPr>
      </w:pPr>
    </w:p>
    <w:p w:rsidR="00427268" w:rsidRPr="00141BF7" w:rsidRDefault="00FF549C" w:rsidP="00413AA0">
      <w:pPr>
        <w:spacing w:before="0"/>
        <w:ind w:right="91"/>
        <w:rPr>
          <w:i/>
          <w:szCs w:val="24"/>
        </w:rPr>
      </w:pPr>
      <w:r w:rsidRPr="00141BF7">
        <w:rPr>
          <w:i/>
          <w:szCs w:val="24"/>
        </w:rPr>
        <w:t>External dispute resolution membership obligation for credit reporting</w:t>
      </w:r>
    </w:p>
    <w:p w:rsidR="00FF549C" w:rsidRPr="00141BF7" w:rsidRDefault="00FF549C" w:rsidP="00413AA0">
      <w:pPr>
        <w:spacing w:before="0"/>
        <w:ind w:right="91"/>
        <w:rPr>
          <w:i/>
          <w:szCs w:val="24"/>
        </w:rPr>
      </w:pPr>
    </w:p>
    <w:p w:rsidR="00FF549C" w:rsidRPr="00141BF7" w:rsidRDefault="00FF549C" w:rsidP="00FF549C">
      <w:pPr>
        <w:spacing w:before="0"/>
        <w:ind w:right="91"/>
      </w:pPr>
      <w:r w:rsidRPr="00141BF7">
        <w:rPr>
          <w:szCs w:val="24"/>
        </w:rPr>
        <w:t>Pursuant to subparagraph 21D(2)(a)(</w:t>
      </w:r>
      <w:proofErr w:type="spellStart"/>
      <w:r w:rsidRPr="00141BF7">
        <w:rPr>
          <w:szCs w:val="24"/>
        </w:rPr>
        <w:t>i</w:t>
      </w:r>
      <w:proofErr w:type="spellEnd"/>
      <w:r w:rsidRPr="00141BF7">
        <w:rPr>
          <w:szCs w:val="24"/>
        </w:rPr>
        <w:t xml:space="preserve">) of the Privacy Act, credit providers </w:t>
      </w:r>
      <w:r w:rsidRPr="00141BF7">
        <w:t>are required to be members of</w:t>
      </w:r>
      <w:r w:rsidR="00164CB2" w:rsidRPr="00141BF7">
        <w:t xml:space="preserve"> an external dispute resolution </w:t>
      </w:r>
      <w:r w:rsidRPr="00141BF7">
        <w:t xml:space="preserve">(EDR) scheme recognised by the Australian Information Commissioner in order to </w:t>
      </w:r>
      <w:r w:rsidRPr="00141BF7">
        <w:rPr>
          <w:szCs w:val="24"/>
        </w:rPr>
        <w:t>disclose credit information about an individual to a credit reporting body</w:t>
      </w:r>
      <w:r w:rsidRPr="00141BF7">
        <w:t xml:space="preserve"> and thereby participate in the credit reporting system.  The purpose of this requirement is to </w:t>
      </w:r>
      <w:r w:rsidR="00475193" w:rsidRPr="00141BF7">
        <w:t xml:space="preserve">ensure that consumers have access to a convenient, speedy and independent avenue of redress for complaints or other issues that might arise between the individual and the organisation on credit reporting matters. </w:t>
      </w:r>
      <w:r w:rsidR="00664A97" w:rsidRPr="00141BF7">
        <w:t xml:space="preserve"> </w:t>
      </w:r>
      <w:r w:rsidRPr="00141BF7">
        <w:t xml:space="preserve">Utilities (water, gas and electricity providers) are considered credit providers under the Privacy Act.  </w:t>
      </w:r>
    </w:p>
    <w:p w:rsidR="007E0BF8" w:rsidRPr="00141BF7" w:rsidRDefault="007E0BF8" w:rsidP="00413AA0">
      <w:pPr>
        <w:spacing w:before="0"/>
        <w:ind w:right="91"/>
        <w:rPr>
          <w:szCs w:val="24"/>
        </w:rPr>
      </w:pPr>
    </w:p>
    <w:p w:rsidR="00FF549C" w:rsidRPr="00141BF7" w:rsidRDefault="00FF549C" w:rsidP="00413AA0">
      <w:pPr>
        <w:spacing w:before="0"/>
        <w:ind w:right="91"/>
        <w:rPr>
          <w:i/>
          <w:szCs w:val="24"/>
        </w:rPr>
      </w:pPr>
      <w:r w:rsidRPr="00141BF7">
        <w:rPr>
          <w:i/>
          <w:szCs w:val="24"/>
        </w:rPr>
        <w:t>Exemption for utilities</w:t>
      </w:r>
    </w:p>
    <w:p w:rsidR="00664A97" w:rsidRPr="00141BF7" w:rsidRDefault="00664A97" w:rsidP="00664A97">
      <w:pPr>
        <w:tabs>
          <w:tab w:val="left" w:pos="426"/>
        </w:tabs>
      </w:pPr>
      <w:r w:rsidRPr="00141BF7">
        <w:t xml:space="preserve">All Australian jurisdictions require utilities in that jurisdiction to participate in </w:t>
      </w:r>
      <w:r w:rsidR="007E0BF8" w:rsidRPr="00141BF7">
        <w:t>EDR</w:t>
      </w:r>
      <w:r w:rsidRPr="00141BF7">
        <w:t xml:space="preserve"> arrangements, in most cases through an energy and water ombudsman service.  </w:t>
      </w:r>
      <w:r w:rsidR="00932E3C" w:rsidRPr="00932E3C">
        <w:t>To minimise the compliance burden, the simplest solution for utilities is if existing State or Territory-based EDR schemes are also recognised as EDR schemes by the Australian Information Commissioner for credit reporting purposes.</w:t>
      </w:r>
      <w:r w:rsidR="00932E3C">
        <w:t xml:space="preserve">  </w:t>
      </w:r>
      <w:r w:rsidR="00932E3C" w:rsidRPr="00932E3C">
        <w:t xml:space="preserve">Legislative amendments or other arrangements are required to enable the recognition of EDR schemes in </w:t>
      </w:r>
      <w:r w:rsidR="00062D13" w:rsidRPr="00932E3C">
        <w:t>Tasmania</w:t>
      </w:r>
      <w:r w:rsidR="00062D13">
        <w:t>,</w:t>
      </w:r>
      <w:r w:rsidR="00062D13" w:rsidRPr="00932E3C">
        <w:t xml:space="preserve"> </w:t>
      </w:r>
      <w:r w:rsidR="00932E3C" w:rsidRPr="00932E3C">
        <w:t>the Australian Capital Territory</w:t>
      </w:r>
      <w:r w:rsidR="00062D13">
        <w:t xml:space="preserve"> and</w:t>
      </w:r>
      <w:r w:rsidR="00932E3C" w:rsidRPr="00932E3C">
        <w:t xml:space="preserve"> the Northern Territory.  Therefore, a temporary exemption</w:t>
      </w:r>
      <w:r w:rsidR="00146DBB">
        <w:t xml:space="preserve"> from the EDR obligation</w:t>
      </w:r>
      <w:r w:rsidR="0097560D">
        <w:t>, expiring on 1 January </w:t>
      </w:r>
      <w:r w:rsidR="00932E3C">
        <w:t>2017,</w:t>
      </w:r>
      <w:r w:rsidR="00932E3C" w:rsidRPr="00932E3C">
        <w:t xml:space="preserve"> is required for these jurisdictions.</w:t>
      </w:r>
    </w:p>
    <w:p w:rsidR="00664A97" w:rsidRPr="00141BF7" w:rsidRDefault="00FF4EBA" w:rsidP="007D5297">
      <w:pPr>
        <w:tabs>
          <w:tab w:val="left" w:pos="426"/>
        </w:tabs>
      </w:pPr>
      <w:r w:rsidRPr="00141BF7">
        <w:t xml:space="preserve">The Regulation </w:t>
      </w:r>
      <w:r w:rsidR="00932E3C" w:rsidRPr="00932E3C">
        <w:t>amend</w:t>
      </w:r>
      <w:r w:rsidR="00146DBB">
        <w:t>s</w:t>
      </w:r>
      <w:r w:rsidR="00932E3C" w:rsidRPr="00932E3C">
        <w:t xml:space="preserve"> the </w:t>
      </w:r>
      <w:r w:rsidR="00932E3C" w:rsidRPr="00CB2E92">
        <w:rPr>
          <w:i/>
        </w:rPr>
        <w:t>Privacy Regulation 2013</w:t>
      </w:r>
      <w:r w:rsidR="00932E3C" w:rsidRPr="00932E3C">
        <w:t xml:space="preserve"> to </w:t>
      </w:r>
      <w:r w:rsidR="00146DBB">
        <w:t xml:space="preserve">prescribe </w:t>
      </w:r>
      <w:r w:rsidR="00932E3C" w:rsidRPr="00932E3C">
        <w:t xml:space="preserve">utilities in </w:t>
      </w:r>
      <w:r w:rsidR="00062D13" w:rsidRPr="00062D13">
        <w:t>Tasmania, the Australian Capital Territory and the Northern Territory</w:t>
      </w:r>
      <w:r w:rsidR="00932E3C" w:rsidRPr="00932E3C">
        <w:t xml:space="preserve"> </w:t>
      </w:r>
      <w:r w:rsidR="00146DBB">
        <w:t xml:space="preserve">as exempt </w:t>
      </w:r>
      <w:r w:rsidR="0097560D">
        <w:t>from the EDR obligation until 1 January </w:t>
      </w:r>
      <w:r w:rsidR="00932E3C" w:rsidRPr="00932E3C">
        <w:t>2017.</w:t>
      </w:r>
      <w:r w:rsidR="00932E3C">
        <w:t xml:space="preserve"> </w:t>
      </w:r>
      <w:r w:rsidR="00B002A1" w:rsidRPr="00141BF7">
        <w:t xml:space="preserve"> This time-limited </w:t>
      </w:r>
      <w:r w:rsidR="00932E3C">
        <w:t>exemption</w:t>
      </w:r>
      <w:r w:rsidR="00932E3C" w:rsidRPr="00141BF7">
        <w:t xml:space="preserve"> </w:t>
      </w:r>
      <w:r w:rsidR="00B002A1" w:rsidRPr="00141BF7">
        <w:t>enable</w:t>
      </w:r>
      <w:r w:rsidR="00A06207" w:rsidRPr="00141BF7">
        <w:t>s</w:t>
      </w:r>
      <w:r w:rsidR="00B002A1" w:rsidRPr="00141BF7">
        <w:t xml:space="preserve"> those utilities to continue to access the credit reporting system whilst necessary legislative changes </w:t>
      </w:r>
      <w:r w:rsidR="006F4122">
        <w:t xml:space="preserve">or other arrangements </w:t>
      </w:r>
      <w:r w:rsidR="00B002A1" w:rsidRPr="00141BF7">
        <w:t xml:space="preserve">are made. </w:t>
      </w:r>
    </w:p>
    <w:p w:rsidR="00FF549C" w:rsidRPr="00141BF7" w:rsidRDefault="00FF549C" w:rsidP="00CA50F3">
      <w:pPr>
        <w:tabs>
          <w:tab w:val="left" w:pos="6521"/>
        </w:tabs>
        <w:ind w:right="91"/>
        <w:rPr>
          <w:szCs w:val="24"/>
        </w:rPr>
      </w:pPr>
      <w:r w:rsidRPr="00141BF7">
        <w:rPr>
          <w:szCs w:val="24"/>
        </w:rPr>
        <w:t xml:space="preserve">Details of the Regulations are set out in </w:t>
      </w:r>
      <w:r w:rsidRPr="00141BF7">
        <w:rPr>
          <w:szCs w:val="24"/>
          <w:u w:val="single"/>
        </w:rPr>
        <w:t>Attachment A</w:t>
      </w:r>
      <w:r w:rsidRPr="00141BF7">
        <w:rPr>
          <w:szCs w:val="24"/>
        </w:rPr>
        <w:t>.</w:t>
      </w:r>
    </w:p>
    <w:p w:rsidR="00FF549C" w:rsidRPr="00141BF7" w:rsidRDefault="00FF549C" w:rsidP="00FF549C">
      <w:pPr>
        <w:tabs>
          <w:tab w:val="left" w:pos="6521"/>
        </w:tabs>
        <w:ind w:right="91"/>
      </w:pPr>
      <w:r w:rsidRPr="00141BF7">
        <w:lastRenderedPageBreak/>
        <w:t xml:space="preserve">A Statement of Compatibility with Human Rights is set out in </w:t>
      </w:r>
      <w:r w:rsidRPr="00141BF7">
        <w:rPr>
          <w:u w:val="single"/>
        </w:rPr>
        <w:t>Attachment B</w:t>
      </w:r>
      <w:r w:rsidRPr="00141BF7">
        <w:t xml:space="preserve"> prepared in accordance with Part 3 of the </w:t>
      </w:r>
      <w:r w:rsidRPr="00141BF7">
        <w:rPr>
          <w:i/>
        </w:rPr>
        <w:t>Human Rights (Parliamentary Scrutiny Act) 2011</w:t>
      </w:r>
      <w:r w:rsidRPr="00141BF7">
        <w:t xml:space="preserve">. </w:t>
      </w:r>
    </w:p>
    <w:p w:rsidR="00FF549C" w:rsidRPr="00141BF7" w:rsidRDefault="00FF549C" w:rsidP="00FF549C">
      <w:pPr>
        <w:tabs>
          <w:tab w:val="left" w:pos="6521"/>
        </w:tabs>
        <w:ind w:right="91"/>
        <w:rPr>
          <w:szCs w:val="24"/>
        </w:rPr>
      </w:pPr>
      <w:r w:rsidRPr="00141BF7">
        <w:rPr>
          <w:szCs w:val="24"/>
        </w:rPr>
        <w:t xml:space="preserve">Consistent with the requirements of the </w:t>
      </w:r>
      <w:r w:rsidR="00932E3C">
        <w:rPr>
          <w:i/>
          <w:szCs w:val="24"/>
        </w:rPr>
        <w:t>Legislation Act</w:t>
      </w:r>
      <w:r w:rsidR="00164CB2" w:rsidRPr="00141BF7">
        <w:rPr>
          <w:i/>
          <w:szCs w:val="24"/>
        </w:rPr>
        <w:t> </w:t>
      </w:r>
      <w:r w:rsidRPr="00141BF7">
        <w:rPr>
          <w:i/>
          <w:szCs w:val="24"/>
        </w:rPr>
        <w:t xml:space="preserve">2003 </w:t>
      </w:r>
      <w:r w:rsidRPr="00141BF7">
        <w:rPr>
          <w:szCs w:val="24"/>
        </w:rPr>
        <w:t xml:space="preserve">the following were consulted in making the Regulations: </w:t>
      </w:r>
      <w:r w:rsidR="00164CB2" w:rsidRPr="00141BF7">
        <w:rPr>
          <w:szCs w:val="24"/>
        </w:rPr>
        <w:t xml:space="preserve">the Department of Treasury, the Office of the Australian Information Commissioner and </w:t>
      </w:r>
      <w:r w:rsidRPr="00141BF7">
        <w:rPr>
          <w:szCs w:val="24"/>
        </w:rPr>
        <w:t xml:space="preserve">certain State and Territory energy and water ombudsmen, relevant State and Territory departments responsible for energy and water and relevant State and Territory departments of the Attorney-General. </w:t>
      </w:r>
    </w:p>
    <w:p w:rsidR="00FF549C" w:rsidRPr="00141BF7" w:rsidRDefault="00FF549C" w:rsidP="00FF549C">
      <w:pPr>
        <w:tabs>
          <w:tab w:val="left" w:pos="6521"/>
        </w:tabs>
        <w:ind w:right="91"/>
        <w:rPr>
          <w:szCs w:val="24"/>
        </w:rPr>
      </w:pPr>
      <w:r w:rsidRPr="00141BF7">
        <w:rPr>
          <w:szCs w:val="24"/>
        </w:rPr>
        <w:t>The Office of Best Practice Regulation was consulted on this Regulation and advised that no Regulation Impact Statement was required.</w:t>
      </w:r>
    </w:p>
    <w:p w:rsidR="00FF549C" w:rsidRPr="00141BF7" w:rsidRDefault="00FF549C" w:rsidP="00FF549C">
      <w:pPr>
        <w:tabs>
          <w:tab w:val="left" w:pos="6521"/>
        </w:tabs>
        <w:spacing w:before="0"/>
        <w:ind w:right="91"/>
        <w:rPr>
          <w:szCs w:val="24"/>
        </w:rPr>
      </w:pPr>
    </w:p>
    <w:p w:rsidR="00FF549C" w:rsidRPr="00141BF7" w:rsidRDefault="00FF549C" w:rsidP="00FF549C">
      <w:pPr>
        <w:tabs>
          <w:tab w:val="left" w:pos="6521"/>
        </w:tabs>
        <w:spacing w:before="0"/>
        <w:ind w:right="91"/>
        <w:rPr>
          <w:szCs w:val="24"/>
        </w:rPr>
      </w:pPr>
      <w:r w:rsidRPr="00141BF7">
        <w:rPr>
          <w:szCs w:val="24"/>
        </w:rPr>
        <w:t xml:space="preserve">The Regulation </w:t>
      </w:r>
      <w:r w:rsidR="00A06207" w:rsidRPr="00141BF7">
        <w:rPr>
          <w:szCs w:val="24"/>
        </w:rPr>
        <w:t>is</w:t>
      </w:r>
      <w:r w:rsidRPr="00141BF7">
        <w:rPr>
          <w:szCs w:val="24"/>
        </w:rPr>
        <w:t xml:space="preserve"> a legislative instrument for the purposes of the </w:t>
      </w:r>
      <w:r w:rsidR="00932E3C">
        <w:rPr>
          <w:i/>
          <w:szCs w:val="24"/>
        </w:rPr>
        <w:t>Legislation</w:t>
      </w:r>
      <w:r w:rsidR="00164CB2" w:rsidRPr="00141BF7">
        <w:rPr>
          <w:i/>
          <w:szCs w:val="24"/>
        </w:rPr>
        <w:t> Act </w:t>
      </w:r>
      <w:r w:rsidRPr="00141BF7">
        <w:rPr>
          <w:i/>
          <w:szCs w:val="24"/>
        </w:rPr>
        <w:t>2003</w:t>
      </w:r>
      <w:r w:rsidRPr="00141BF7">
        <w:rPr>
          <w:szCs w:val="24"/>
        </w:rPr>
        <w:t>.</w:t>
      </w:r>
    </w:p>
    <w:p w:rsidR="00413AA0" w:rsidRPr="00141BF7" w:rsidRDefault="0082050A" w:rsidP="00CA50F3">
      <w:pPr>
        <w:ind w:right="91"/>
        <w:rPr>
          <w:szCs w:val="24"/>
        </w:rPr>
      </w:pPr>
      <w:r w:rsidRPr="00141BF7">
        <w:rPr>
          <w:szCs w:val="24"/>
        </w:rPr>
        <w:t>The proposed Regulation would commence the day after registration.</w:t>
      </w:r>
    </w:p>
    <w:p w:rsidR="00011EED" w:rsidRPr="00141BF7" w:rsidRDefault="00011EED" w:rsidP="00011EED">
      <w:pPr>
        <w:tabs>
          <w:tab w:val="left" w:pos="6521"/>
        </w:tabs>
        <w:spacing w:before="0"/>
        <w:ind w:right="91"/>
        <w:rPr>
          <w:szCs w:val="24"/>
        </w:rPr>
      </w:pPr>
    </w:p>
    <w:p w:rsidR="00011EED" w:rsidRPr="00CF4C2E" w:rsidRDefault="00011EED" w:rsidP="00CA50F3">
      <w:pPr>
        <w:tabs>
          <w:tab w:val="left" w:pos="3969"/>
          <w:tab w:val="left" w:pos="5245"/>
        </w:tabs>
        <w:spacing w:before="0"/>
        <w:ind w:right="91"/>
        <w:jc w:val="right"/>
        <w:rPr>
          <w:szCs w:val="24"/>
          <w:u w:val="single"/>
        </w:rPr>
      </w:pPr>
      <w:r w:rsidRPr="00141BF7">
        <w:rPr>
          <w:szCs w:val="24"/>
        </w:rPr>
        <w:br w:type="page"/>
      </w:r>
      <w:r w:rsidRPr="00CF4C2E">
        <w:rPr>
          <w:b/>
          <w:szCs w:val="24"/>
          <w:u w:val="single"/>
        </w:rPr>
        <w:lastRenderedPageBreak/>
        <w:t>ATTACHMENT A</w:t>
      </w:r>
    </w:p>
    <w:p w:rsidR="00011EED" w:rsidRPr="00CF4C2E" w:rsidRDefault="00011EED" w:rsidP="00011EED">
      <w:pPr>
        <w:spacing w:before="0"/>
        <w:ind w:right="91"/>
        <w:jc w:val="right"/>
        <w:rPr>
          <w:szCs w:val="24"/>
        </w:rPr>
      </w:pPr>
    </w:p>
    <w:p w:rsidR="002B5D3F" w:rsidRPr="00CF4C2E" w:rsidRDefault="002B5D3F" w:rsidP="002B5D3F">
      <w:pPr>
        <w:spacing w:before="0"/>
        <w:ind w:right="91"/>
        <w:rPr>
          <w:szCs w:val="24"/>
          <w:u w:val="single"/>
        </w:rPr>
      </w:pPr>
      <w:r w:rsidRPr="00CF4C2E">
        <w:rPr>
          <w:b/>
          <w:i/>
          <w:szCs w:val="24"/>
          <w:u w:val="single"/>
        </w:rPr>
        <w:t>Privacy Amendment (</w:t>
      </w:r>
      <w:r w:rsidR="00932755">
        <w:rPr>
          <w:b/>
          <w:i/>
          <w:szCs w:val="24"/>
          <w:u w:val="single"/>
        </w:rPr>
        <w:t>External Dispute Resolution Scheme) Regulation 2016</w:t>
      </w:r>
    </w:p>
    <w:p w:rsidR="002B5D3F" w:rsidRPr="00CF4C2E" w:rsidRDefault="002B5D3F" w:rsidP="002B5D3F">
      <w:pPr>
        <w:spacing w:before="0"/>
        <w:ind w:right="91"/>
        <w:rPr>
          <w:szCs w:val="24"/>
          <w:u w:val="single"/>
        </w:rPr>
      </w:pPr>
    </w:p>
    <w:p w:rsidR="002B5D3F" w:rsidRPr="00CF4C2E" w:rsidRDefault="002B5D3F" w:rsidP="002B5D3F">
      <w:pPr>
        <w:spacing w:before="0"/>
        <w:ind w:right="91"/>
        <w:rPr>
          <w:b/>
          <w:szCs w:val="24"/>
        </w:rPr>
      </w:pPr>
      <w:r w:rsidRPr="00CF4C2E">
        <w:rPr>
          <w:b/>
          <w:szCs w:val="24"/>
        </w:rPr>
        <w:t>Preliminary</w:t>
      </w:r>
    </w:p>
    <w:p w:rsidR="002B5D3F" w:rsidRPr="00CF4C2E" w:rsidRDefault="002B5D3F" w:rsidP="002B5D3F">
      <w:pPr>
        <w:spacing w:before="0"/>
        <w:ind w:right="91"/>
        <w:rPr>
          <w:szCs w:val="24"/>
          <w:u w:val="single"/>
        </w:rPr>
      </w:pPr>
    </w:p>
    <w:p w:rsidR="002B5D3F" w:rsidRPr="00CF4C2E" w:rsidRDefault="002B5D3F" w:rsidP="002B5D3F">
      <w:pPr>
        <w:spacing w:before="0"/>
        <w:ind w:right="91"/>
        <w:rPr>
          <w:szCs w:val="24"/>
          <w:u w:val="single"/>
        </w:rPr>
      </w:pPr>
      <w:r w:rsidRPr="00CF4C2E">
        <w:rPr>
          <w:szCs w:val="24"/>
          <w:u w:val="single"/>
        </w:rPr>
        <w:t>Section 1 – Name of Regulation</w:t>
      </w:r>
    </w:p>
    <w:p w:rsidR="002B5D3F" w:rsidRPr="00CF4C2E" w:rsidRDefault="002B5D3F" w:rsidP="002B5D3F">
      <w:pPr>
        <w:spacing w:before="0"/>
        <w:ind w:right="91"/>
        <w:rPr>
          <w:szCs w:val="24"/>
        </w:rPr>
      </w:pPr>
    </w:p>
    <w:p w:rsidR="002B5D3F" w:rsidRPr="00CF4C2E" w:rsidRDefault="002B5D3F" w:rsidP="002B5D3F">
      <w:pPr>
        <w:spacing w:before="0"/>
        <w:ind w:right="91"/>
        <w:rPr>
          <w:szCs w:val="24"/>
        </w:rPr>
      </w:pPr>
      <w:r w:rsidRPr="00CF4C2E">
        <w:rPr>
          <w:szCs w:val="24"/>
        </w:rPr>
        <w:t xml:space="preserve">This section provides that the title of the Regulation is the </w:t>
      </w:r>
      <w:r w:rsidR="00062D13" w:rsidRPr="00CF4C2E">
        <w:rPr>
          <w:i/>
          <w:szCs w:val="24"/>
        </w:rPr>
        <w:t>Privacy Amendment (External Dispute Resolution Scheme) Regulation 2016</w:t>
      </w:r>
      <w:r w:rsidRPr="00CF4C2E">
        <w:rPr>
          <w:i/>
          <w:szCs w:val="24"/>
        </w:rPr>
        <w:t>.</w:t>
      </w:r>
    </w:p>
    <w:p w:rsidR="002B5D3F" w:rsidRPr="00CF4C2E" w:rsidRDefault="002B5D3F" w:rsidP="002B5D3F">
      <w:pPr>
        <w:spacing w:before="0"/>
        <w:ind w:right="91"/>
        <w:rPr>
          <w:szCs w:val="24"/>
          <w:u w:val="single"/>
        </w:rPr>
      </w:pPr>
    </w:p>
    <w:p w:rsidR="002B5D3F" w:rsidRPr="00CF4C2E" w:rsidRDefault="002B5D3F" w:rsidP="002B5D3F">
      <w:pPr>
        <w:spacing w:before="0"/>
        <w:ind w:right="91"/>
        <w:rPr>
          <w:szCs w:val="24"/>
          <w:u w:val="single"/>
        </w:rPr>
      </w:pPr>
      <w:r w:rsidRPr="00CF4C2E">
        <w:rPr>
          <w:szCs w:val="24"/>
          <w:u w:val="single"/>
        </w:rPr>
        <w:t>Section 2 – Commencement</w:t>
      </w:r>
    </w:p>
    <w:p w:rsidR="002B5D3F" w:rsidRPr="00CF4C2E" w:rsidRDefault="002B5D3F" w:rsidP="002B5D3F">
      <w:pPr>
        <w:spacing w:before="0"/>
        <w:ind w:right="91"/>
        <w:rPr>
          <w:szCs w:val="24"/>
        </w:rPr>
      </w:pPr>
    </w:p>
    <w:p w:rsidR="002B5D3F" w:rsidRPr="00CF4C2E" w:rsidRDefault="002B5D3F" w:rsidP="002B5D3F">
      <w:pPr>
        <w:spacing w:before="0"/>
        <w:ind w:right="91"/>
        <w:rPr>
          <w:szCs w:val="24"/>
        </w:rPr>
      </w:pPr>
      <w:r w:rsidRPr="00CF4C2E">
        <w:rPr>
          <w:szCs w:val="24"/>
        </w:rPr>
        <w:t xml:space="preserve">This section provides that the Regulation commences the day after registration. </w:t>
      </w:r>
    </w:p>
    <w:p w:rsidR="002B5D3F" w:rsidRPr="00CF4C2E" w:rsidRDefault="002B5D3F" w:rsidP="002B5D3F">
      <w:pPr>
        <w:spacing w:before="0"/>
        <w:ind w:right="91"/>
        <w:rPr>
          <w:szCs w:val="24"/>
        </w:rPr>
      </w:pPr>
    </w:p>
    <w:p w:rsidR="002B5D3F" w:rsidRPr="00CF4C2E" w:rsidRDefault="002B5D3F" w:rsidP="002B5D3F">
      <w:pPr>
        <w:spacing w:before="0"/>
        <w:ind w:right="91"/>
        <w:rPr>
          <w:szCs w:val="24"/>
          <w:u w:val="single"/>
        </w:rPr>
      </w:pPr>
      <w:r w:rsidRPr="00CF4C2E">
        <w:rPr>
          <w:szCs w:val="24"/>
          <w:u w:val="single"/>
        </w:rPr>
        <w:t>Section 3 – Authority</w:t>
      </w:r>
    </w:p>
    <w:p w:rsidR="002B5D3F" w:rsidRPr="00CF4C2E" w:rsidRDefault="002B5D3F" w:rsidP="002B5D3F">
      <w:pPr>
        <w:spacing w:before="0"/>
        <w:ind w:right="91"/>
        <w:rPr>
          <w:szCs w:val="24"/>
        </w:rPr>
      </w:pPr>
    </w:p>
    <w:p w:rsidR="002B5D3F" w:rsidRPr="00CF4C2E" w:rsidRDefault="002B5D3F" w:rsidP="002B5D3F">
      <w:pPr>
        <w:spacing w:before="0"/>
        <w:ind w:right="91"/>
        <w:rPr>
          <w:szCs w:val="24"/>
        </w:rPr>
      </w:pPr>
      <w:r w:rsidRPr="00CF4C2E">
        <w:rPr>
          <w:szCs w:val="24"/>
        </w:rPr>
        <w:t xml:space="preserve">This section provides that the Regulation is made under the </w:t>
      </w:r>
      <w:r w:rsidR="00062D13" w:rsidRPr="00CB2E92">
        <w:rPr>
          <w:i/>
          <w:szCs w:val="24"/>
        </w:rPr>
        <w:t>Privacy Act 1988</w:t>
      </w:r>
      <w:r w:rsidRPr="00CF4C2E">
        <w:rPr>
          <w:szCs w:val="24"/>
        </w:rPr>
        <w:t>.</w:t>
      </w:r>
    </w:p>
    <w:p w:rsidR="002B5D3F" w:rsidRPr="00CF4C2E" w:rsidRDefault="002B5D3F" w:rsidP="002B5D3F">
      <w:pPr>
        <w:spacing w:before="0"/>
        <w:ind w:right="91"/>
        <w:rPr>
          <w:szCs w:val="24"/>
          <w:u w:val="single"/>
        </w:rPr>
      </w:pPr>
    </w:p>
    <w:p w:rsidR="002B5D3F" w:rsidRPr="00CF4C2E" w:rsidRDefault="002B5D3F" w:rsidP="002B5D3F">
      <w:pPr>
        <w:spacing w:before="0"/>
        <w:ind w:right="91"/>
        <w:rPr>
          <w:szCs w:val="24"/>
        </w:rPr>
      </w:pPr>
      <w:r w:rsidRPr="00CF4C2E">
        <w:rPr>
          <w:szCs w:val="24"/>
          <w:u w:val="single"/>
        </w:rPr>
        <w:t>Section 4 – Schedule(s)</w:t>
      </w:r>
    </w:p>
    <w:p w:rsidR="002B5D3F" w:rsidRPr="00CF4C2E" w:rsidRDefault="002B5D3F" w:rsidP="002B5D3F">
      <w:pPr>
        <w:spacing w:before="0"/>
        <w:ind w:right="91"/>
        <w:rPr>
          <w:szCs w:val="24"/>
        </w:rPr>
      </w:pPr>
    </w:p>
    <w:p w:rsidR="002B5D3F" w:rsidRPr="00CF4C2E" w:rsidRDefault="002B5D3F" w:rsidP="002B5D3F">
      <w:pPr>
        <w:spacing w:before="0"/>
        <w:ind w:right="91"/>
        <w:rPr>
          <w:szCs w:val="24"/>
        </w:rPr>
      </w:pPr>
      <w:r w:rsidRPr="00CF4C2E">
        <w:rPr>
          <w:szCs w:val="24"/>
        </w:rPr>
        <w:t xml:space="preserve">This section provides that amendments or repeals have effect according to the terms set out in the Schedule(s). </w:t>
      </w:r>
    </w:p>
    <w:p w:rsidR="002B5D3F" w:rsidRPr="00CF4C2E" w:rsidRDefault="002B5D3F" w:rsidP="002B5D3F">
      <w:pPr>
        <w:spacing w:before="0"/>
        <w:ind w:right="91"/>
      </w:pPr>
    </w:p>
    <w:p w:rsidR="005730FF" w:rsidRDefault="005730FF" w:rsidP="002B5D3F">
      <w:pPr>
        <w:spacing w:before="0"/>
        <w:ind w:right="91"/>
        <w:rPr>
          <w:u w:val="single"/>
        </w:rPr>
      </w:pPr>
      <w:r w:rsidRPr="005730FF">
        <w:rPr>
          <w:u w:val="single"/>
        </w:rPr>
        <w:t>Section 14A – Permitted disclosure of credit information by energy and water utilities</w:t>
      </w:r>
    </w:p>
    <w:p w:rsidR="002B5D3F" w:rsidRPr="00CB2E92" w:rsidRDefault="002B5D3F" w:rsidP="002B5D3F">
      <w:pPr>
        <w:spacing w:before="0"/>
        <w:ind w:right="91"/>
        <w:rPr>
          <w:highlight w:val="yellow"/>
        </w:rPr>
      </w:pPr>
    </w:p>
    <w:p w:rsidR="00CF4C2E" w:rsidRDefault="00CF4C2E" w:rsidP="00CF4C2E">
      <w:pPr>
        <w:spacing w:before="0"/>
        <w:ind w:right="91"/>
      </w:pPr>
      <w:r>
        <w:t>Subsection 14A(1) provides that subparagraph 21D(2)(a)(</w:t>
      </w:r>
      <w:proofErr w:type="spellStart"/>
      <w:r>
        <w:t>i</w:t>
      </w:r>
      <w:proofErr w:type="spellEnd"/>
      <w:r>
        <w:t xml:space="preserve">) of the </w:t>
      </w:r>
      <w:r w:rsidRPr="00CB2E92">
        <w:rPr>
          <w:i/>
        </w:rPr>
        <w:t>Privacy Act 1988</w:t>
      </w:r>
      <w:r>
        <w:t xml:space="preserve"> does not apply in relation to a disclosure of credit information by a credit provider that is an energy or water utility operating in Tasmania, the Australian Capital Territory or the Northern Territory. </w:t>
      </w:r>
    </w:p>
    <w:p w:rsidR="00CF4C2E" w:rsidRDefault="00CF4C2E" w:rsidP="00CF4C2E">
      <w:pPr>
        <w:spacing w:before="0"/>
        <w:ind w:right="91"/>
      </w:pPr>
    </w:p>
    <w:p w:rsidR="00011EED" w:rsidRPr="00141BF7" w:rsidRDefault="00CF4C2E" w:rsidP="00011EED">
      <w:pPr>
        <w:spacing w:before="0" w:after="200" w:line="276" w:lineRule="auto"/>
      </w:pPr>
      <w:r>
        <w:t xml:space="preserve">Subsection </w:t>
      </w:r>
      <w:proofErr w:type="gramStart"/>
      <w:r>
        <w:t>14A(</w:t>
      </w:r>
      <w:proofErr w:type="gramEnd"/>
      <w:r>
        <w:t xml:space="preserve">2) </w:t>
      </w:r>
      <w:r w:rsidR="005730FF">
        <w:t>provides that</w:t>
      </w:r>
      <w:r w:rsidR="00CB2E92">
        <w:t xml:space="preserve"> section 14A is repealed </w:t>
      </w:r>
      <w:r w:rsidR="0097560D">
        <w:t>on 1 January </w:t>
      </w:r>
      <w:r>
        <w:t>2017.</w:t>
      </w:r>
      <w:r w:rsidR="00011EED" w:rsidRPr="00141BF7">
        <w:br w:type="page"/>
      </w:r>
    </w:p>
    <w:p w:rsidR="00011EED" w:rsidRDefault="00011EED" w:rsidP="0097560D">
      <w:pPr>
        <w:spacing w:before="0"/>
        <w:jc w:val="right"/>
        <w:rPr>
          <w:b/>
          <w:szCs w:val="24"/>
          <w:u w:val="single"/>
        </w:rPr>
      </w:pPr>
      <w:r w:rsidRPr="00141BF7">
        <w:rPr>
          <w:b/>
          <w:szCs w:val="24"/>
          <w:u w:val="single"/>
        </w:rPr>
        <w:lastRenderedPageBreak/>
        <w:t>ATTACHMENT B</w:t>
      </w:r>
    </w:p>
    <w:p w:rsidR="0097560D" w:rsidRPr="00141BF7" w:rsidRDefault="0097560D" w:rsidP="0097560D">
      <w:pPr>
        <w:spacing w:before="0"/>
        <w:jc w:val="right"/>
        <w:rPr>
          <w:b/>
        </w:rPr>
      </w:pPr>
      <w:bookmarkStart w:id="0" w:name="_GoBack"/>
      <w:bookmarkEnd w:id="0"/>
    </w:p>
    <w:p w:rsidR="00011EED" w:rsidRDefault="00011EED" w:rsidP="0097560D">
      <w:pPr>
        <w:spacing w:before="0"/>
        <w:jc w:val="center"/>
        <w:rPr>
          <w:b/>
        </w:rPr>
      </w:pPr>
      <w:r w:rsidRPr="00141BF7">
        <w:rPr>
          <w:b/>
        </w:rPr>
        <w:t>Statement of Compatibility with Human Rights</w:t>
      </w:r>
    </w:p>
    <w:p w:rsidR="0097560D" w:rsidRPr="00141BF7" w:rsidRDefault="0097560D" w:rsidP="0097560D">
      <w:pPr>
        <w:spacing w:before="0"/>
        <w:jc w:val="center"/>
        <w:rPr>
          <w:b/>
        </w:rPr>
      </w:pPr>
    </w:p>
    <w:p w:rsidR="00011EED" w:rsidRDefault="00011EED" w:rsidP="0097560D">
      <w:pPr>
        <w:spacing w:before="0"/>
        <w:jc w:val="center"/>
        <w:rPr>
          <w:i/>
        </w:rPr>
      </w:pPr>
      <w:r w:rsidRPr="00141BF7">
        <w:t>Prepared in accordance with Part 3 of the</w:t>
      </w:r>
      <w:r w:rsidRPr="00141BF7">
        <w:rPr>
          <w:i/>
        </w:rPr>
        <w:t xml:space="preserve"> Human Rights (Parliamentary Scrutiny) Act 2011</w:t>
      </w:r>
    </w:p>
    <w:p w:rsidR="0097560D" w:rsidRPr="00141BF7" w:rsidRDefault="0097560D" w:rsidP="0097560D">
      <w:pPr>
        <w:spacing w:before="0"/>
        <w:jc w:val="center"/>
        <w:rPr>
          <w:i/>
        </w:rPr>
      </w:pPr>
    </w:p>
    <w:p w:rsidR="00011EED" w:rsidRDefault="00011EED" w:rsidP="0097560D">
      <w:pPr>
        <w:spacing w:before="0"/>
        <w:jc w:val="center"/>
        <w:rPr>
          <w:b/>
        </w:rPr>
      </w:pPr>
      <w:r w:rsidRPr="00141BF7">
        <w:rPr>
          <w:b/>
        </w:rPr>
        <w:t>Privacy Regulation 2013</w:t>
      </w:r>
    </w:p>
    <w:p w:rsidR="0097560D" w:rsidRPr="00141BF7" w:rsidRDefault="0097560D" w:rsidP="0097560D">
      <w:pPr>
        <w:spacing w:before="0"/>
        <w:jc w:val="center"/>
      </w:pPr>
    </w:p>
    <w:p w:rsidR="00011EED" w:rsidRDefault="00011EED" w:rsidP="0097560D">
      <w:pPr>
        <w:spacing w:before="0"/>
      </w:pPr>
      <w:r w:rsidRPr="00141BF7">
        <w:t xml:space="preserve">This Legislative Instrument is compatible with the human rights and freedoms recognised or declared in the international instruments listed in section 3 of the </w:t>
      </w:r>
      <w:r w:rsidRPr="00141BF7">
        <w:rPr>
          <w:i/>
        </w:rPr>
        <w:t>Human Rights (Parliamentary Scrutiny) Act 2011</w:t>
      </w:r>
      <w:r w:rsidRPr="00141BF7">
        <w:t xml:space="preserve">. </w:t>
      </w:r>
    </w:p>
    <w:p w:rsidR="0097560D" w:rsidRPr="00141BF7" w:rsidRDefault="0097560D" w:rsidP="0097560D">
      <w:pPr>
        <w:spacing w:before="0"/>
      </w:pPr>
    </w:p>
    <w:p w:rsidR="00011EED" w:rsidRDefault="00011EED" w:rsidP="0097560D">
      <w:pPr>
        <w:spacing w:before="0"/>
        <w:jc w:val="both"/>
        <w:rPr>
          <w:b/>
        </w:rPr>
      </w:pPr>
      <w:r w:rsidRPr="00141BF7">
        <w:rPr>
          <w:b/>
        </w:rPr>
        <w:t>Overview of the Legislative Instrument</w:t>
      </w:r>
    </w:p>
    <w:p w:rsidR="0097560D" w:rsidRPr="00141BF7" w:rsidRDefault="0097560D" w:rsidP="0097560D">
      <w:pPr>
        <w:spacing w:before="0"/>
        <w:jc w:val="both"/>
        <w:rPr>
          <w:b/>
        </w:rPr>
      </w:pPr>
    </w:p>
    <w:p w:rsidR="00011EED" w:rsidRDefault="00011EED" w:rsidP="0097560D">
      <w:pPr>
        <w:spacing w:before="0"/>
        <w:ind w:right="91"/>
        <w:rPr>
          <w:szCs w:val="24"/>
        </w:rPr>
      </w:pPr>
      <w:r w:rsidRPr="00141BF7">
        <w:rPr>
          <w:szCs w:val="24"/>
        </w:rPr>
        <w:t xml:space="preserve">The </w:t>
      </w:r>
      <w:r w:rsidRPr="00141BF7">
        <w:rPr>
          <w:i/>
          <w:szCs w:val="24"/>
        </w:rPr>
        <w:t>Privacy Amendment (</w:t>
      </w:r>
      <w:r w:rsidR="00932E3C">
        <w:rPr>
          <w:i/>
          <w:szCs w:val="24"/>
        </w:rPr>
        <w:t>External Dispute Resolution Scheme</w:t>
      </w:r>
      <w:r w:rsidRPr="00141BF7">
        <w:rPr>
          <w:i/>
          <w:szCs w:val="24"/>
        </w:rPr>
        <w:t xml:space="preserve">) Regulation </w:t>
      </w:r>
      <w:r w:rsidR="00E019CF" w:rsidRPr="00141BF7">
        <w:rPr>
          <w:i/>
          <w:szCs w:val="24"/>
        </w:rPr>
        <w:t>201</w:t>
      </w:r>
      <w:r w:rsidR="00146DBB">
        <w:rPr>
          <w:i/>
          <w:szCs w:val="24"/>
        </w:rPr>
        <w:t>6</w:t>
      </w:r>
      <w:r w:rsidRPr="00141BF7">
        <w:rPr>
          <w:i/>
          <w:szCs w:val="24"/>
        </w:rPr>
        <w:t xml:space="preserve"> </w:t>
      </w:r>
      <w:r w:rsidR="00E41711" w:rsidRPr="00141BF7">
        <w:rPr>
          <w:szCs w:val="24"/>
        </w:rPr>
        <w:t xml:space="preserve">(the Regulation) </w:t>
      </w:r>
      <w:r w:rsidR="00E019CF" w:rsidRPr="00141BF7">
        <w:rPr>
          <w:szCs w:val="24"/>
        </w:rPr>
        <w:t xml:space="preserve">amends the </w:t>
      </w:r>
      <w:r w:rsidR="00E019CF" w:rsidRPr="00141BF7">
        <w:rPr>
          <w:i/>
          <w:szCs w:val="24"/>
        </w:rPr>
        <w:t>Privacy Regulation 2013</w:t>
      </w:r>
      <w:r w:rsidR="00146DBB">
        <w:rPr>
          <w:i/>
          <w:szCs w:val="24"/>
        </w:rPr>
        <w:t xml:space="preserve"> </w:t>
      </w:r>
      <w:r w:rsidR="00146DBB" w:rsidRPr="00146DBB">
        <w:rPr>
          <w:szCs w:val="24"/>
        </w:rPr>
        <w:t xml:space="preserve">to </w:t>
      </w:r>
      <w:r w:rsidR="00146DBB">
        <w:rPr>
          <w:szCs w:val="24"/>
        </w:rPr>
        <w:t>prescribe</w:t>
      </w:r>
      <w:r w:rsidR="00146DBB" w:rsidRPr="00146DBB">
        <w:rPr>
          <w:szCs w:val="24"/>
        </w:rPr>
        <w:t xml:space="preserve"> utilities in </w:t>
      </w:r>
      <w:r w:rsidR="00CF4C2E" w:rsidRPr="00CF4C2E">
        <w:rPr>
          <w:szCs w:val="24"/>
        </w:rPr>
        <w:t xml:space="preserve">Tasmania, the Australian Capital Territory and the Northern Territory </w:t>
      </w:r>
      <w:r w:rsidR="00146DBB">
        <w:rPr>
          <w:szCs w:val="24"/>
        </w:rPr>
        <w:t xml:space="preserve">as exempt </w:t>
      </w:r>
      <w:r w:rsidR="00146DBB" w:rsidRPr="00146DBB">
        <w:rPr>
          <w:szCs w:val="24"/>
        </w:rPr>
        <w:t xml:space="preserve">from the </w:t>
      </w:r>
      <w:r w:rsidR="00146DBB">
        <w:rPr>
          <w:szCs w:val="24"/>
        </w:rPr>
        <w:t>external dispute resolution (</w:t>
      </w:r>
      <w:r w:rsidR="00146DBB" w:rsidRPr="00146DBB">
        <w:rPr>
          <w:szCs w:val="24"/>
        </w:rPr>
        <w:t>EDR</w:t>
      </w:r>
      <w:r w:rsidR="00146DBB">
        <w:rPr>
          <w:szCs w:val="24"/>
        </w:rPr>
        <w:t>)</w:t>
      </w:r>
      <w:r w:rsidR="00146DBB" w:rsidRPr="00146DBB">
        <w:rPr>
          <w:szCs w:val="24"/>
        </w:rPr>
        <w:t xml:space="preserve"> obligation</w:t>
      </w:r>
      <w:r w:rsidR="00146DBB">
        <w:rPr>
          <w:szCs w:val="24"/>
        </w:rPr>
        <w:t xml:space="preserve"> under</w:t>
      </w:r>
      <w:r w:rsidR="00146DBB" w:rsidRPr="00146DBB">
        <w:rPr>
          <w:szCs w:val="24"/>
        </w:rPr>
        <w:t xml:space="preserve"> subparagraph 21D(2)(a)(</w:t>
      </w:r>
      <w:proofErr w:type="spellStart"/>
      <w:r w:rsidR="00146DBB" w:rsidRPr="00146DBB">
        <w:rPr>
          <w:szCs w:val="24"/>
        </w:rPr>
        <w:t>i</w:t>
      </w:r>
      <w:proofErr w:type="spellEnd"/>
      <w:r w:rsidR="00146DBB" w:rsidRPr="00146DBB">
        <w:rPr>
          <w:szCs w:val="24"/>
        </w:rPr>
        <w:t xml:space="preserve">) of the </w:t>
      </w:r>
      <w:r w:rsidR="00146DBB" w:rsidRPr="00CB2E92">
        <w:rPr>
          <w:i/>
          <w:szCs w:val="24"/>
        </w:rPr>
        <w:t>Privacy Act</w:t>
      </w:r>
      <w:r w:rsidR="00146DBB">
        <w:rPr>
          <w:i/>
          <w:szCs w:val="24"/>
        </w:rPr>
        <w:t xml:space="preserve"> 1988</w:t>
      </w:r>
      <w:r w:rsidR="00146DBB" w:rsidRPr="00146DBB">
        <w:rPr>
          <w:szCs w:val="24"/>
        </w:rPr>
        <w:t xml:space="preserve"> </w:t>
      </w:r>
      <w:r w:rsidR="00146DBB">
        <w:rPr>
          <w:szCs w:val="24"/>
        </w:rPr>
        <w:t>until 1 </w:t>
      </w:r>
      <w:r w:rsidR="0097560D">
        <w:rPr>
          <w:szCs w:val="24"/>
        </w:rPr>
        <w:t>January </w:t>
      </w:r>
      <w:r w:rsidR="00146DBB" w:rsidRPr="00146DBB">
        <w:rPr>
          <w:szCs w:val="24"/>
        </w:rPr>
        <w:t xml:space="preserve">2017. </w:t>
      </w:r>
      <w:r w:rsidR="00146DBB">
        <w:rPr>
          <w:szCs w:val="24"/>
        </w:rPr>
        <w:t xml:space="preserve"> </w:t>
      </w:r>
      <w:r w:rsidRPr="00141BF7">
        <w:rPr>
          <w:szCs w:val="24"/>
        </w:rPr>
        <w:t xml:space="preserve">The effect of the Regulation is to </w:t>
      </w:r>
      <w:r w:rsidR="00146DBB">
        <w:rPr>
          <w:szCs w:val="24"/>
        </w:rPr>
        <w:t xml:space="preserve">temporarily exempt </w:t>
      </w:r>
      <w:r w:rsidRPr="00141BF7">
        <w:rPr>
          <w:szCs w:val="24"/>
        </w:rPr>
        <w:t xml:space="preserve">utilities (providers of water, gas, and electricity services) in </w:t>
      </w:r>
      <w:r w:rsidR="00CF4C2E" w:rsidRPr="00CF4C2E">
        <w:rPr>
          <w:szCs w:val="24"/>
        </w:rPr>
        <w:t>Tasmania, the Australian Capital Territory and the Northern Territory</w:t>
      </w:r>
      <w:r w:rsidR="00CF4C2E" w:rsidRPr="00CF4C2E" w:rsidDel="00CF4C2E">
        <w:rPr>
          <w:szCs w:val="24"/>
        </w:rPr>
        <w:t xml:space="preserve"> </w:t>
      </w:r>
      <w:r w:rsidRPr="00141BF7">
        <w:rPr>
          <w:szCs w:val="24"/>
        </w:rPr>
        <w:t xml:space="preserve">from the requirement to be a member of an external dispute resolution (EDR) scheme in order to disclose </w:t>
      </w:r>
      <w:r w:rsidR="00D557E2">
        <w:rPr>
          <w:szCs w:val="24"/>
        </w:rPr>
        <w:t xml:space="preserve">credit </w:t>
      </w:r>
      <w:r w:rsidRPr="00141BF7">
        <w:rPr>
          <w:szCs w:val="24"/>
        </w:rPr>
        <w:t>information to a credit reporting body</w:t>
      </w:r>
      <w:r w:rsidR="000A1D60" w:rsidRPr="00141BF7">
        <w:rPr>
          <w:szCs w:val="24"/>
        </w:rPr>
        <w:t xml:space="preserve">. </w:t>
      </w:r>
    </w:p>
    <w:p w:rsidR="0097560D" w:rsidRPr="00141BF7" w:rsidRDefault="0097560D" w:rsidP="0097560D">
      <w:pPr>
        <w:spacing w:before="0"/>
        <w:ind w:right="91"/>
        <w:rPr>
          <w:szCs w:val="24"/>
        </w:rPr>
      </w:pPr>
    </w:p>
    <w:p w:rsidR="00011EED" w:rsidRDefault="00011EED" w:rsidP="0097560D">
      <w:pPr>
        <w:spacing w:before="0"/>
        <w:rPr>
          <w:b/>
        </w:rPr>
      </w:pPr>
      <w:r w:rsidRPr="00141BF7">
        <w:rPr>
          <w:b/>
        </w:rPr>
        <w:t>Human rights implications</w:t>
      </w:r>
    </w:p>
    <w:p w:rsidR="0097560D" w:rsidRPr="00141BF7" w:rsidRDefault="0097560D" w:rsidP="0097560D">
      <w:pPr>
        <w:spacing w:before="0"/>
        <w:rPr>
          <w:b/>
        </w:rPr>
      </w:pPr>
    </w:p>
    <w:p w:rsidR="0097560D" w:rsidRDefault="00011EED" w:rsidP="0097560D">
      <w:pPr>
        <w:keepLines/>
        <w:spacing w:before="0"/>
        <w:ind w:right="91"/>
      </w:pPr>
      <w:r w:rsidRPr="00141BF7">
        <w:t>This Legislative Instrument engages the right to the protection against arbitrary interference with privacy, protected in Article 17 of the International Covenant on Civil and Political Rights (ICCPR).  The right to privacy in Article 17 of the ICCPR prohibits unlawful or arbitrary interferences with a person’s privacy, fam</w:t>
      </w:r>
      <w:r w:rsidR="00FA21A4" w:rsidRPr="00141BF7">
        <w:t xml:space="preserve">ily, home and correspondence.  </w:t>
      </w:r>
      <w:r w:rsidRPr="00141BF7">
        <w:t>In order for an interference with a right not to be ‘arbitrary’, the interference must be for a reason consistent with the relevant Convention and reasonable in the particular circumstances.</w:t>
      </w:r>
    </w:p>
    <w:p w:rsidR="0097560D" w:rsidRPr="00141BF7" w:rsidRDefault="0097560D" w:rsidP="0097560D">
      <w:pPr>
        <w:keepLines/>
        <w:spacing w:before="0"/>
        <w:ind w:right="91"/>
      </w:pPr>
    </w:p>
    <w:p w:rsidR="00011EED" w:rsidRDefault="00011EED" w:rsidP="0097560D">
      <w:pPr>
        <w:spacing w:before="0"/>
        <w:ind w:right="91"/>
        <w:rPr>
          <w:szCs w:val="24"/>
        </w:rPr>
      </w:pPr>
      <w:r w:rsidRPr="00141BF7">
        <w:t xml:space="preserve">The Regulation engages with the use and disclosure of credit information.  </w:t>
      </w:r>
      <w:r w:rsidR="00416AF3" w:rsidRPr="00141BF7">
        <w:t>By providing that</w:t>
      </w:r>
      <w:r w:rsidRPr="00141BF7">
        <w:t xml:space="preserve"> the exemption</w:t>
      </w:r>
      <w:r w:rsidRPr="00141BF7">
        <w:rPr>
          <w:szCs w:val="24"/>
        </w:rPr>
        <w:t xml:space="preserve"> </w:t>
      </w:r>
      <w:r w:rsidR="00416AF3" w:rsidRPr="00141BF7">
        <w:rPr>
          <w:szCs w:val="24"/>
        </w:rPr>
        <w:t xml:space="preserve">for utilities </w:t>
      </w:r>
      <w:r w:rsidRPr="00141BF7">
        <w:rPr>
          <w:szCs w:val="24"/>
        </w:rPr>
        <w:t xml:space="preserve">from the EDR </w:t>
      </w:r>
      <w:r w:rsidR="00416AF3" w:rsidRPr="00141BF7">
        <w:rPr>
          <w:szCs w:val="24"/>
        </w:rPr>
        <w:t>membership obligation</w:t>
      </w:r>
      <w:r w:rsidRPr="00141BF7">
        <w:rPr>
          <w:szCs w:val="24"/>
        </w:rPr>
        <w:t xml:space="preserve"> is</w:t>
      </w:r>
      <w:r w:rsidR="00FA21A4" w:rsidRPr="00141BF7">
        <w:rPr>
          <w:szCs w:val="24"/>
        </w:rPr>
        <w:t xml:space="preserve"> time</w:t>
      </w:r>
      <w:r w:rsidRPr="00141BF7">
        <w:t xml:space="preserve"> limited </w:t>
      </w:r>
      <w:r w:rsidR="00416AF3" w:rsidRPr="00141BF7">
        <w:t>to 1 </w:t>
      </w:r>
      <w:r w:rsidR="0097560D">
        <w:t>January </w:t>
      </w:r>
      <w:r w:rsidR="001B16AD" w:rsidRPr="00141BF7">
        <w:t>2017</w:t>
      </w:r>
      <w:r w:rsidR="00416AF3" w:rsidRPr="00141BF7">
        <w:t>,</w:t>
      </w:r>
      <w:r w:rsidR="00FA21A4" w:rsidRPr="00141BF7">
        <w:t xml:space="preserve"> and </w:t>
      </w:r>
      <w:r w:rsidR="00416AF3" w:rsidRPr="00141BF7">
        <w:t xml:space="preserve">by limiting the application of the exemption </w:t>
      </w:r>
      <w:r w:rsidRPr="00141BF7">
        <w:t xml:space="preserve">to </w:t>
      </w:r>
      <w:r w:rsidR="00416AF3" w:rsidRPr="00141BF7">
        <w:t xml:space="preserve">only </w:t>
      </w:r>
      <w:r w:rsidRPr="00141BF7">
        <w:t xml:space="preserve">those </w:t>
      </w:r>
      <w:r w:rsidR="00416AF3" w:rsidRPr="00141BF7">
        <w:rPr>
          <w:szCs w:val="24"/>
        </w:rPr>
        <w:t xml:space="preserve">utilities </w:t>
      </w:r>
      <w:r w:rsidR="00FA21A4" w:rsidRPr="00141BF7">
        <w:rPr>
          <w:szCs w:val="24"/>
        </w:rPr>
        <w:t xml:space="preserve">operating in </w:t>
      </w:r>
      <w:r w:rsidR="00CF4C2E" w:rsidRPr="00CF4C2E">
        <w:t>Tasmania, the Australian Capital Territory and the Northern Territory</w:t>
      </w:r>
      <w:r w:rsidR="00416AF3" w:rsidRPr="00141BF7">
        <w:t>,</w:t>
      </w:r>
      <w:r w:rsidR="00FA21A4" w:rsidRPr="00141BF7">
        <w:t xml:space="preserve"> </w:t>
      </w:r>
      <w:r w:rsidRPr="00141BF7">
        <w:t>the Regulation ensures that consumers are not disadvantaged simply because of th</w:t>
      </w:r>
      <w:r w:rsidR="00FA21A4" w:rsidRPr="00141BF7">
        <w:t>eir jurisdiction of residence.</w:t>
      </w:r>
      <w:r w:rsidR="00E41711" w:rsidRPr="00141BF7">
        <w:t xml:space="preserve"> </w:t>
      </w:r>
      <w:r w:rsidR="00146DBB">
        <w:t xml:space="preserve"> </w:t>
      </w:r>
      <w:r w:rsidRPr="00141BF7">
        <w:rPr>
          <w:szCs w:val="24"/>
        </w:rPr>
        <w:t>The measures are time limited, reasonable, necessary and proportionate as they ensure that a discrete subset of personal data is used for the purpose of providing ess</w:t>
      </w:r>
      <w:r w:rsidR="000054AA" w:rsidRPr="00141BF7">
        <w:rPr>
          <w:szCs w:val="24"/>
        </w:rPr>
        <w:t>ential services to Australians.</w:t>
      </w:r>
      <w:r w:rsidR="00BA065E" w:rsidRPr="00141BF7">
        <w:rPr>
          <w:szCs w:val="24"/>
        </w:rPr>
        <w:t xml:space="preserve"> </w:t>
      </w:r>
      <w:r w:rsidR="00BA065E" w:rsidRPr="00141BF7">
        <w:t xml:space="preserve"> </w:t>
      </w:r>
      <w:r w:rsidRPr="00141BF7">
        <w:rPr>
          <w:szCs w:val="24"/>
        </w:rPr>
        <w:t xml:space="preserve">These are legitimate objectives consistent with the </w:t>
      </w:r>
      <w:r w:rsidR="00FA21A4" w:rsidRPr="00141BF7">
        <w:rPr>
          <w:szCs w:val="24"/>
        </w:rPr>
        <w:t>Privacy</w:t>
      </w:r>
      <w:r w:rsidRPr="00141BF7">
        <w:rPr>
          <w:szCs w:val="24"/>
        </w:rPr>
        <w:t xml:space="preserve"> Act.</w:t>
      </w:r>
    </w:p>
    <w:p w:rsidR="0097560D" w:rsidRPr="00141BF7" w:rsidRDefault="0097560D" w:rsidP="0097560D">
      <w:pPr>
        <w:spacing w:before="0"/>
        <w:ind w:right="91"/>
        <w:rPr>
          <w:szCs w:val="24"/>
        </w:rPr>
      </w:pPr>
    </w:p>
    <w:p w:rsidR="00011EED" w:rsidRDefault="00011EED" w:rsidP="0097560D">
      <w:pPr>
        <w:spacing w:before="0"/>
        <w:rPr>
          <w:b/>
        </w:rPr>
      </w:pPr>
      <w:r w:rsidRPr="00141BF7">
        <w:rPr>
          <w:b/>
        </w:rPr>
        <w:t>Conclusion</w:t>
      </w:r>
    </w:p>
    <w:p w:rsidR="0097560D" w:rsidRPr="00141BF7" w:rsidRDefault="0097560D" w:rsidP="0097560D">
      <w:pPr>
        <w:spacing w:before="0"/>
        <w:rPr>
          <w:b/>
        </w:rPr>
      </w:pPr>
    </w:p>
    <w:p w:rsidR="00902845" w:rsidRDefault="00011EED" w:rsidP="0097560D">
      <w:pPr>
        <w:spacing w:before="0"/>
      </w:pPr>
      <w:r w:rsidRPr="00141BF7">
        <w:t>This Legislative Instrument engages with the right to privacy, through the use and disclosure of personal data, and does so in a reasonable and proportionate way.</w:t>
      </w:r>
      <w:r>
        <w:t xml:space="preserve"> </w:t>
      </w:r>
    </w:p>
    <w:sectPr w:rsidR="00902845" w:rsidSect="009670D2">
      <w:headerReference w:type="even" r:id="rId7"/>
      <w:headerReference w:type="default" r:id="rId8"/>
      <w:footerReference w:type="first" r:id="rId9"/>
      <w:pgSz w:w="11907" w:h="16840" w:code="9"/>
      <w:pgMar w:top="1134" w:right="1797" w:bottom="1134" w:left="1797" w:header="720" w:footer="79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22" w:rsidRDefault="007C0B22">
      <w:pPr>
        <w:spacing w:before="0"/>
      </w:pPr>
      <w:r>
        <w:separator/>
      </w:r>
    </w:p>
  </w:endnote>
  <w:endnote w:type="continuationSeparator" w:id="0">
    <w:p w:rsidR="007C0B22" w:rsidRDefault="007C0B2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22" w:rsidRDefault="007C0B2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22" w:rsidRDefault="007C0B22">
      <w:pPr>
        <w:spacing w:before="0"/>
      </w:pPr>
      <w:r>
        <w:separator/>
      </w:r>
    </w:p>
  </w:footnote>
  <w:footnote w:type="continuationSeparator" w:id="0">
    <w:p w:rsidR="007C0B22" w:rsidRDefault="007C0B2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22" w:rsidRDefault="007C0B22" w:rsidP="009670D2">
    <w:pPr>
      <w:pStyle w:val="Header"/>
      <w:jc w:val="center"/>
    </w:pPr>
    <w:r>
      <w:t>2</w:t>
    </w:r>
  </w:p>
  <w:p w:rsidR="007C0B22" w:rsidRDefault="007C0B22" w:rsidP="009670D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620826"/>
      <w:docPartObj>
        <w:docPartGallery w:val="Page Numbers (Top of Page)"/>
        <w:docPartUnique/>
      </w:docPartObj>
    </w:sdtPr>
    <w:sdtEndPr>
      <w:rPr>
        <w:noProof/>
      </w:rPr>
    </w:sdtEndPr>
    <w:sdtContent>
      <w:p w:rsidR="007C0B22" w:rsidRDefault="007C0B22">
        <w:pPr>
          <w:pStyle w:val="Header"/>
          <w:jc w:val="center"/>
        </w:pPr>
        <w:r>
          <w:fldChar w:fldCharType="begin"/>
        </w:r>
        <w:r>
          <w:instrText xml:space="preserve"> PAGE   \* MERGEFORMAT </w:instrText>
        </w:r>
        <w:r>
          <w:fldChar w:fldCharType="separate"/>
        </w:r>
        <w:r w:rsidR="00FE7E97">
          <w:rPr>
            <w:noProof/>
          </w:rPr>
          <w:t>2</w:t>
        </w:r>
        <w:r>
          <w:rPr>
            <w:noProof/>
          </w:rPr>
          <w:fldChar w:fldCharType="end"/>
        </w:r>
      </w:p>
    </w:sdtContent>
  </w:sdt>
  <w:p w:rsidR="007C0B22" w:rsidRDefault="007C0B22" w:rsidP="009670D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ED"/>
    <w:rsid w:val="00002402"/>
    <w:rsid w:val="000054AA"/>
    <w:rsid w:val="00011EED"/>
    <w:rsid w:val="00062D13"/>
    <w:rsid w:val="00070728"/>
    <w:rsid w:val="000949AB"/>
    <w:rsid w:val="000A1D60"/>
    <w:rsid w:val="000A318D"/>
    <w:rsid w:val="000B1B44"/>
    <w:rsid w:val="000C3BA4"/>
    <w:rsid w:val="000E2589"/>
    <w:rsid w:val="001034DD"/>
    <w:rsid w:val="00141BF7"/>
    <w:rsid w:val="00146DBB"/>
    <w:rsid w:val="00164CB2"/>
    <w:rsid w:val="001B1684"/>
    <w:rsid w:val="001B16AD"/>
    <w:rsid w:val="001D6583"/>
    <w:rsid w:val="001F2761"/>
    <w:rsid w:val="00221545"/>
    <w:rsid w:val="002B5D3F"/>
    <w:rsid w:val="0031239F"/>
    <w:rsid w:val="00330679"/>
    <w:rsid w:val="003447D5"/>
    <w:rsid w:val="0036344B"/>
    <w:rsid w:val="00370D79"/>
    <w:rsid w:val="003A311F"/>
    <w:rsid w:val="00413AA0"/>
    <w:rsid w:val="00416AF3"/>
    <w:rsid w:val="00427268"/>
    <w:rsid w:val="00475193"/>
    <w:rsid w:val="004E119E"/>
    <w:rsid w:val="00521348"/>
    <w:rsid w:val="005730FF"/>
    <w:rsid w:val="0057462B"/>
    <w:rsid w:val="005E5319"/>
    <w:rsid w:val="00604874"/>
    <w:rsid w:val="00662A59"/>
    <w:rsid w:val="00663F47"/>
    <w:rsid w:val="00664A97"/>
    <w:rsid w:val="00666345"/>
    <w:rsid w:val="006672F5"/>
    <w:rsid w:val="00687A4A"/>
    <w:rsid w:val="006A5076"/>
    <w:rsid w:val="006C0101"/>
    <w:rsid w:val="006D6A7E"/>
    <w:rsid w:val="006F4122"/>
    <w:rsid w:val="00707DB0"/>
    <w:rsid w:val="00723E33"/>
    <w:rsid w:val="00784FA6"/>
    <w:rsid w:val="007C0B22"/>
    <w:rsid w:val="007C281E"/>
    <w:rsid w:val="007D5297"/>
    <w:rsid w:val="007E0BF8"/>
    <w:rsid w:val="00815B55"/>
    <w:rsid w:val="0082050A"/>
    <w:rsid w:val="008C3726"/>
    <w:rsid w:val="00902845"/>
    <w:rsid w:val="00932755"/>
    <w:rsid w:val="00932E3C"/>
    <w:rsid w:val="009670D2"/>
    <w:rsid w:val="0097560D"/>
    <w:rsid w:val="009867F2"/>
    <w:rsid w:val="009C1D7C"/>
    <w:rsid w:val="00A06207"/>
    <w:rsid w:val="00A06D85"/>
    <w:rsid w:val="00A80091"/>
    <w:rsid w:val="00AF2DBF"/>
    <w:rsid w:val="00B002A1"/>
    <w:rsid w:val="00B23E79"/>
    <w:rsid w:val="00B840C0"/>
    <w:rsid w:val="00BA065E"/>
    <w:rsid w:val="00BA6E6E"/>
    <w:rsid w:val="00BC739F"/>
    <w:rsid w:val="00BE6A6D"/>
    <w:rsid w:val="00BF1FF8"/>
    <w:rsid w:val="00BF243C"/>
    <w:rsid w:val="00C94FA1"/>
    <w:rsid w:val="00CA50F3"/>
    <w:rsid w:val="00CB2E92"/>
    <w:rsid w:val="00CB7FFB"/>
    <w:rsid w:val="00CF4C2E"/>
    <w:rsid w:val="00D11799"/>
    <w:rsid w:val="00D45BC2"/>
    <w:rsid w:val="00D51C95"/>
    <w:rsid w:val="00D557E2"/>
    <w:rsid w:val="00D74C72"/>
    <w:rsid w:val="00D77C09"/>
    <w:rsid w:val="00DF69BA"/>
    <w:rsid w:val="00E019CF"/>
    <w:rsid w:val="00E158D4"/>
    <w:rsid w:val="00E242D9"/>
    <w:rsid w:val="00E41711"/>
    <w:rsid w:val="00E46771"/>
    <w:rsid w:val="00E51D16"/>
    <w:rsid w:val="00E56EFD"/>
    <w:rsid w:val="00E7048C"/>
    <w:rsid w:val="00EB24FE"/>
    <w:rsid w:val="00ED2F61"/>
    <w:rsid w:val="00ED72C6"/>
    <w:rsid w:val="00EF66AA"/>
    <w:rsid w:val="00FA21A4"/>
    <w:rsid w:val="00FA49D0"/>
    <w:rsid w:val="00FA5538"/>
    <w:rsid w:val="00FE7E97"/>
    <w:rsid w:val="00FF4EBA"/>
    <w:rsid w:val="00FF54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ED"/>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1EED"/>
    <w:pPr>
      <w:tabs>
        <w:tab w:val="center" w:pos="4153"/>
        <w:tab w:val="right" w:pos="8306"/>
      </w:tabs>
    </w:pPr>
  </w:style>
  <w:style w:type="character" w:customStyle="1" w:styleId="FooterChar">
    <w:name w:val="Footer Char"/>
    <w:basedOn w:val="DefaultParagraphFont"/>
    <w:link w:val="Footer"/>
    <w:rsid w:val="00011EED"/>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011EED"/>
    <w:pPr>
      <w:tabs>
        <w:tab w:val="center" w:pos="4153"/>
        <w:tab w:val="right" w:pos="8306"/>
      </w:tabs>
    </w:pPr>
  </w:style>
  <w:style w:type="character" w:customStyle="1" w:styleId="HeaderChar">
    <w:name w:val="Header Char"/>
    <w:basedOn w:val="DefaultParagraphFont"/>
    <w:link w:val="Header"/>
    <w:uiPriority w:val="99"/>
    <w:rsid w:val="00011EED"/>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BA6E6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E6E"/>
    <w:rPr>
      <w:rFonts w:ascii="Tahoma" w:eastAsia="Times New Roman" w:hAnsi="Tahoma" w:cs="Tahoma"/>
      <w:sz w:val="16"/>
      <w:szCs w:val="16"/>
      <w:lang w:eastAsia="en-AU"/>
    </w:rPr>
  </w:style>
  <w:style w:type="paragraph" w:styleId="NormalWeb">
    <w:name w:val="Normal (Web)"/>
    <w:basedOn w:val="Normal"/>
    <w:rsid w:val="00427268"/>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D11799"/>
    <w:rPr>
      <w:sz w:val="16"/>
      <w:szCs w:val="16"/>
    </w:rPr>
  </w:style>
  <w:style w:type="paragraph" w:styleId="CommentText">
    <w:name w:val="annotation text"/>
    <w:basedOn w:val="Normal"/>
    <w:link w:val="CommentTextChar"/>
    <w:uiPriority w:val="99"/>
    <w:semiHidden/>
    <w:unhideWhenUsed/>
    <w:rsid w:val="00D11799"/>
    <w:rPr>
      <w:sz w:val="20"/>
    </w:rPr>
  </w:style>
  <w:style w:type="character" w:customStyle="1" w:styleId="CommentTextChar">
    <w:name w:val="Comment Text Char"/>
    <w:basedOn w:val="DefaultParagraphFont"/>
    <w:link w:val="CommentText"/>
    <w:uiPriority w:val="99"/>
    <w:semiHidden/>
    <w:rsid w:val="00D1179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11799"/>
    <w:rPr>
      <w:b/>
      <w:bCs/>
    </w:rPr>
  </w:style>
  <w:style w:type="character" w:customStyle="1" w:styleId="CommentSubjectChar">
    <w:name w:val="Comment Subject Char"/>
    <w:basedOn w:val="CommentTextChar"/>
    <w:link w:val="CommentSubject"/>
    <w:uiPriority w:val="99"/>
    <w:semiHidden/>
    <w:rsid w:val="00D11799"/>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ED"/>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1EED"/>
    <w:pPr>
      <w:tabs>
        <w:tab w:val="center" w:pos="4153"/>
        <w:tab w:val="right" w:pos="8306"/>
      </w:tabs>
    </w:pPr>
  </w:style>
  <w:style w:type="character" w:customStyle="1" w:styleId="FooterChar">
    <w:name w:val="Footer Char"/>
    <w:basedOn w:val="DefaultParagraphFont"/>
    <w:link w:val="Footer"/>
    <w:rsid w:val="00011EED"/>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011EED"/>
    <w:pPr>
      <w:tabs>
        <w:tab w:val="center" w:pos="4153"/>
        <w:tab w:val="right" w:pos="8306"/>
      </w:tabs>
    </w:pPr>
  </w:style>
  <w:style w:type="character" w:customStyle="1" w:styleId="HeaderChar">
    <w:name w:val="Header Char"/>
    <w:basedOn w:val="DefaultParagraphFont"/>
    <w:link w:val="Header"/>
    <w:uiPriority w:val="99"/>
    <w:rsid w:val="00011EED"/>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BA6E6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E6E"/>
    <w:rPr>
      <w:rFonts w:ascii="Tahoma" w:eastAsia="Times New Roman" w:hAnsi="Tahoma" w:cs="Tahoma"/>
      <w:sz w:val="16"/>
      <w:szCs w:val="16"/>
      <w:lang w:eastAsia="en-AU"/>
    </w:rPr>
  </w:style>
  <w:style w:type="paragraph" w:styleId="NormalWeb">
    <w:name w:val="Normal (Web)"/>
    <w:basedOn w:val="Normal"/>
    <w:rsid w:val="00427268"/>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D11799"/>
    <w:rPr>
      <w:sz w:val="16"/>
      <w:szCs w:val="16"/>
    </w:rPr>
  </w:style>
  <w:style w:type="paragraph" w:styleId="CommentText">
    <w:name w:val="annotation text"/>
    <w:basedOn w:val="Normal"/>
    <w:link w:val="CommentTextChar"/>
    <w:uiPriority w:val="99"/>
    <w:semiHidden/>
    <w:unhideWhenUsed/>
    <w:rsid w:val="00D11799"/>
    <w:rPr>
      <w:sz w:val="20"/>
    </w:rPr>
  </w:style>
  <w:style w:type="character" w:customStyle="1" w:styleId="CommentTextChar">
    <w:name w:val="Comment Text Char"/>
    <w:basedOn w:val="DefaultParagraphFont"/>
    <w:link w:val="CommentText"/>
    <w:uiPriority w:val="99"/>
    <w:semiHidden/>
    <w:rsid w:val="00D1179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11799"/>
    <w:rPr>
      <w:b/>
      <w:bCs/>
    </w:rPr>
  </w:style>
  <w:style w:type="character" w:customStyle="1" w:styleId="CommentSubjectChar">
    <w:name w:val="Comment Subject Char"/>
    <w:basedOn w:val="CommentTextChar"/>
    <w:link w:val="CommentSubject"/>
    <w:uiPriority w:val="99"/>
    <w:semiHidden/>
    <w:rsid w:val="00D11799"/>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teowan</dc:creator>
  <cp:lastModifiedBy>scopec</cp:lastModifiedBy>
  <cp:revision>10</cp:revision>
  <cp:lastPrinted>2016-04-12T06:28:00Z</cp:lastPrinted>
  <dcterms:created xsi:type="dcterms:W3CDTF">2016-04-11T05:23:00Z</dcterms:created>
  <dcterms:modified xsi:type="dcterms:W3CDTF">2016-04-14T05:03:00Z</dcterms:modified>
</cp:coreProperties>
</file>