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3B097" w14:textId="77777777" w:rsidR="00F109D4" w:rsidRPr="00503E44" w:rsidRDefault="00F109D4" w:rsidP="00A12209">
      <w:pPr>
        <w:pStyle w:val="Heading1"/>
      </w:pPr>
      <w:r w:rsidRPr="00503E44">
        <w:t>EXPLANATORY STATEMENT</w:t>
      </w:r>
    </w:p>
    <w:p w14:paraId="5953A730" w14:textId="77777777" w:rsidR="00F109D4" w:rsidRPr="00503E44" w:rsidRDefault="00F109D4" w:rsidP="00AC536D">
      <w:pPr>
        <w:pStyle w:val="Heading2"/>
        <w:jc w:val="center"/>
      </w:pPr>
      <w:r w:rsidRPr="00503E44">
        <w:t xml:space="preserve">Issued by authority of the </w:t>
      </w:r>
      <w:r w:rsidR="00B11104">
        <w:t>Treasurer</w:t>
      </w:r>
    </w:p>
    <w:p w14:paraId="72501B84" w14:textId="77777777" w:rsidR="00AC536D" w:rsidRDefault="00AC536D">
      <w:pPr>
        <w:jc w:val="center"/>
        <w:rPr>
          <w:i/>
        </w:rPr>
      </w:pPr>
    </w:p>
    <w:p w14:paraId="7941D080" w14:textId="77777777" w:rsidR="00F109D4" w:rsidRPr="00503E44" w:rsidRDefault="00B11104">
      <w:pPr>
        <w:jc w:val="center"/>
        <w:rPr>
          <w:i/>
        </w:rPr>
      </w:pPr>
      <w:bookmarkStart w:id="0" w:name="_GoBack"/>
      <w:bookmarkEnd w:id="0"/>
      <w:r>
        <w:rPr>
          <w:i/>
        </w:rPr>
        <w:t>Reserve Bank Act 1959</w:t>
      </w:r>
    </w:p>
    <w:p w14:paraId="6CE8A633" w14:textId="77777777" w:rsidR="00F109D4" w:rsidRPr="00503E44" w:rsidRDefault="00B11104">
      <w:pPr>
        <w:tabs>
          <w:tab w:val="left" w:pos="1418"/>
        </w:tabs>
        <w:spacing w:after="240"/>
        <w:jc w:val="center"/>
        <w:rPr>
          <w:i/>
        </w:rPr>
      </w:pPr>
      <w:r>
        <w:rPr>
          <w:i/>
        </w:rPr>
        <w:t>Reserve Bank Regulation 2016</w:t>
      </w:r>
    </w:p>
    <w:p w14:paraId="343CDB5A" w14:textId="7ED05632" w:rsidR="00F109D4" w:rsidRDefault="00C55D29">
      <w:r w:rsidRPr="00503E44">
        <w:t xml:space="preserve">Section </w:t>
      </w:r>
      <w:r w:rsidR="00B11104">
        <w:t>89</w:t>
      </w:r>
      <w:r w:rsidR="00F109D4" w:rsidRPr="00503E44">
        <w:t xml:space="preserve"> of the </w:t>
      </w:r>
      <w:r w:rsidR="00B11104" w:rsidRPr="00B11104">
        <w:rPr>
          <w:i/>
        </w:rPr>
        <w:t>Reserve Bank Act 1959</w:t>
      </w:r>
      <w:r w:rsidR="00F109D4" w:rsidRPr="00503E44">
        <w:t xml:space="preserve"> (the Act) provides that the Governor</w:t>
      </w:r>
      <w:r w:rsidR="000E5FE9">
        <w:noBreakHyphen/>
      </w:r>
      <w:r w:rsidR="00F109D4" w:rsidRPr="00503E44">
        <w:t>General may make regulations prescribing matters required or permitted by the Act to be prescribed, or necessary or convenient to be prescribed for carrying out or giving effect to the Act.</w:t>
      </w:r>
      <w:r w:rsidR="003F65C0">
        <w:t xml:space="preserve"> </w:t>
      </w:r>
      <w:r w:rsidR="003F65C0" w:rsidRPr="003F65C0">
        <w:t xml:space="preserve">Paragraph 79A(4)(c) </w:t>
      </w:r>
      <w:r w:rsidR="003F65C0">
        <w:t xml:space="preserve">of the Act </w:t>
      </w:r>
      <w:r w:rsidR="003F65C0" w:rsidRPr="003F65C0">
        <w:t>allows Reserve Bank</w:t>
      </w:r>
      <w:r w:rsidR="00AE06CD">
        <w:t xml:space="preserve"> (Bank)</w:t>
      </w:r>
      <w:r w:rsidR="003F65C0" w:rsidRPr="003F65C0">
        <w:t xml:space="preserve"> employees to disclose protected information or produce a protected document to any other person or body (including a foreign person or body) prescribed by the regulations, if they are satisfied that disclosure of the information, or the production of the document, will assist that other person or body to perform its functions or exercise its powers.</w:t>
      </w:r>
    </w:p>
    <w:p w14:paraId="24A4B3FF" w14:textId="146E6BF0" w:rsidR="00241C69" w:rsidRPr="00241C69" w:rsidRDefault="00241C69" w:rsidP="00241C69">
      <w:r w:rsidRPr="00241C69">
        <w:t xml:space="preserve">Amendments made </w:t>
      </w:r>
      <w:r w:rsidR="008536B8">
        <w:t>in</w:t>
      </w:r>
      <w:r w:rsidRPr="00241C69">
        <w:t xml:space="preserve"> the </w:t>
      </w:r>
      <w:r w:rsidRPr="00241C69">
        <w:rPr>
          <w:i/>
        </w:rPr>
        <w:t>Reserve Bank Regulation 2016</w:t>
      </w:r>
      <w:r w:rsidRPr="00241C69">
        <w:t xml:space="preserve"> (the Regulation) w</w:t>
      </w:r>
      <w:r w:rsidR="00AE06CD">
        <w:t>ill</w:t>
      </w:r>
      <w:r w:rsidRPr="00241C69">
        <w:t xml:space="preserve"> assist the Bank in performing its functions by allowing it to disclose protected information </w:t>
      </w:r>
      <w:r w:rsidR="008536B8">
        <w:t xml:space="preserve">and documents </w:t>
      </w:r>
      <w:r w:rsidRPr="00241C69">
        <w:t>to a small number of important domestic and international bodies and agencies. The Regulation also remake</w:t>
      </w:r>
      <w:r w:rsidR="00A7312B">
        <w:t>s</w:t>
      </w:r>
      <w:r w:rsidRPr="00241C69">
        <w:t xml:space="preserve"> the existing </w:t>
      </w:r>
      <w:r w:rsidRPr="00241C69">
        <w:rPr>
          <w:i/>
          <w:iCs/>
        </w:rPr>
        <w:t>Reserve Bank Regulations</w:t>
      </w:r>
      <w:r w:rsidRPr="00241C69">
        <w:rPr>
          <w:iCs/>
        </w:rPr>
        <w:t xml:space="preserve"> (the existing Regulations), which would otherwise ‘sunset’ on 1 April 2017</w:t>
      </w:r>
      <w:r w:rsidRPr="00241C69">
        <w:t xml:space="preserve">. </w:t>
      </w:r>
    </w:p>
    <w:p w14:paraId="77AF4117" w14:textId="77777777" w:rsidR="00241C69" w:rsidRPr="00241C69" w:rsidRDefault="00241C69" w:rsidP="00241C69">
      <w:pPr>
        <w:rPr>
          <w:i/>
        </w:rPr>
      </w:pPr>
      <w:r w:rsidRPr="00241C69">
        <w:rPr>
          <w:i/>
        </w:rPr>
        <w:t>Information sharing arrangements</w:t>
      </w:r>
    </w:p>
    <w:p w14:paraId="396E2BD7" w14:textId="77777777" w:rsidR="00241C69" w:rsidRPr="00241C69" w:rsidRDefault="00241C69" w:rsidP="00241C69">
      <w:r w:rsidRPr="00241C69">
        <w:t xml:space="preserve">The Bank is regularly faced with the need to share protected information with other official bodies in the execution of its functions and duties. The Act has secrecy provisions setting out the rules it must follow in doing so and defining the entities with which it is allowed to share such information. </w:t>
      </w:r>
    </w:p>
    <w:p w14:paraId="7BBCEC44" w14:textId="3186A168" w:rsidR="00B46D31" w:rsidRPr="00033234" w:rsidRDefault="00B46D31" w:rsidP="00B46D31">
      <w:pPr>
        <w:pStyle w:val="ListParagraph"/>
        <w:ind w:left="0"/>
        <w:rPr>
          <w:rFonts w:ascii="Times New Roman" w:hAnsi="Times New Roman"/>
          <w:sz w:val="24"/>
          <w:szCs w:val="24"/>
        </w:rPr>
      </w:pPr>
      <w:r w:rsidRPr="00033234">
        <w:rPr>
          <w:rFonts w:ascii="Times New Roman" w:hAnsi="Times New Roman"/>
          <w:sz w:val="24"/>
          <w:szCs w:val="24"/>
        </w:rPr>
        <w:t xml:space="preserve">Information </w:t>
      </w:r>
      <w:r w:rsidR="0067509B">
        <w:rPr>
          <w:rFonts w:ascii="Times New Roman" w:hAnsi="Times New Roman"/>
          <w:sz w:val="24"/>
          <w:szCs w:val="24"/>
        </w:rPr>
        <w:t>is</w:t>
      </w:r>
      <w:r w:rsidRPr="00033234">
        <w:rPr>
          <w:rFonts w:ascii="Times New Roman" w:hAnsi="Times New Roman"/>
          <w:sz w:val="24"/>
          <w:szCs w:val="24"/>
        </w:rPr>
        <w:t xml:space="preserve"> ‘protected’ for the purpose of section 79A of the </w:t>
      </w:r>
      <w:r w:rsidRPr="00033234">
        <w:rPr>
          <w:rFonts w:ascii="Times New Roman" w:hAnsi="Times New Roman"/>
          <w:iCs/>
          <w:sz w:val="24"/>
          <w:szCs w:val="24"/>
        </w:rPr>
        <w:t xml:space="preserve">Act </w:t>
      </w:r>
      <w:r w:rsidRPr="00033234">
        <w:rPr>
          <w:rFonts w:ascii="Times New Roman" w:hAnsi="Times New Roman"/>
          <w:sz w:val="24"/>
          <w:szCs w:val="24"/>
        </w:rPr>
        <w:t>if it:</w:t>
      </w:r>
    </w:p>
    <w:p w14:paraId="19C0EE2F" w14:textId="1A701459" w:rsidR="00B46D31" w:rsidRPr="00033234" w:rsidRDefault="00B46D31" w:rsidP="00B46D31">
      <w:pPr>
        <w:pStyle w:val="ListParagraph"/>
        <w:numPr>
          <w:ilvl w:val="1"/>
          <w:numId w:val="3"/>
        </w:numPr>
        <w:ind w:left="720"/>
        <w:rPr>
          <w:rFonts w:ascii="Times New Roman" w:hAnsi="Times New Roman"/>
          <w:sz w:val="24"/>
          <w:szCs w:val="24"/>
        </w:rPr>
      </w:pPr>
      <w:r w:rsidRPr="00033234">
        <w:rPr>
          <w:rFonts w:ascii="Times New Roman" w:hAnsi="Times New Roman"/>
          <w:sz w:val="24"/>
          <w:szCs w:val="24"/>
        </w:rPr>
        <w:t>is collected for the purpose of, or in performance or exercise of, the Bank</w:t>
      </w:r>
      <w:r w:rsidR="009A0745">
        <w:rPr>
          <w:rFonts w:ascii="Times New Roman" w:hAnsi="Times New Roman"/>
          <w:sz w:val="24"/>
          <w:szCs w:val="24"/>
        </w:rPr>
        <w:t>’</w:t>
      </w:r>
      <w:r w:rsidRPr="00033234">
        <w:rPr>
          <w:rFonts w:ascii="Times New Roman" w:hAnsi="Times New Roman"/>
          <w:sz w:val="24"/>
          <w:szCs w:val="24"/>
        </w:rPr>
        <w:t xml:space="preserve">s functions or powers under Part 7.3 of the </w:t>
      </w:r>
      <w:r w:rsidRPr="00033234">
        <w:rPr>
          <w:rFonts w:ascii="Times New Roman" w:hAnsi="Times New Roman"/>
          <w:i/>
          <w:iCs/>
          <w:sz w:val="24"/>
          <w:szCs w:val="24"/>
        </w:rPr>
        <w:t>Corporations Act 2001</w:t>
      </w:r>
      <w:r w:rsidRPr="00033234">
        <w:rPr>
          <w:rFonts w:ascii="Times New Roman" w:hAnsi="Times New Roman"/>
          <w:sz w:val="24"/>
          <w:szCs w:val="24"/>
        </w:rPr>
        <w:t xml:space="preserve"> (licensing and regulation of </w:t>
      </w:r>
      <w:r w:rsidR="009A0745">
        <w:rPr>
          <w:rFonts w:ascii="Times New Roman" w:hAnsi="Times New Roman"/>
          <w:sz w:val="24"/>
          <w:szCs w:val="24"/>
        </w:rPr>
        <w:t>clearing and settlement</w:t>
      </w:r>
      <w:r w:rsidRPr="00033234">
        <w:rPr>
          <w:rFonts w:ascii="Times New Roman" w:hAnsi="Times New Roman"/>
          <w:sz w:val="24"/>
          <w:szCs w:val="24"/>
        </w:rPr>
        <w:t xml:space="preserve"> facilities);</w:t>
      </w:r>
    </w:p>
    <w:p w14:paraId="197E2FC2" w14:textId="2E91C784" w:rsidR="00B46D31" w:rsidRPr="00033234" w:rsidRDefault="00B46D31" w:rsidP="00B46D31">
      <w:pPr>
        <w:pStyle w:val="ListParagraph"/>
        <w:numPr>
          <w:ilvl w:val="1"/>
          <w:numId w:val="3"/>
        </w:numPr>
        <w:ind w:left="720"/>
        <w:rPr>
          <w:rFonts w:ascii="Times New Roman" w:hAnsi="Times New Roman"/>
          <w:sz w:val="24"/>
          <w:szCs w:val="24"/>
        </w:rPr>
      </w:pPr>
      <w:r w:rsidRPr="00033234">
        <w:rPr>
          <w:rFonts w:ascii="Times New Roman" w:hAnsi="Times New Roman"/>
          <w:sz w:val="24"/>
          <w:szCs w:val="24"/>
        </w:rPr>
        <w:t>is collected for the purpose of, or in performance or exercise of, the Bank</w:t>
      </w:r>
      <w:r w:rsidR="009A0745">
        <w:rPr>
          <w:rFonts w:ascii="Times New Roman" w:hAnsi="Times New Roman"/>
          <w:sz w:val="24"/>
          <w:szCs w:val="24"/>
        </w:rPr>
        <w:t>’</w:t>
      </w:r>
      <w:r w:rsidRPr="00033234">
        <w:rPr>
          <w:rFonts w:ascii="Times New Roman" w:hAnsi="Times New Roman"/>
          <w:sz w:val="24"/>
          <w:szCs w:val="24"/>
        </w:rPr>
        <w:t xml:space="preserve">s functions or powers under Part 7.5A of the </w:t>
      </w:r>
      <w:r w:rsidRPr="00033234">
        <w:rPr>
          <w:rFonts w:ascii="Times New Roman" w:hAnsi="Times New Roman"/>
          <w:i/>
          <w:iCs/>
          <w:sz w:val="24"/>
          <w:szCs w:val="24"/>
        </w:rPr>
        <w:t>Corporations Act 2001</w:t>
      </w:r>
      <w:r w:rsidRPr="00033234">
        <w:rPr>
          <w:rFonts w:ascii="Times New Roman" w:hAnsi="Times New Roman"/>
          <w:sz w:val="24"/>
          <w:szCs w:val="24"/>
        </w:rPr>
        <w:t xml:space="preserve"> (licensing and regulation of derivative trade repositories);</w:t>
      </w:r>
      <w:r w:rsidR="00674B9E" w:rsidRPr="00033234">
        <w:rPr>
          <w:rFonts w:ascii="Times New Roman" w:hAnsi="Times New Roman"/>
          <w:sz w:val="24"/>
          <w:szCs w:val="24"/>
        </w:rPr>
        <w:t xml:space="preserve"> or</w:t>
      </w:r>
    </w:p>
    <w:p w14:paraId="18FADF2D" w14:textId="047F0376" w:rsidR="00B46D31" w:rsidRPr="00033234" w:rsidRDefault="00B46D31" w:rsidP="00B46D31">
      <w:pPr>
        <w:pStyle w:val="ListParagraph"/>
        <w:numPr>
          <w:ilvl w:val="1"/>
          <w:numId w:val="3"/>
        </w:numPr>
        <w:ind w:left="720"/>
        <w:rPr>
          <w:rFonts w:ascii="Times New Roman" w:hAnsi="Times New Roman"/>
          <w:sz w:val="24"/>
          <w:szCs w:val="24"/>
        </w:rPr>
      </w:pPr>
      <w:r w:rsidRPr="00033234">
        <w:rPr>
          <w:rFonts w:ascii="Times New Roman" w:hAnsi="Times New Roman"/>
          <w:sz w:val="24"/>
          <w:szCs w:val="24"/>
        </w:rPr>
        <w:t xml:space="preserve">is obtained under or for the purpose of the </w:t>
      </w:r>
      <w:r w:rsidRPr="00033234">
        <w:rPr>
          <w:rFonts w:ascii="Times New Roman" w:hAnsi="Times New Roman"/>
          <w:iCs/>
          <w:sz w:val="24"/>
          <w:szCs w:val="24"/>
        </w:rPr>
        <w:t>Act</w:t>
      </w:r>
      <w:r w:rsidRPr="00033234">
        <w:rPr>
          <w:rFonts w:ascii="Times New Roman" w:hAnsi="Times New Roman"/>
          <w:sz w:val="24"/>
          <w:szCs w:val="24"/>
        </w:rPr>
        <w:t xml:space="preserve">, the </w:t>
      </w:r>
      <w:r w:rsidRPr="00033234">
        <w:rPr>
          <w:rFonts w:ascii="Times New Roman" w:hAnsi="Times New Roman"/>
          <w:i/>
          <w:iCs/>
          <w:sz w:val="24"/>
          <w:szCs w:val="24"/>
        </w:rPr>
        <w:t>Banking Act 1959</w:t>
      </w:r>
      <w:r w:rsidRPr="00033234">
        <w:rPr>
          <w:rFonts w:ascii="Times New Roman" w:hAnsi="Times New Roman"/>
          <w:sz w:val="24"/>
          <w:szCs w:val="24"/>
        </w:rPr>
        <w:t xml:space="preserve">, the </w:t>
      </w:r>
      <w:r w:rsidRPr="00033234">
        <w:rPr>
          <w:rFonts w:ascii="Times New Roman" w:hAnsi="Times New Roman"/>
          <w:i/>
          <w:iCs/>
          <w:sz w:val="24"/>
          <w:szCs w:val="24"/>
        </w:rPr>
        <w:t>Payment Systems and Netting Act 1998</w:t>
      </w:r>
      <w:r w:rsidRPr="00033234">
        <w:rPr>
          <w:rFonts w:ascii="Times New Roman" w:hAnsi="Times New Roman"/>
          <w:sz w:val="24"/>
          <w:szCs w:val="24"/>
        </w:rPr>
        <w:t xml:space="preserve"> or the </w:t>
      </w:r>
      <w:r w:rsidRPr="00033234">
        <w:rPr>
          <w:rFonts w:ascii="Times New Roman" w:hAnsi="Times New Roman"/>
          <w:i/>
          <w:iCs/>
          <w:sz w:val="24"/>
          <w:szCs w:val="24"/>
        </w:rPr>
        <w:t>Payment Systems (Regulation) Act 1998</w:t>
      </w:r>
      <w:r w:rsidRPr="00033234">
        <w:rPr>
          <w:rFonts w:ascii="Times New Roman" w:hAnsi="Times New Roman"/>
          <w:sz w:val="24"/>
          <w:szCs w:val="24"/>
        </w:rPr>
        <w:t xml:space="preserve"> </w:t>
      </w:r>
      <w:r w:rsidRPr="00033234">
        <w:rPr>
          <w:rFonts w:ascii="Times New Roman" w:hAnsi="Times New Roman"/>
          <w:b/>
          <w:bCs/>
          <w:sz w:val="24"/>
          <w:szCs w:val="24"/>
        </w:rPr>
        <w:t>AND</w:t>
      </w:r>
      <w:r w:rsidRPr="00033234">
        <w:rPr>
          <w:rFonts w:ascii="Times New Roman" w:hAnsi="Times New Roman"/>
          <w:sz w:val="24"/>
          <w:szCs w:val="24"/>
        </w:rPr>
        <w:t xml:space="preserve"> relates to the affairs of:</w:t>
      </w:r>
    </w:p>
    <w:p w14:paraId="6B506F93" w14:textId="39F8EDA6" w:rsidR="00B46D31" w:rsidRPr="00033234" w:rsidRDefault="00F41EE7" w:rsidP="00B46D31">
      <w:pPr>
        <w:pStyle w:val="ListParagraph"/>
        <w:numPr>
          <w:ilvl w:val="2"/>
          <w:numId w:val="3"/>
        </w:numPr>
        <w:ind w:left="1440"/>
        <w:rPr>
          <w:rFonts w:ascii="Times New Roman" w:hAnsi="Times New Roman"/>
          <w:sz w:val="24"/>
          <w:szCs w:val="24"/>
        </w:rPr>
      </w:pPr>
      <w:r w:rsidRPr="00033234">
        <w:rPr>
          <w:rFonts w:ascii="Times New Roman" w:hAnsi="Times New Roman"/>
          <w:sz w:val="24"/>
          <w:szCs w:val="24"/>
        </w:rPr>
        <w:t>a</w:t>
      </w:r>
      <w:r w:rsidR="00B46D31" w:rsidRPr="00033234">
        <w:rPr>
          <w:rFonts w:ascii="Times New Roman" w:hAnsi="Times New Roman"/>
          <w:sz w:val="24"/>
          <w:szCs w:val="24"/>
        </w:rPr>
        <w:t xml:space="preserve"> financial institution;</w:t>
      </w:r>
    </w:p>
    <w:p w14:paraId="07D55D61" w14:textId="2C6FAAEA" w:rsidR="00B46D31" w:rsidRPr="00033234" w:rsidRDefault="00F41EE7" w:rsidP="00B46D31">
      <w:pPr>
        <w:pStyle w:val="ListParagraph"/>
        <w:numPr>
          <w:ilvl w:val="2"/>
          <w:numId w:val="3"/>
        </w:numPr>
        <w:ind w:left="1440"/>
        <w:rPr>
          <w:rFonts w:ascii="Times New Roman" w:hAnsi="Times New Roman"/>
          <w:sz w:val="24"/>
          <w:szCs w:val="24"/>
        </w:rPr>
      </w:pPr>
      <w:r w:rsidRPr="00033234">
        <w:rPr>
          <w:rFonts w:ascii="Times New Roman" w:hAnsi="Times New Roman"/>
          <w:sz w:val="24"/>
          <w:szCs w:val="24"/>
        </w:rPr>
        <w:t>a</w:t>
      </w:r>
      <w:r w:rsidR="00B46D31" w:rsidRPr="00033234">
        <w:rPr>
          <w:rFonts w:ascii="Times New Roman" w:hAnsi="Times New Roman"/>
          <w:sz w:val="24"/>
          <w:szCs w:val="24"/>
        </w:rPr>
        <w:t xml:space="preserve"> related body corporate of a financial institution; or</w:t>
      </w:r>
    </w:p>
    <w:p w14:paraId="1F6C1933" w14:textId="3DFC467E" w:rsidR="00B46D31" w:rsidRPr="00033234" w:rsidRDefault="00F41EE7" w:rsidP="00B46D31">
      <w:pPr>
        <w:pStyle w:val="ListParagraph"/>
        <w:numPr>
          <w:ilvl w:val="2"/>
          <w:numId w:val="3"/>
        </w:numPr>
        <w:ind w:left="1440"/>
        <w:rPr>
          <w:rFonts w:ascii="Times New Roman" w:hAnsi="Times New Roman"/>
          <w:sz w:val="24"/>
          <w:szCs w:val="24"/>
        </w:rPr>
      </w:pPr>
      <w:r w:rsidRPr="00033234">
        <w:rPr>
          <w:rFonts w:ascii="Times New Roman" w:hAnsi="Times New Roman"/>
          <w:sz w:val="24"/>
          <w:szCs w:val="24"/>
        </w:rPr>
        <w:t>a</w:t>
      </w:r>
      <w:r w:rsidR="00B46D31" w:rsidRPr="00033234">
        <w:rPr>
          <w:rFonts w:ascii="Times New Roman" w:hAnsi="Times New Roman"/>
          <w:sz w:val="24"/>
          <w:szCs w:val="24"/>
        </w:rPr>
        <w:t xml:space="preserve"> person who is or has been a customer of a financial institution.</w:t>
      </w:r>
    </w:p>
    <w:p w14:paraId="2CF629DB" w14:textId="6A4C12B3" w:rsidR="00241C69" w:rsidRPr="00033234" w:rsidRDefault="00674B9E" w:rsidP="00B46D31">
      <w:r w:rsidRPr="00033234">
        <w:rPr>
          <w:szCs w:val="24"/>
        </w:rPr>
        <w:t>W</w:t>
      </w:r>
      <w:r w:rsidR="00B46D31" w:rsidRPr="00033234">
        <w:rPr>
          <w:szCs w:val="24"/>
        </w:rPr>
        <w:t xml:space="preserve">hile the definition also refers to the repealed </w:t>
      </w:r>
      <w:r w:rsidR="00B46D31" w:rsidRPr="00033234">
        <w:rPr>
          <w:i/>
          <w:iCs/>
          <w:szCs w:val="24"/>
        </w:rPr>
        <w:t>Banks (Shareholdings) Act 1972,</w:t>
      </w:r>
      <w:r w:rsidR="00B46D31" w:rsidRPr="00033234">
        <w:rPr>
          <w:szCs w:val="24"/>
        </w:rPr>
        <w:t xml:space="preserve"> in practice that legislation is not relevant.</w:t>
      </w:r>
      <w:r w:rsidR="001B1268" w:rsidRPr="00033234">
        <w:t xml:space="preserve"> </w:t>
      </w:r>
      <w:r w:rsidR="00F41EE7" w:rsidRPr="00033234">
        <w:t>A</w:t>
      </w:r>
      <w:r w:rsidRPr="00033234">
        <w:t xml:space="preserve"> </w:t>
      </w:r>
      <w:r w:rsidR="001B1268" w:rsidRPr="00033234">
        <w:t xml:space="preserve">‘protected document’ is </w:t>
      </w:r>
      <w:r w:rsidR="00F41EE7" w:rsidRPr="00033234">
        <w:t>one containing protected information</w:t>
      </w:r>
      <w:r w:rsidR="001B1268" w:rsidRPr="00033234">
        <w:t>.</w:t>
      </w:r>
    </w:p>
    <w:p w14:paraId="5FF169A2" w14:textId="23AE97C4" w:rsidR="00241C69" w:rsidRPr="00241C69" w:rsidRDefault="00F41EE7" w:rsidP="00241C69">
      <w:r>
        <w:t xml:space="preserve">Existing </w:t>
      </w:r>
      <w:r w:rsidR="00241C69" w:rsidRPr="00241C69">
        <w:t>provisions allow</w:t>
      </w:r>
      <w:r>
        <w:t xml:space="preserve"> the Bank</w:t>
      </w:r>
      <w:r w:rsidR="00241C69" w:rsidRPr="00241C69">
        <w:t xml:space="preserve"> to share protected information </w:t>
      </w:r>
      <w:r w:rsidR="00674B9E">
        <w:t xml:space="preserve">and protected documents </w:t>
      </w:r>
      <w:r w:rsidR="00241C69" w:rsidRPr="00241C69">
        <w:t>with ‘financial sector supervisory agencies’ and ‘foreign central banks’</w:t>
      </w:r>
      <w:r>
        <w:t xml:space="preserve"> where </w:t>
      </w:r>
      <w:r w:rsidRPr="003F65C0">
        <w:t>the</w:t>
      </w:r>
      <w:r>
        <w:t xml:space="preserve"> Bank is </w:t>
      </w:r>
      <w:r w:rsidRPr="003F65C0">
        <w:t xml:space="preserve">satisfied that disclosure of the information, or the production of the </w:t>
      </w:r>
      <w:r w:rsidRPr="003F65C0">
        <w:lastRenderedPageBreak/>
        <w:t xml:space="preserve">document, will assist that other </w:t>
      </w:r>
      <w:r>
        <w:t xml:space="preserve">agency or bank </w:t>
      </w:r>
      <w:r w:rsidRPr="003F65C0">
        <w:t>to perform its functions or exercise its powers</w:t>
      </w:r>
      <w:r w:rsidR="00241C69" w:rsidRPr="00241C69">
        <w:t xml:space="preserve">. </w:t>
      </w:r>
      <w:r>
        <w:t xml:space="preserve">This covers many of the situations in </w:t>
      </w:r>
      <w:r w:rsidR="00674B9E">
        <w:t>which</w:t>
      </w:r>
      <w:r>
        <w:t xml:space="preserve"> </w:t>
      </w:r>
      <w:r w:rsidR="00674B9E">
        <w:t>the</w:t>
      </w:r>
      <w:r>
        <w:t xml:space="preserve"> Bank receives reque</w:t>
      </w:r>
      <w:r w:rsidR="00674B9E">
        <w:t>s</w:t>
      </w:r>
      <w:r>
        <w:t xml:space="preserve">ts for, or needs to share, protected information and protected documents. </w:t>
      </w:r>
      <w:r w:rsidR="00241C69" w:rsidRPr="00241C69">
        <w:t>However, there are a small number of important counterparties domestically and overseas which do not fall within those definitions (</w:t>
      </w:r>
      <w:r w:rsidR="000E5FE9">
        <w:t>for example Australian</w:t>
      </w:r>
      <w:r w:rsidR="00241C69" w:rsidRPr="00241C69">
        <w:t xml:space="preserve"> Treasury). For those counterparties with which the Bank works on a regular basis, it is considered appropriate to use the regulation-making power provided by paragraph 79A(4)(c) of the Act to permit the exchange of protected information</w:t>
      </w:r>
      <w:r w:rsidR="00674B9E">
        <w:t xml:space="preserve"> and protected documents</w:t>
      </w:r>
      <w:r w:rsidR="00241C69" w:rsidRPr="00241C69">
        <w:t xml:space="preserve">. Where the need to exchange such information </w:t>
      </w:r>
      <w:r w:rsidR="00674B9E">
        <w:t xml:space="preserve">and documents </w:t>
      </w:r>
      <w:r w:rsidR="00241C69" w:rsidRPr="00241C69">
        <w:t>arises on an exceptional basis</w:t>
      </w:r>
      <w:r w:rsidR="0045061B">
        <w:t>,</w:t>
      </w:r>
      <w:r w:rsidR="00241C69" w:rsidRPr="00241C69">
        <w:t xml:space="preserve"> the Act provides other ways for authorising disclosure, for example by way of a </w:t>
      </w:r>
      <w:r w:rsidR="009A0745">
        <w:t>special</w:t>
      </w:r>
      <w:r w:rsidR="00241C69" w:rsidRPr="00241C69">
        <w:t xml:space="preserve"> approval issued by the </w:t>
      </w:r>
      <w:r w:rsidR="000E5FE9">
        <w:t xml:space="preserve">Bank’s </w:t>
      </w:r>
      <w:r w:rsidR="00241C69" w:rsidRPr="00241C69">
        <w:t xml:space="preserve">Governor or the Governor’s delegate under subsection 79A(5) of the Act.  This distinction was set out in the Explanatory Memorandum to the Corporations and Financial Sector Legislation Amendment Bill 2013, which introduced the provision permitting disclosure of protected information </w:t>
      </w:r>
      <w:r w:rsidR="00674B9E">
        <w:t xml:space="preserve">and protected documents </w:t>
      </w:r>
      <w:r w:rsidR="00241C69" w:rsidRPr="00241C69">
        <w:t>by the Bank to persons or bodies prescribed by regulation, as follows:</w:t>
      </w:r>
    </w:p>
    <w:p w14:paraId="6445BD00" w14:textId="77777777" w:rsidR="00241C69" w:rsidRPr="00241C69" w:rsidRDefault="00241C69" w:rsidP="00241C69">
      <w:r w:rsidRPr="00241C69">
        <w:t>“Subsection 79A(4) is expanded to include a power to prescribe other persons or bodies by regulation to whom the RBA may disclose protected information.  This power would be used for entities with which the RBA exchanges information on an ongoing basis such as the Australian Treasury, New Zealand Treasury, the IMF and the FSB.  It is considered that this is a preferable and more transparent approach to addressing the need for ongoing disclosure than using the general approval power provided to the Governor and specified delegates.”</w:t>
      </w:r>
    </w:p>
    <w:p w14:paraId="14046500" w14:textId="23301C9A" w:rsidR="00241C69" w:rsidRPr="00241C69" w:rsidRDefault="00241C69" w:rsidP="00241C69">
      <w:r w:rsidRPr="00241C69">
        <w:t xml:space="preserve">Collaboration in domestic and international bodies and with other regulators has become an important part of the work of all financial regulators, including the Bank. </w:t>
      </w:r>
      <w:r w:rsidR="00674B9E">
        <w:t>E</w:t>
      </w:r>
      <w:r w:rsidRPr="00241C69">
        <w:t xml:space="preserve">xperience in the Global Financial Crisis (GFC) </w:t>
      </w:r>
      <w:r w:rsidR="00674B9E">
        <w:t xml:space="preserve">and since </w:t>
      </w:r>
      <w:r w:rsidRPr="00241C69">
        <w:t xml:space="preserve">has shown that supervision of the financial system has to be coordinated nationally and internationally in order to be effective. Sharing of information for regulatory purposes, including for purposes of crisis prevention and management, has therefore become an important precondition </w:t>
      </w:r>
      <w:r w:rsidR="00103DBB">
        <w:t>underlying</w:t>
      </w:r>
      <w:r w:rsidRPr="00241C69">
        <w:t xml:space="preserve"> much of the Bank’s work.</w:t>
      </w:r>
    </w:p>
    <w:p w14:paraId="24BF520F" w14:textId="34BECBAE" w:rsidR="00241C69" w:rsidRPr="00241C69" w:rsidRDefault="00241C69" w:rsidP="00241C69">
      <w:r w:rsidRPr="00241C69">
        <w:t xml:space="preserve">A further, related reason for the increasing </w:t>
      </w:r>
      <w:r w:rsidR="000E5FE9">
        <w:t>need</w:t>
      </w:r>
      <w:r w:rsidRPr="00241C69">
        <w:t xml:space="preserve"> to share information is the fact that many regulated entities in the financial sector have significant cross</w:t>
      </w:r>
      <w:r w:rsidRPr="00241C69">
        <w:noBreakHyphen/>
        <w:t>border and cross-sectoral activities.  In such circumstances effective supervision requires that information is shared among the various regulators overseeing a given entity. Requirements for joint supervision and sharing of information are now best practice and are standard principles underlying regulatory frameworks in the financial sector.</w:t>
      </w:r>
    </w:p>
    <w:p w14:paraId="73CF2DC7" w14:textId="77777777" w:rsidR="00241C69" w:rsidRPr="00241C69" w:rsidRDefault="00241C69" w:rsidP="00241C69">
      <w:pPr>
        <w:rPr>
          <w:bCs/>
        </w:rPr>
      </w:pPr>
      <w:r w:rsidRPr="00241C69">
        <w:rPr>
          <w:bCs/>
        </w:rPr>
        <w:t xml:space="preserve">Limiting the Bank’s ability to share information would have unfavourable consequences in a number of areas. It would restrict the Bank’s ability to collaborate with its domestic and international counterparties in the course of its work as a supervisory agency and as a participant in policy discussions within important international organisations. This could consequently lead to sub-optimal policy advice to government. It would also impede the sharing of information in the event of a financial system </w:t>
      </w:r>
      <w:r w:rsidRPr="00241C69">
        <w:t>crisis</w:t>
      </w:r>
      <w:r w:rsidRPr="00241C69">
        <w:rPr>
          <w:bCs/>
        </w:rPr>
        <w:t>, which would not be conducive to the preservation of financial system stability in Australia. On the international side, the Bank’s inability to take part in a range of discussions and groups could affect its influence and reputation as a willing participant in the international effort to coordinate the effective regulation of the global financial system. It may also prevent the Bank from fully arguing Australia’s case when international financial policy settings are discussed and agreed.</w:t>
      </w:r>
    </w:p>
    <w:p w14:paraId="489E05D1" w14:textId="29EDAB8F" w:rsidR="00241C69" w:rsidRDefault="00241C69" w:rsidP="00241C69">
      <w:r w:rsidRPr="00241C69">
        <w:lastRenderedPageBreak/>
        <w:t xml:space="preserve">It is therefore considered </w:t>
      </w:r>
      <w:r w:rsidR="00264752">
        <w:t>appropriate</w:t>
      </w:r>
      <w:r w:rsidRPr="00241C69">
        <w:t xml:space="preserve"> to ensure that the Bank is able to share protected information with those important counterparties with whom it collaborates on an ongoing basis but that do not fall within the definitions of ‘financial sector supervisory agencies’ and ‘foreign central banks’. The Regulation specif</w:t>
      </w:r>
      <w:r w:rsidR="009A0745">
        <w:t>ies</w:t>
      </w:r>
      <w:r w:rsidRPr="00241C69">
        <w:t xml:space="preserve"> that the Bank is able to share protected information </w:t>
      </w:r>
      <w:r w:rsidR="00674B9E">
        <w:t xml:space="preserve">and protected documents </w:t>
      </w:r>
      <w:r w:rsidRPr="00241C69">
        <w:t>with seven prescribed entities, including three domestic entities (</w:t>
      </w:r>
      <w:r w:rsidR="000E5FE9">
        <w:t xml:space="preserve">Australian </w:t>
      </w:r>
      <w:r w:rsidRPr="00241C69">
        <w:t xml:space="preserve">Treasury, the Australian Bureau of Statistics and the Australian Competition and Consumer Commission) as well as four </w:t>
      </w:r>
      <w:r w:rsidR="00264752">
        <w:t>overseas</w:t>
      </w:r>
      <w:r w:rsidRPr="00241C69">
        <w:t xml:space="preserve"> bodies (New Zealand Treasury, the International Monetary Fund, the Bank for International Settlements and the Financial Stability Board). Details concerning the relations of the Bank with each of these entities are set out in the </w:t>
      </w:r>
      <w:r w:rsidRPr="00241C69">
        <w:rPr>
          <w:u w:val="single"/>
        </w:rPr>
        <w:t>Attachment</w:t>
      </w:r>
      <w:r w:rsidRPr="00241C69">
        <w:t>.</w:t>
      </w:r>
    </w:p>
    <w:p w14:paraId="5813B68F" w14:textId="07C60B54" w:rsidR="00264752" w:rsidRPr="00241C69" w:rsidRDefault="003C6896" w:rsidP="00241C69">
      <w:r>
        <w:t>I</w:t>
      </w:r>
      <w:r w:rsidR="00264752">
        <w:t>t is noted that t</w:t>
      </w:r>
      <w:r w:rsidR="00264752" w:rsidRPr="00241C69">
        <w:t xml:space="preserve">he information collected by the Bank is generally institutional in nature, given the Bank’s focus on financial system stability and security. </w:t>
      </w:r>
      <w:r w:rsidR="00264752" w:rsidRPr="00033234">
        <w:t xml:space="preserve">It is </w:t>
      </w:r>
      <w:r w:rsidR="000E655E" w:rsidRPr="00033234">
        <w:t xml:space="preserve">extremely </w:t>
      </w:r>
      <w:r w:rsidR="00264752" w:rsidRPr="00033234">
        <w:t>unlikely that the Bank will use its proposed powers to disclose personal information to the prescribed entities.</w:t>
      </w:r>
    </w:p>
    <w:p w14:paraId="70DC4290" w14:textId="77777777" w:rsidR="00241C69" w:rsidRPr="00241C69" w:rsidRDefault="00241C69" w:rsidP="00241C69">
      <w:pPr>
        <w:rPr>
          <w:i/>
        </w:rPr>
      </w:pPr>
      <w:r w:rsidRPr="00241C69">
        <w:rPr>
          <w:i/>
        </w:rPr>
        <w:t>Sunsetting</w:t>
      </w:r>
    </w:p>
    <w:p w14:paraId="0EAE8296" w14:textId="23CCDC95" w:rsidR="00241C69" w:rsidRPr="00241C69" w:rsidRDefault="00241C69" w:rsidP="00241C69">
      <w:r w:rsidRPr="00241C69">
        <w:t xml:space="preserve">The </w:t>
      </w:r>
      <w:r w:rsidRPr="00241C69">
        <w:rPr>
          <w:i/>
          <w:iCs/>
        </w:rPr>
        <w:t>Legislat</w:t>
      </w:r>
      <w:r w:rsidR="00674B9E">
        <w:rPr>
          <w:i/>
          <w:iCs/>
        </w:rPr>
        <w:t>ion</w:t>
      </w:r>
      <w:r w:rsidRPr="00241C69">
        <w:rPr>
          <w:i/>
          <w:iCs/>
        </w:rPr>
        <w:t xml:space="preserve"> Act 2003</w:t>
      </w:r>
      <w:r w:rsidRPr="00241C69">
        <w:t xml:space="preserve"> (LA) provides that all legislative instruments, other than exempt instruments, progressively ‘sunset’ according to the timetable set out in the LA. Agencies are required to review legislative instruments that are due to sunset and decide on an appropriate course of action, depending on a range of factors including the instrument’s functions, its fitness for purpose and the quality of its drafting. Generally speaking options include allowing the instrument to sunset, remaking it without amendments and remaking it with amendments.</w:t>
      </w:r>
    </w:p>
    <w:p w14:paraId="09CDD078" w14:textId="7BA6968B" w:rsidR="00241C69" w:rsidRPr="00241C69" w:rsidRDefault="00241C69" w:rsidP="00241C69">
      <w:pPr>
        <w:rPr>
          <w:lang w:val="en-US"/>
        </w:rPr>
      </w:pPr>
      <w:r w:rsidRPr="00241C69">
        <w:t>A sunsetting review of the existing Regulations was conducted and it was found that they continue to be required, as they prescribe matters that are required by the primary legislation as well as, following the latest amendments made in the Regulation, matters that are important for the proper functioning of the Bank. The Regulation conclude</w:t>
      </w:r>
      <w:r w:rsidR="009A0745">
        <w:t>s</w:t>
      </w:r>
      <w:r w:rsidRPr="00241C69">
        <w:t xml:space="preserve"> the sunsetting review by re</w:t>
      </w:r>
      <w:r w:rsidR="002835C2">
        <w:t>placing</w:t>
      </w:r>
      <w:r w:rsidRPr="00241C69">
        <w:t xml:space="preserve"> the existing Regulations </w:t>
      </w:r>
      <w:r w:rsidR="002835C2">
        <w:t>with</w:t>
      </w:r>
      <w:r w:rsidRPr="00241C69">
        <w:t xml:space="preserve"> the </w:t>
      </w:r>
      <w:r w:rsidRPr="00241C69">
        <w:rPr>
          <w:i/>
        </w:rPr>
        <w:t xml:space="preserve">Reserve Bank </w:t>
      </w:r>
      <w:r w:rsidRPr="002835C2">
        <w:rPr>
          <w:i/>
        </w:rPr>
        <w:t>Regulation 2016</w:t>
      </w:r>
      <w:r w:rsidRPr="00241C69">
        <w:t xml:space="preserve">. </w:t>
      </w:r>
    </w:p>
    <w:p w14:paraId="5899843C" w14:textId="29AB2739" w:rsidR="00241C69" w:rsidRDefault="00241C69" w:rsidP="00241C69">
      <w:r w:rsidRPr="00241C69">
        <w:t>The Regulation repeal</w:t>
      </w:r>
      <w:r w:rsidR="00A7312B">
        <w:t>s</w:t>
      </w:r>
      <w:r w:rsidRPr="00241C69">
        <w:t xml:space="preserve"> the current </w:t>
      </w:r>
      <w:r w:rsidRPr="00241C69">
        <w:rPr>
          <w:i/>
        </w:rPr>
        <w:t>Reserve Bank Regulations</w:t>
      </w:r>
      <w:r w:rsidRPr="00241C69">
        <w:t>. A provision prescribing forms to be used by persons joining the Reserve Bank Board or the Payment</w:t>
      </w:r>
      <w:r w:rsidR="0034470F">
        <w:t>s</w:t>
      </w:r>
      <w:r w:rsidRPr="00241C69">
        <w:t xml:space="preserve"> System Board to make a declaration of secrecy as required by the Act </w:t>
      </w:r>
      <w:r w:rsidR="00A7312B">
        <w:t>is</w:t>
      </w:r>
      <w:r w:rsidRPr="00241C69">
        <w:t xml:space="preserve"> retained, with minor drafting amendments. A redundant provision in the </w:t>
      </w:r>
      <w:r w:rsidR="009A0745">
        <w:t xml:space="preserve">existing </w:t>
      </w:r>
      <w:r w:rsidRPr="00241C69">
        <w:t xml:space="preserve">Regulations regarding the Bank’s operating hours </w:t>
      </w:r>
      <w:r w:rsidR="00A7312B">
        <w:t>is</w:t>
      </w:r>
      <w:r w:rsidRPr="00241C69">
        <w:t xml:space="preserve"> omitted. Following making of the Regulation the existing </w:t>
      </w:r>
      <w:r w:rsidRPr="00241C69">
        <w:rPr>
          <w:i/>
        </w:rPr>
        <w:t>Reserve Bank Regulations</w:t>
      </w:r>
      <w:r w:rsidRPr="00241C69">
        <w:t xml:space="preserve"> </w:t>
      </w:r>
      <w:r w:rsidR="009A0745">
        <w:t>have</w:t>
      </w:r>
      <w:r w:rsidRPr="00241C69">
        <w:t xml:space="preserve"> be</w:t>
      </w:r>
      <w:r w:rsidR="009A0745">
        <w:t>en</w:t>
      </w:r>
      <w:r w:rsidRPr="00241C69">
        <w:t xml:space="preserve"> replaced and superseded by the </w:t>
      </w:r>
      <w:r w:rsidRPr="00241C69">
        <w:rPr>
          <w:i/>
        </w:rPr>
        <w:t>Reserve Bank Regulation 2016</w:t>
      </w:r>
      <w:r w:rsidRPr="00241C69">
        <w:t>.</w:t>
      </w:r>
    </w:p>
    <w:p w14:paraId="3B4990C5" w14:textId="77777777" w:rsidR="00927955" w:rsidRPr="00241C69" w:rsidRDefault="00927955" w:rsidP="00927955">
      <w:r w:rsidRPr="00241C69">
        <w:t xml:space="preserve">Details of the proposed amendments are set out in the </w:t>
      </w:r>
      <w:r w:rsidRPr="00241C69">
        <w:rPr>
          <w:u w:val="single"/>
        </w:rPr>
        <w:t>Attachment</w:t>
      </w:r>
      <w:r w:rsidRPr="00241C69">
        <w:t>.</w:t>
      </w:r>
    </w:p>
    <w:p w14:paraId="15F4BB9E" w14:textId="77777777" w:rsidR="00241C69" w:rsidRPr="00241C69" w:rsidRDefault="00241C69" w:rsidP="00241C69">
      <w:pPr>
        <w:rPr>
          <w:i/>
        </w:rPr>
      </w:pPr>
      <w:r w:rsidRPr="00241C69">
        <w:rPr>
          <w:i/>
        </w:rPr>
        <w:t>Consultation</w:t>
      </w:r>
    </w:p>
    <w:p w14:paraId="50DA9384" w14:textId="0CB753CC" w:rsidR="00241C69" w:rsidRPr="00241C69" w:rsidRDefault="00241C69" w:rsidP="00241C69">
      <w:r w:rsidRPr="00241C69">
        <w:t>Targeted consultation was conducted on the Regulation by providing it in draft form to</w:t>
      </w:r>
      <w:r w:rsidR="00000F9A">
        <w:t xml:space="preserve"> the</w:t>
      </w:r>
      <w:r w:rsidRPr="00241C69">
        <w:t xml:space="preserve"> peak bodies representing the banking industry.</w:t>
      </w:r>
      <w:r w:rsidR="0009644E">
        <w:t xml:space="preserve"> All of these entities supported the Regulation in the form proposed and did not </w:t>
      </w:r>
      <w:r w:rsidR="00000F9A">
        <w:t>suggest any changes. The Regulation is accordingly unchanged from the draft provided to stakeholders.</w:t>
      </w:r>
    </w:p>
    <w:p w14:paraId="521B1965" w14:textId="77777777" w:rsidR="00927955" w:rsidRDefault="00927955" w:rsidP="00927955">
      <w:r>
        <w:t xml:space="preserve">The Office of Best Practice Regulation (OBPR) has confirmed that no Regulatory Impact Statement is required for remaking the </w:t>
      </w:r>
      <w:r w:rsidRPr="00A677C6">
        <w:rPr>
          <w:i/>
        </w:rPr>
        <w:t>Reserve Bank Regulations</w:t>
      </w:r>
      <w:r>
        <w:t xml:space="preserve"> as part of a sunsetting review (OBPR ID 20114) or for prescribing the seven entities with which the Bank will be able to share protected information (OBPR ID 19920), because </w:t>
      </w:r>
      <w:r>
        <w:lastRenderedPageBreak/>
        <w:t>neither of these two measures imposes any regulatory costs on businesses, community organisations or individuals.</w:t>
      </w:r>
    </w:p>
    <w:p w14:paraId="3D6F090F" w14:textId="7B5BFABA" w:rsidR="00927955" w:rsidRPr="00B320F2" w:rsidRDefault="00927955" w:rsidP="00927955">
      <w:r w:rsidRPr="00B320F2">
        <w:t>The Regulation commence</w:t>
      </w:r>
      <w:r w:rsidR="007A3C71">
        <w:t>s</w:t>
      </w:r>
      <w:r w:rsidRPr="00B320F2">
        <w:t xml:space="preserve"> </w:t>
      </w:r>
      <w:r>
        <w:t>on the day after it is registered.</w:t>
      </w:r>
      <w:r w:rsidRPr="00B320F2">
        <w:t xml:space="preserve"> </w:t>
      </w:r>
    </w:p>
    <w:p w14:paraId="552E3760" w14:textId="77777777" w:rsidR="007A3C71" w:rsidRDefault="007A3C71">
      <w:pPr>
        <w:spacing w:before="0" w:after="0"/>
      </w:pPr>
      <w:r>
        <w:br w:type="page"/>
      </w:r>
    </w:p>
    <w:p w14:paraId="336C4EBF" w14:textId="77777777" w:rsidR="007A3C71" w:rsidRPr="007A3C71" w:rsidRDefault="007A3C71" w:rsidP="007A3C71">
      <w:pPr>
        <w:jc w:val="right"/>
        <w:rPr>
          <w:b/>
          <w:u w:val="single"/>
        </w:rPr>
      </w:pPr>
      <w:r w:rsidRPr="007A3C71">
        <w:rPr>
          <w:b/>
          <w:u w:val="single"/>
        </w:rPr>
        <w:lastRenderedPageBreak/>
        <w:t>ATTACHMENT</w:t>
      </w:r>
    </w:p>
    <w:p w14:paraId="5D15C974" w14:textId="77777777" w:rsidR="007A3C71" w:rsidRPr="007A3C71" w:rsidRDefault="007A3C71" w:rsidP="007A3C71">
      <w:pPr>
        <w:rPr>
          <w:b/>
          <w:u w:val="single"/>
        </w:rPr>
      </w:pPr>
    </w:p>
    <w:p w14:paraId="27DE5FB4" w14:textId="77777777" w:rsidR="007A3C71" w:rsidRPr="007A3C71" w:rsidRDefault="007A3C71" w:rsidP="007A3C71">
      <w:pPr>
        <w:rPr>
          <w:i/>
          <w:iCs/>
        </w:rPr>
      </w:pPr>
      <w:r w:rsidRPr="007A3C71">
        <w:rPr>
          <w:b/>
          <w:u w:val="single"/>
        </w:rPr>
        <w:t>Details of the</w:t>
      </w:r>
      <w:r w:rsidRPr="007A3C71">
        <w:rPr>
          <w:b/>
          <w:i/>
          <w:u w:val="single"/>
        </w:rPr>
        <w:t xml:space="preserve"> Reserve Bank Regulation 2016</w:t>
      </w:r>
    </w:p>
    <w:p w14:paraId="190A39D6" w14:textId="77777777" w:rsidR="007A3C71" w:rsidRPr="007A3C71" w:rsidRDefault="007A3C71" w:rsidP="007A3C71">
      <w:pPr>
        <w:rPr>
          <w:u w:val="single"/>
        </w:rPr>
      </w:pPr>
    </w:p>
    <w:p w14:paraId="3859781F" w14:textId="77777777" w:rsidR="007A3C71" w:rsidRPr="007A3C71" w:rsidRDefault="007A3C71" w:rsidP="007A3C71">
      <w:pPr>
        <w:rPr>
          <w:b/>
        </w:rPr>
      </w:pPr>
      <w:r w:rsidRPr="007A3C71">
        <w:rPr>
          <w:b/>
        </w:rPr>
        <w:t>Part 1 - Preliminary</w:t>
      </w:r>
    </w:p>
    <w:p w14:paraId="5B6545E7" w14:textId="77777777" w:rsidR="007A3C71" w:rsidRPr="007A3C71" w:rsidRDefault="007A3C71" w:rsidP="007A3C71">
      <w:r w:rsidRPr="007A3C71">
        <w:rPr>
          <w:u w:val="single"/>
        </w:rPr>
        <w:t>Section 1 – Name</w:t>
      </w:r>
    </w:p>
    <w:p w14:paraId="0AF61017" w14:textId="69D916BA" w:rsidR="007A3C71" w:rsidRPr="007A3C71" w:rsidRDefault="007A3C71" w:rsidP="007A3C71">
      <w:r w:rsidRPr="007A3C71">
        <w:t>This section provide</w:t>
      </w:r>
      <w:r w:rsidR="001F25B4">
        <w:t>s</w:t>
      </w:r>
      <w:r w:rsidRPr="007A3C71">
        <w:t xml:space="preserve"> that the title of the Regulation is the </w:t>
      </w:r>
      <w:r w:rsidRPr="007A3C71">
        <w:rPr>
          <w:i/>
        </w:rPr>
        <w:t xml:space="preserve">Reserve Bank Regulation 2016 </w:t>
      </w:r>
      <w:r w:rsidRPr="007A3C71">
        <w:t xml:space="preserve">(the Regulation). </w:t>
      </w:r>
    </w:p>
    <w:p w14:paraId="08B07365" w14:textId="77777777" w:rsidR="007A3C71" w:rsidRPr="007A3C71" w:rsidRDefault="007A3C71" w:rsidP="007A3C71">
      <w:pPr>
        <w:rPr>
          <w:u w:val="single"/>
        </w:rPr>
      </w:pPr>
      <w:r w:rsidRPr="007A3C71">
        <w:rPr>
          <w:u w:val="single"/>
        </w:rPr>
        <w:t>Section 2 – Commencement</w:t>
      </w:r>
    </w:p>
    <w:p w14:paraId="78BEBF4D" w14:textId="3C681B93" w:rsidR="007A3C71" w:rsidRPr="007A3C71" w:rsidRDefault="007A3C71" w:rsidP="007A3C71">
      <w:r w:rsidRPr="007A3C71">
        <w:t>This section provide</w:t>
      </w:r>
      <w:r w:rsidR="001F25B4">
        <w:t>s</w:t>
      </w:r>
      <w:r w:rsidRPr="007A3C71">
        <w:t xml:space="preserve"> that the Regulation commence</w:t>
      </w:r>
      <w:r w:rsidR="009A0745">
        <w:t>s</w:t>
      </w:r>
      <w:r w:rsidRPr="007A3C71">
        <w:t xml:space="preserve"> on the day after it is registered. </w:t>
      </w:r>
    </w:p>
    <w:p w14:paraId="37FEB794" w14:textId="77777777" w:rsidR="007A3C71" w:rsidRPr="007A3C71" w:rsidRDefault="007A3C71" w:rsidP="007A3C71">
      <w:r w:rsidRPr="007A3C71">
        <w:rPr>
          <w:u w:val="single"/>
        </w:rPr>
        <w:t>Section 3 – Authority</w:t>
      </w:r>
    </w:p>
    <w:p w14:paraId="382858A9" w14:textId="6008735C" w:rsidR="007A3C71" w:rsidRPr="007A3C71" w:rsidRDefault="007A3C71" w:rsidP="007A3C71">
      <w:pPr>
        <w:rPr>
          <w:i/>
        </w:rPr>
      </w:pPr>
      <w:r w:rsidRPr="007A3C71">
        <w:t>This section provide</w:t>
      </w:r>
      <w:r w:rsidR="001F25B4">
        <w:t>s</w:t>
      </w:r>
      <w:r w:rsidRPr="007A3C71">
        <w:t xml:space="preserve"> that the Regulation is made under the </w:t>
      </w:r>
      <w:r w:rsidRPr="007A3C71">
        <w:rPr>
          <w:i/>
        </w:rPr>
        <w:t>Reserve Bank Act 1959</w:t>
      </w:r>
      <w:r w:rsidRPr="007A3C71">
        <w:t xml:space="preserve"> (the Act). </w:t>
      </w:r>
    </w:p>
    <w:p w14:paraId="2AD72584" w14:textId="77777777" w:rsidR="007A3C71" w:rsidRPr="007A3C71" w:rsidRDefault="007A3C71" w:rsidP="007A3C71">
      <w:pPr>
        <w:rPr>
          <w:u w:val="single"/>
        </w:rPr>
      </w:pPr>
      <w:r w:rsidRPr="007A3C71">
        <w:rPr>
          <w:u w:val="single"/>
        </w:rPr>
        <w:t>Section 4 – Schedules</w:t>
      </w:r>
    </w:p>
    <w:p w14:paraId="5D717DBC" w14:textId="3A96483C" w:rsidR="007A3C71" w:rsidRPr="007A3C71" w:rsidRDefault="007A3C71" w:rsidP="007A3C71">
      <w:r w:rsidRPr="007A3C71">
        <w:t>This section provide</w:t>
      </w:r>
      <w:r w:rsidR="001F25B4">
        <w:t>s</w:t>
      </w:r>
      <w:r w:rsidRPr="007A3C71">
        <w:t xml:space="preserve"> that each instrument that is specified in a Schedule to the Regulation is amended or repealed as set out in the applicable items in the Schedule concerned, and any other item in a Schedule to this instrument has effect according to its terms. </w:t>
      </w:r>
    </w:p>
    <w:p w14:paraId="7ADC9C66" w14:textId="77777777" w:rsidR="007A3C71" w:rsidRPr="007A3C71" w:rsidRDefault="007A3C71" w:rsidP="007A3C71">
      <w:pPr>
        <w:rPr>
          <w:u w:val="single"/>
        </w:rPr>
      </w:pPr>
      <w:r w:rsidRPr="007A3C71">
        <w:rPr>
          <w:u w:val="single"/>
        </w:rPr>
        <w:t>Section 5 - Definitions</w:t>
      </w:r>
    </w:p>
    <w:p w14:paraId="62A9AA4E" w14:textId="2E1F9693" w:rsidR="007A3C71" w:rsidRPr="007A3C71" w:rsidRDefault="007A3C71" w:rsidP="007A3C71">
      <w:r w:rsidRPr="007A3C71">
        <w:t>This section provide</w:t>
      </w:r>
      <w:r w:rsidR="001F25B4">
        <w:t>s</w:t>
      </w:r>
      <w:r w:rsidRPr="007A3C71">
        <w:t xml:space="preserve"> that in the Regulation the term </w:t>
      </w:r>
      <w:r w:rsidRPr="007A3C71">
        <w:rPr>
          <w:b/>
          <w:i/>
        </w:rPr>
        <w:t>Act</w:t>
      </w:r>
      <w:r w:rsidRPr="007A3C71">
        <w:t xml:space="preserve"> refers to the </w:t>
      </w:r>
      <w:r w:rsidRPr="007A3C71">
        <w:rPr>
          <w:i/>
        </w:rPr>
        <w:t>Reserve Bank Act 1959</w:t>
      </w:r>
      <w:r w:rsidRPr="007A3C71">
        <w:t>.</w:t>
      </w:r>
    </w:p>
    <w:p w14:paraId="2C22F31E" w14:textId="77777777" w:rsidR="007A3C71" w:rsidRPr="007A3C71" w:rsidRDefault="007A3C71" w:rsidP="007A3C71">
      <w:pPr>
        <w:rPr>
          <w:b/>
        </w:rPr>
      </w:pPr>
      <w:r w:rsidRPr="007A3C71">
        <w:rPr>
          <w:b/>
        </w:rPr>
        <w:t>Part 2 - Secrecy</w:t>
      </w:r>
    </w:p>
    <w:p w14:paraId="43C5B9B2" w14:textId="77777777" w:rsidR="007A3C71" w:rsidRPr="007A3C71" w:rsidRDefault="007A3C71" w:rsidP="007A3C71">
      <w:pPr>
        <w:rPr>
          <w:u w:val="single"/>
        </w:rPr>
      </w:pPr>
      <w:r w:rsidRPr="007A3C71">
        <w:rPr>
          <w:u w:val="single"/>
        </w:rPr>
        <w:t>Section 6 – Declarations of secrecy</w:t>
      </w:r>
    </w:p>
    <w:p w14:paraId="0E978581" w14:textId="68082CB3" w:rsidR="007A3C71" w:rsidRPr="007A3C71" w:rsidRDefault="007A3C71" w:rsidP="007A3C71">
      <w:r w:rsidRPr="007A3C71">
        <w:t>This section provide</w:t>
      </w:r>
      <w:r w:rsidR="001F25B4">
        <w:t>s</w:t>
      </w:r>
      <w:r w:rsidRPr="007A3C71">
        <w:t xml:space="preserve"> that the prescribed form to be used for a declaration of secrecy by a member of the Reserve Bank Board, as required by subsection 16(1) of the Act, is the form set out in Schedule 1. Also, the form to be used for the same purpose by a member of the Payments System Board is the form in Schedule 2.</w:t>
      </w:r>
    </w:p>
    <w:p w14:paraId="422C8643" w14:textId="77777777" w:rsidR="007A3C71" w:rsidRPr="007A3C71" w:rsidRDefault="007A3C71" w:rsidP="007A3C71">
      <w:pPr>
        <w:rPr>
          <w:u w:val="single"/>
        </w:rPr>
      </w:pPr>
      <w:r w:rsidRPr="007A3C71">
        <w:rPr>
          <w:u w:val="single"/>
        </w:rPr>
        <w:t>Section 7 – Prescribed bodies – disclosure of protected information or documents</w:t>
      </w:r>
    </w:p>
    <w:p w14:paraId="278FAFD5" w14:textId="0333CF85" w:rsidR="007A3C71" w:rsidRPr="007A3C71" w:rsidRDefault="007A3C71" w:rsidP="007A3C71">
      <w:r w:rsidRPr="007A3C71">
        <w:t>This section prescribe</w:t>
      </w:r>
      <w:r w:rsidR="001F25B4">
        <w:t>s</w:t>
      </w:r>
      <w:r w:rsidRPr="007A3C71">
        <w:t xml:space="preserve"> the seven entities with which the Bank c</w:t>
      </w:r>
      <w:r w:rsidR="009A0745">
        <w:t>an</w:t>
      </w:r>
      <w:r w:rsidRPr="007A3C71">
        <w:t xml:space="preserve"> share protected information</w:t>
      </w:r>
      <w:r w:rsidR="00C05109">
        <w:t xml:space="preserve"> and documents</w:t>
      </w:r>
      <w:r w:rsidRPr="007A3C71">
        <w:t>. The Bank’s relationship with each of these entities is summarised below, including the reasons for the need to share protected information</w:t>
      </w:r>
      <w:r w:rsidR="00C05109">
        <w:t xml:space="preserve"> and documents</w:t>
      </w:r>
      <w:r w:rsidRPr="007A3C71">
        <w:t xml:space="preserve"> with each.</w:t>
      </w:r>
    </w:p>
    <w:p w14:paraId="3763E7FB" w14:textId="0DD16C46" w:rsidR="00FD499C" w:rsidRPr="007A3C71" w:rsidRDefault="000E5FE9" w:rsidP="00FD499C">
      <w:pPr>
        <w:pStyle w:val="Bullet"/>
      </w:pPr>
      <w:r>
        <w:t xml:space="preserve">Australian </w:t>
      </w:r>
      <w:r w:rsidR="00FD499C" w:rsidRPr="007A3C71">
        <w:t xml:space="preserve">Treasury: It is noted that the expression ‘Department’ is to be interpreted according to subparagraph 19A(3)(d)(ii) of the </w:t>
      </w:r>
      <w:r w:rsidR="00FD499C" w:rsidRPr="007A3C71">
        <w:rPr>
          <w:i/>
        </w:rPr>
        <w:t>Acts Interpretation Act 1901</w:t>
      </w:r>
      <w:r w:rsidR="00FD499C" w:rsidRPr="007A3C71">
        <w:t xml:space="preserve">, which states that it designates the Department that is administered by the Minister administering the provision, i.e. the </w:t>
      </w:r>
      <w:r>
        <w:t>Australian</w:t>
      </w:r>
      <w:r w:rsidR="00FD499C" w:rsidRPr="007A3C71">
        <w:t xml:space="preserve"> Treasury. Bank and </w:t>
      </w:r>
      <w:r>
        <w:t xml:space="preserve">Australian </w:t>
      </w:r>
      <w:r w:rsidR="00FD499C" w:rsidRPr="007A3C71">
        <w:t>Treasury staff meet</w:t>
      </w:r>
      <w:r w:rsidR="00FD499C">
        <w:t xml:space="preserve"> regularly</w:t>
      </w:r>
      <w:r w:rsidR="00FD499C" w:rsidRPr="007A3C71">
        <w:t xml:space="preserve"> to discuss policy issues and possible responses. For example, both entities are members of the Council of Financial Regulators (CFR), which </w:t>
      </w:r>
      <w:r w:rsidR="00FD499C" w:rsidRPr="007A3C71">
        <w:rPr>
          <w:lang w:val="en"/>
        </w:rPr>
        <w:t xml:space="preserve">is the coordinating body for Australia's main financial regulatory agencies. Among other things, CFR members ‘share information, discuss regulatory issues … and advise Government on the adequacy of </w:t>
      </w:r>
      <w:r w:rsidR="00FD499C" w:rsidRPr="007A3C71">
        <w:rPr>
          <w:lang w:val="en"/>
        </w:rPr>
        <w:lastRenderedPageBreak/>
        <w:t>Australia’s financial regulatory arrangements’.</w:t>
      </w:r>
      <w:r w:rsidR="00FD499C" w:rsidRPr="007A3C71">
        <w:rPr>
          <w:vertAlign w:val="superscript"/>
          <w:lang w:val="en"/>
        </w:rPr>
        <w:footnoteReference w:id="2"/>
      </w:r>
      <w:r w:rsidR="00FD499C" w:rsidRPr="007A3C71">
        <w:rPr>
          <w:lang w:val="en"/>
        </w:rPr>
        <w:t xml:space="preserve"> Prescribing </w:t>
      </w:r>
      <w:r>
        <w:rPr>
          <w:lang w:val="en"/>
        </w:rPr>
        <w:t xml:space="preserve">Australian </w:t>
      </w:r>
      <w:r w:rsidR="00FD499C" w:rsidRPr="007A3C71">
        <w:rPr>
          <w:lang w:val="en"/>
        </w:rPr>
        <w:t>Treasury w</w:t>
      </w:r>
      <w:r w:rsidR="00FD499C">
        <w:rPr>
          <w:lang w:val="en"/>
        </w:rPr>
        <w:t>ill</w:t>
      </w:r>
      <w:r w:rsidR="00FD499C" w:rsidRPr="007A3C71">
        <w:rPr>
          <w:lang w:val="en"/>
        </w:rPr>
        <w:t xml:space="preserve"> allow information to be exchanged that w</w:t>
      </w:r>
      <w:r w:rsidR="00FD499C">
        <w:rPr>
          <w:lang w:val="en"/>
        </w:rPr>
        <w:t>ill</w:t>
      </w:r>
      <w:r w:rsidR="00FD499C" w:rsidRPr="007A3C71">
        <w:rPr>
          <w:lang w:val="en"/>
        </w:rPr>
        <w:t xml:space="preserve"> be helpful in analysing policy issues and related responses. Furthermore, the CFR Memorandum of Understanding on Financial Distress Management sets out expectations that members will share information giving rise to concerns about the stability of a financial institution or market. The ability to share protected information with </w:t>
      </w:r>
      <w:r>
        <w:rPr>
          <w:lang w:val="en"/>
        </w:rPr>
        <w:t xml:space="preserve">Australian </w:t>
      </w:r>
      <w:r w:rsidR="00FD499C" w:rsidRPr="007A3C71">
        <w:rPr>
          <w:lang w:val="en"/>
        </w:rPr>
        <w:t>Treasury w</w:t>
      </w:r>
      <w:r w:rsidR="00FD499C">
        <w:rPr>
          <w:lang w:val="en"/>
        </w:rPr>
        <w:t>ill</w:t>
      </w:r>
      <w:r w:rsidR="00FD499C" w:rsidRPr="007A3C71">
        <w:rPr>
          <w:lang w:val="en"/>
        </w:rPr>
        <w:t xml:space="preserve"> greatly assist with policy analysis and formulation, and w</w:t>
      </w:r>
      <w:r w:rsidR="00FD499C">
        <w:rPr>
          <w:lang w:val="en"/>
        </w:rPr>
        <w:t>ill</w:t>
      </w:r>
      <w:r w:rsidR="00FD499C" w:rsidRPr="007A3C71">
        <w:rPr>
          <w:lang w:val="en"/>
        </w:rPr>
        <w:t xml:space="preserve"> be critical in the event of a crisis in the financial sector.</w:t>
      </w:r>
    </w:p>
    <w:p w14:paraId="50392074" w14:textId="01E76C53" w:rsidR="007A3C71" w:rsidRPr="007A3C71" w:rsidRDefault="007A3C71" w:rsidP="008A7C64">
      <w:pPr>
        <w:pStyle w:val="Bullet"/>
      </w:pPr>
      <w:r w:rsidRPr="007A3C71">
        <w:t xml:space="preserve">Australian Bureau of Statistics (ABS): The Bank regularly communicates with the ABS on data collection issues, including with respect to specific financial sector entities. Sharing of protected information is essential for the Bank to collaborate with the ABS in a meaningful manner. The Governor has accordingly approved the disclosure of protected information to the ABS, but given the regular basis on which the need to share such information occurs it is considered more appropriate </w:t>
      </w:r>
      <w:r w:rsidR="0045061B">
        <w:t xml:space="preserve">and transparent </w:t>
      </w:r>
      <w:r w:rsidRPr="007A3C71">
        <w:t>for the ABS to be prescribed in regulations, as explained above.</w:t>
      </w:r>
    </w:p>
    <w:p w14:paraId="7ABD859D" w14:textId="3BDAAB75" w:rsidR="007A3C71" w:rsidRPr="007A3C71" w:rsidRDefault="007A3C71" w:rsidP="008A7C64">
      <w:pPr>
        <w:pStyle w:val="Bullet"/>
      </w:pPr>
      <w:r w:rsidRPr="007A3C71">
        <w:t>Australian Competition and Consumer Commission (ACCC): The Bank and the ACCC share responsibility for competition and access in payment systems. The Bank holds a substantial amount of information relating to payment systems, including payments data collected from financial institutions. The ability to disclose such information to the ACCC w</w:t>
      </w:r>
      <w:r w:rsidR="001F25B4">
        <w:t>ill</w:t>
      </w:r>
      <w:r w:rsidRPr="007A3C71">
        <w:t xml:space="preserve"> be very helpful </w:t>
      </w:r>
      <w:r w:rsidR="001D60A2">
        <w:t>for</w:t>
      </w:r>
      <w:r w:rsidRPr="007A3C71">
        <w:t xml:space="preserve"> the discussion of current issues and possible policy responses.</w:t>
      </w:r>
    </w:p>
    <w:p w14:paraId="4E4EFDFB" w14:textId="5F35140D" w:rsidR="007A3C71" w:rsidRPr="007A3C71" w:rsidRDefault="007A3C71" w:rsidP="008A7C64">
      <w:pPr>
        <w:pStyle w:val="Bullet"/>
      </w:pPr>
      <w:r w:rsidRPr="007A3C71">
        <w:t>Bank for International Settlements (BIS): The BIS is the international organisation representing the world’s central banks (the Bank is a member of the BIS). Its</w:t>
      </w:r>
      <w:r w:rsidRPr="007A3C71">
        <w:rPr>
          <w:lang w:val="en"/>
        </w:rPr>
        <w:t xml:space="preserve"> mission is to serve central banks in their pursuit of monetary and financial stability, to foster international cooperation in those areas and to act as a bank for central banks. The BIS is a central player in the formulation of the international regulatory framework applying to the financial sector, especially with respect to banks and other critical financial institutions such as </w:t>
      </w:r>
      <w:r w:rsidR="00E40243">
        <w:rPr>
          <w:lang w:val="en"/>
        </w:rPr>
        <w:t>systemically important payment systems, securities</w:t>
      </w:r>
      <w:r w:rsidRPr="007A3C71">
        <w:rPr>
          <w:lang w:val="en"/>
        </w:rPr>
        <w:t xml:space="preserve"> settlement facilities and central counterparties. The Bank’s inability to share protected information with the BIS </w:t>
      </w:r>
      <w:r w:rsidR="00E40243">
        <w:rPr>
          <w:lang w:val="en"/>
        </w:rPr>
        <w:t xml:space="preserve">could </w:t>
      </w:r>
      <w:r w:rsidR="0045061B">
        <w:rPr>
          <w:lang w:val="en"/>
        </w:rPr>
        <w:t>constrain its ability</w:t>
      </w:r>
      <w:r w:rsidRPr="007A3C71">
        <w:rPr>
          <w:lang w:val="en"/>
        </w:rPr>
        <w:t xml:space="preserve"> to fully participate in its work. This may limit the influence the Bank is able to exert with regard to the matters debated and decided within the BIS, and may prevent the Bank from fully arguing and supporting positions that are important for Australia.</w:t>
      </w:r>
    </w:p>
    <w:p w14:paraId="0A59122A" w14:textId="31771090" w:rsidR="007A3C71" w:rsidRPr="007A3C71" w:rsidRDefault="007A3C71" w:rsidP="008A7C64">
      <w:pPr>
        <w:pStyle w:val="Dash"/>
      </w:pPr>
      <w:r w:rsidRPr="007A3C71">
        <w:t xml:space="preserve">Much of the day-to-day work of the BIS is done through a number of important committees. In order to clarify beyond doubt that the Bank is allowed to disclose protected information in the course of its work in these committees, </w:t>
      </w:r>
      <w:r w:rsidR="006D6A28">
        <w:t xml:space="preserve">including in any working or other groups formed under the committees, </w:t>
      </w:r>
      <w:r w:rsidRPr="007A3C71">
        <w:t xml:space="preserve">they </w:t>
      </w:r>
      <w:r w:rsidR="008A7C64">
        <w:t>are</w:t>
      </w:r>
      <w:r w:rsidRPr="007A3C71">
        <w:t xml:space="preserve"> separately prescribed as follows: The Basel C</w:t>
      </w:r>
      <w:r w:rsidR="006D6A28">
        <w:t>ommittee on Banking Supervision; the Committee on the Global Financial System</w:t>
      </w:r>
      <w:r w:rsidRPr="007A3C71">
        <w:t>; the Committee on Payment</w:t>
      </w:r>
      <w:r w:rsidR="00BF5AEF">
        <w:t>s</w:t>
      </w:r>
      <w:r w:rsidRPr="007A3C71">
        <w:t xml:space="preserve"> and Market Infrastructures; and the Markets Committee.</w:t>
      </w:r>
    </w:p>
    <w:p w14:paraId="147D94A4" w14:textId="1E3A320D" w:rsidR="007A3C71" w:rsidRPr="007A3C71" w:rsidRDefault="007A3C71" w:rsidP="008A7C64">
      <w:pPr>
        <w:pStyle w:val="Bullet"/>
      </w:pPr>
      <w:r w:rsidRPr="007A3C71">
        <w:lastRenderedPageBreak/>
        <w:t xml:space="preserve">Financial Stability Board (FSB): The FSB is the international organisation endorsed by the Group of Twenty (G20) to </w:t>
      </w:r>
      <w:r w:rsidRPr="007A3C71">
        <w:rPr>
          <w:lang w:val="en-US"/>
        </w:rPr>
        <w:t xml:space="preserve">assume the key role in promoting the reform of international financial regulation in the wake of the GFC. Australia is represented by the Bank and </w:t>
      </w:r>
      <w:r w:rsidR="000E5FE9">
        <w:rPr>
          <w:lang w:val="en-US"/>
        </w:rPr>
        <w:t xml:space="preserve">Australian </w:t>
      </w:r>
      <w:r w:rsidRPr="007A3C71">
        <w:rPr>
          <w:lang w:val="en-US"/>
        </w:rPr>
        <w:t>Treasury. The FSB was originally tasked by G20 leaders to develop reforms in four key areas: building resilience of financial institutions</w:t>
      </w:r>
      <w:r w:rsidR="009A0745">
        <w:rPr>
          <w:lang w:val="en-US"/>
        </w:rPr>
        <w:t>;</w:t>
      </w:r>
      <w:r w:rsidRPr="007A3C71">
        <w:rPr>
          <w:lang w:val="en-US"/>
        </w:rPr>
        <w:t xml:space="preserve"> ending the problem of banks that </w:t>
      </w:r>
      <w:r w:rsidR="009A0745">
        <w:rPr>
          <w:lang w:val="en-US"/>
        </w:rPr>
        <w:t>ar</w:t>
      </w:r>
      <w:r w:rsidRPr="007A3C71">
        <w:rPr>
          <w:lang w:val="en-US"/>
        </w:rPr>
        <w:t>e too-big-to-fail</w:t>
      </w:r>
      <w:r w:rsidR="009A0745">
        <w:rPr>
          <w:lang w:val="en-US"/>
        </w:rPr>
        <w:t>;</w:t>
      </w:r>
      <w:r w:rsidRPr="007A3C71">
        <w:rPr>
          <w:lang w:val="en-US"/>
        </w:rPr>
        <w:t xml:space="preserve"> transforming shadow banking into transparent and r</w:t>
      </w:r>
      <w:r w:rsidR="009A0745">
        <w:rPr>
          <w:lang w:val="en-US"/>
        </w:rPr>
        <w:t>esilient market-based financing;</w:t>
      </w:r>
      <w:r w:rsidRPr="007A3C71">
        <w:rPr>
          <w:lang w:val="en-US"/>
        </w:rPr>
        <w:t xml:space="preserve"> and making derivatives markets safer. Work in these areas continues, but the FSB has also expanded its scope to cover a number of related topics. FSB projects generally culminate in the promulgation of international standards which directly impact on the regulation of the financial sector and its constituent institutions in Australia. As in the case of the BIS, prescribing the FSB w</w:t>
      </w:r>
      <w:r w:rsidR="008A7C64">
        <w:rPr>
          <w:lang w:val="en-US"/>
        </w:rPr>
        <w:t>ill</w:t>
      </w:r>
      <w:r w:rsidRPr="007A3C71">
        <w:rPr>
          <w:lang w:val="en-US"/>
        </w:rPr>
        <w:t xml:space="preserve"> allow the Bank to fully participate in its work and enable it to better represent Australian interests and positions in developing the reforms promoted by the FSB.</w:t>
      </w:r>
    </w:p>
    <w:p w14:paraId="3C6AC271" w14:textId="5E3FB786" w:rsidR="007A3C71" w:rsidRPr="007A3C71" w:rsidRDefault="007A3C71" w:rsidP="008A7C64">
      <w:pPr>
        <w:pStyle w:val="Dash"/>
      </w:pPr>
      <w:r w:rsidRPr="007A3C71">
        <w:t>As in the case of the BIS, most of the FSB’s day-to-day work is done through a number of committees, working groups and consultative groups. As these may be subject to change, depending on the particular focus of the FSB’s work, any such committees or groups operating under the FSB’s charter</w:t>
      </w:r>
      <w:r w:rsidR="00B83523">
        <w:t xml:space="preserve"> are prescribed in addition to</w:t>
      </w:r>
      <w:r w:rsidRPr="007A3C71">
        <w:t xml:space="preserve"> the FSB itself.</w:t>
      </w:r>
    </w:p>
    <w:p w14:paraId="61A5A083" w14:textId="37EF7DD9" w:rsidR="007A3C71" w:rsidRPr="007A3C71" w:rsidRDefault="007A3C71" w:rsidP="008A7C64">
      <w:pPr>
        <w:pStyle w:val="Bullet"/>
      </w:pPr>
      <w:r w:rsidRPr="007A3C71">
        <w:t>International Monetary Fund (IMF): The Bank regularly meets with IMF staff as part of the annual Article IV consultations during which</w:t>
      </w:r>
      <w:r w:rsidRPr="007A3C71">
        <w:rPr>
          <w:lang w:val="en-US"/>
        </w:rPr>
        <w:t xml:space="preserve"> an IMF team of economists visits Australia to assess economic and financial developments and discuss the country's economic and financial policies with government and central bank officials.</w:t>
      </w:r>
      <w:r w:rsidRPr="007A3C71">
        <w:t xml:space="preserve"> </w:t>
      </w:r>
      <w:r w:rsidRPr="007A3C71">
        <w:rPr>
          <w:lang w:val="en-US"/>
        </w:rPr>
        <w:t>The IMF's monitoring work is intended to identify weaknesses that are causing or could lead to financial or economic instability.</w:t>
      </w:r>
      <w:r w:rsidRPr="007A3C71">
        <w:t xml:space="preserve"> The IMF also conducts Financial System Stability Assessments of the Australian banking and financial system on a regular basis, as well as ad hoc surveys on various topics. The IMF reports setting out its assessments, conclusions and recommendations are public documents, and are very influential in forming global public opinion on the state of the Australian economy, the stability of the financial system and the quality and adequacy of </w:t>
      </w:r>
      <w:r w:rsidR="00826E7F">
        <w:t>the</w:t>
      </w:r>
      <w:r w:rsidRPr="007A3C71">
        <w:t xml:space="preserve"> financial regulatory architecture. It is in the national interest to ensure that the IMF is given all the information it requires to make a full and balanced assessment of these matters. Prescribing the IMF w</w:t>
      </w:r>
      <w:r w:rsidR="008A7C64">
        <w:t>ill</w:t>
      </w:r>
      <w:r w:rsidRPr="007A3C71">
        <w:t xml:space="preserve"> allow the Bank to more fully respond to its requests for information, which w</w:t>
      </w:r>
      <w:r w:rsidR="008A7C64">
        <w:t>ill</w:t>
      </w:r>
      <w:r w:rsidRPr="007A3C71">
        <w:t xml:space="preserve"> assist the IMF in better understanding the Australian economy, financial system and related regulatory architecture, and contribute to more accurate assessments and recommendations in its reports.</w:t>
      </w:r>
    </w:p>
    <w:p w14:paraId="19199C74" w14:textId="427F063F" w:rsidR="006D6A28" w:rsidRPr="007A3C71" w:rsidRDefault="000E5FE9" w:rsidP="006D6A28">
      <w:pPr>
        <w:pStyle w:val="Bullet"/>
      </w:pPr>
      <w:r>
        <w:t xml:space="preserve">New Zealand </w:t>
      </w:r>
      <w:r w:rsidR="006D6A28" w:rsidRPr="007A3C71">
        <w:t>Treasury: Entities owned by Australian banks dominate the New Zealand banking market</w:t>
      </w:r>
      <w:r w:rsidR="0045061B">
        <w:t>, and in turn represent significant exposures for Australia’s major banks</w:t>
      </w:r>
      <w:r w:rsidR="006D6A28" w:rsidRPr="007A3C71">
        <w:t xml:space="preserve">. Bank staff therefore regularly meet with New Zealand Treasury staff, as both entities are members of the Trans-Tasman Council on Banking Supervision, to discuss matters of concern and policy issues in the Australian and New Zealand financial and banking markets. Both entities are parties to the Memorandum of Cooperation on Trans-Tasman Bank Distress Management. As with </w:t>
      </w:r>
      <w:r>
        <w:t xml:space="preserve">Australian </w:t>
      </w:r>
      <w:r w:rsidR="006D6A28" w:rsidRPr="007A3C71">
        <w:t>Treasury, t</w:t>
      </w:r>
      <w:r w:rsidR="006D6A28" w:rsidRPr="007A3C71">
        <w:rPr>
          <w:lang w:val="en"/>
        </w:rPr>
        <w:t xml:space="preserve">he ability to share protected </w:t>
      </w:r>
      <w:r w:rsidR="006D6A28" w:rsidRPr="007A3C71">
        <w:rPr>
          <w:lang w:val="en"/>
        </w:rPr>
        <w:lastRenderedPageBreak/>
        <w:t xml:space="preserve">information with </w:t>
      </w:r>
      <w:r>
        <w:rPr>
          <w:lang w:val="en"/>
        </w:rPr>
        <w:t xml:space="preserve">New Zealand </w:t>
      </w:r>
      <w:r w:rsidR="006D6A28" w:rsidRPr="007A3C71">
        <w:rPr>
          <w:lang w:val="en"/>
        </w:rPr>
        <w:t>Treasury w</w:t>
      </w:r>
      <w:r w:rsidR="006D6A28">
        <w:rPr>
          <w:lang w:val="en"/>
        </w:rPr>
        <w:t>ill</w:t>
      </w:r>
      <w:r w:rsidR="006D6A28" w:rsidRPr="007A3C71">
        <w:rPr>
          <w:lang w:val="en"/>
        </w:rPr>
        <w:t xml:space="preserve"> greatly assist with policy analysis and formulation, and w</w:t>
      </w:r>
      <w:r w:rsidR="006D6A28">
        <w:rPr>
          <w:lang w:val="en"/>
        </w:rPr>
        <w:t>ill</w:t>
      </w:r>
      <w:r w:rsidR="006D6A28" w:rsidRPr="007A3C71">
        <w:rPr>
          <w:lang w:val="en"/>
        </w:rPr>
        <w:t xml:space="preserve"> be critical in the event of a crisis in the financial sector in Australia or New Zealand.</w:t>
      </w:r>
    </w:p>
    <w:p w14:paraId="1E83EC87" w14:textId="77777777" w:rsidR="007A3C71" w:rsidRPr="007A3C71" w:rsidRDefault="007A3C71" w:rsidP="007A3C71">
      <w:pPr>
        <w:rPr>
          <w:u w:val="single"/>
        </w:rPr>
      </w:pPr>
      <w:r w:rsidRPr="007A3C71">
        <w:rPr>
          <w:u w:val="single"/>
        </w:rPr>
        <w:t>Schedule 1 – Form for declaration of secrecy by Reserve Bank Board member</w:t>
      </w:r>
    </w:p>
    <w:p w14:paraId="4863C02D" w14:textId="5A41CFC4" w:rsidR="007A3C71" w:rsidRPr="007A3C71" w:rsidRDefault="007A3C71" w:rsidP="007A3C71">
      <w:r w:rsidRPr="007A3C71">
        <w:t>Schedule 1 prescribe</w:t>
      </w:r>
      <w:r w:rsidR="008A7C64">
        <w:t>s</w:t>
      </w:r>
      <w:r w:rsidRPr="007A3C71">
        <w:t xml:space="preserve"> the form to be used by a member of the Reserve Bank Board to make the declaration of secrecy </w:t>
      </w:r>
      <w:r w:rsidR="00593A4E">
        <w:t>referred to in s</w:t>
      </w:r>
      <w:r w:rsidRPr="007A3C71">
        <w:t>ubsection 6(1) of th</w:t>
      </w:r>
      <w:r w:rsidR="00593A4E">
        <w:t>is Regulation</w:t>
      </w:r>
      <w:r w:rsidRPr="007A3C71">
        <w:t xml:space="preserve">. The form itself is the same as that set out in the existing </w:t>
      </w:r>
      <w:r w:rsidRPr="007A3C71">
        <w:rPr>
          <w:i/>
        </w:rPr>
        <w:t>Reserve Bank Regulations</w:t>
      </w:r>
      <w:r w:rsidRPr="007A3C71">
        <w:t xml:space="preserve">. Minor drafting amendments </w:t>
      </w:r>
      <w:r w:rsidR="008A7C64">
        <w:t>are</w:t>
      </w:r>
      <w:r w:rsidRPr="007A3C71">
        <w:t xml:space="preserve"> made to the title of the provision.</w:t>
      </w:r>
    </w:p>
    <w:p w14:paraId="778BCF71" w14:textId="77777777" w:rsidR="007A3C71" w:rsidRPr="007A3C71" w:rsidRDefault="007A3C71" w:rsidP="007A3C71">
      <w:pPr>
        <w:rPr>
          <w:u w:val="single"/>
        </w:rPr>
      </w:pPr>
      <w:r w:rsidRPr="007A3C71">
        <w:rPr>
          <w:u w:val="single"/>
        </w:rPr>
        <w:t>Schedule 2 – Form for declaration of secrecy by Payments System Board member</w:t>
      </w:r>
    </w:p>
    <w:p w14:paraId="6CB84165" w14:textId="57A99FB2" w:rsidR="007A3C71" w:rsidRPr="007A3C71" w:rsidRDefault="007A3C71" w:rsidP="007A3C71">
      <w:r w:rsidRPr="007A3C71">
        <w:t>Schedule 2 prescribe</w:t>
      </w:r>
      <w:r w:rsidR="008A7C64">
        <w:t>s</w:t>
      </w:r>
      <w:r w:rsidRPr="007A3C71">
        <w:t xml:space="preserve"> the form to be used by a member of the Payments System Board to make the declaration of secrecy re</w:t>
      </w:r>
      <w:r w:rsidR="00593A4E">
        <w:t>ferred to in</w:t>
      </w:r>
      <w:r w:rsidRPr="007A3C71">
        <w:t xml:space="preserve"> subsection </w:t>
      </w:r>
      <w:r w:rsidR="00593A4E">
        <w:t>6</w:t>
      </w:r>
      <w:r w:rsidRPr="007A3C71">
        <w:t>(</w:t>
      </w:r>
      <w:r w:rsidR="00593A4E">
        <w:t>2</w:t>
      </w:r>
      <w:r w:rsidRPr="007A3C71">
        <w:t>) of th</w:t>
      </w:r>
      <w:r w:rsidR="00593A4E">
        <w:t>is Regulation</w:t>
      </w:r>
      <w:r w:rsidRPr="007A3C71">
        <w:t xml:space="preserve">. The form itself is the same as that set out in the existing </w:t>
      </w:r>
      <w:r w:rsidRPr="007A3C71">
        <w:rPr>
          <w:i/>
        </w:rPr>
        <w:t>Reserve Bank Regulations</w:t>
      </w:r>
      <w:r w:rsidRPr="007A3C71">
        <w:t xml:space="preserve">. Minor drafting amendments </w:t>
      </w:r>
      <w:r w:rsidR="008A7C64">
        <w:t>are</w:t>
      </w:r>
      <w:r w:rsidRPr="007A3C71">
        <w:t xml:space="preserve"> made to the title of the provision.</w:t>
      </w:r>
    </w:p>
    <w:p w14:paraId="01DCCB3E" w14:textId="77777777" w:rsidR="007A3C71" w:rsidRPr="007A3C71" w:rsidRDefault="007A3C71" w:rsidP="007A3C71">
      <w:pPr>
        <w:rPr>
          <w:u w:val="single"/>
        </w:rPr>
      </w:pPr>
      <w:r w:rsidRPr="007A3C71">
        <w:rPr>
          <w:u w:val="single"/>
        </w:rPr>
        <w:t>Schedule 3 - Repeals</w:t>
      </w:r>
    </w:p>
    <w:p w14:paraId="232C3859" w14:textId="2CF8E2CD" w:rsidR="007A3C71" w:rsidRPr="007A3C71" w:rsidRDefault="007A3C71" w:rsidP="007A3C71">
      <w:r w:rsidRPr="007A3C71">
        <w:t>Item 1 of Schedule 3 repeal</w:t>
      </w:r>
      <w:r w:rsidR="008A7C64">
        <w:t>s</w:t>
      </w:r>
      <w:r w:rsidRPr="007A3C71">
        <w:t xml:space="preserve"> the whole of the existing </w:t>
      </w:r>
      <w:r w:rsidRPr="007A3C71">
        <w:rPr>
          <w:i/>
        </w:rPr>
        <w:t>Reserve Bank Regulations</w:t>
      </w:r>
      <w:r w:rsidRPr="007A3C71">
        <w:t xml:space="preserve">, which </w:t>
      </w:r>
      <w:r w:rsidR="006007EF">
        <w:t>are</w:t>
      </w:r>
      <w:r w:rsidRPr="007A3C71">
        <w:t xml:space="preserve"> replaced and superseded by the Regulation. It is noted that the </w:t>
      </w:r>
      <w:r w:rsidR="008A7C64">
        <w:t>R</w:t>
      </w:r>
      <w:r w:rsidRPr="007A3C71">
        <w:t xml:space="preserve">egulation </w:t>
      </w:r>
      <w:r w:rsidR="009A0745">
        <w:t>does</w:t>
      </w:r>
      <w:r w:rsidRPr="007A3C71">
        <w:t xml:space="preserve"> not replicate Regulation 7 ‘Office hours’ of the</w:t>
      </w:r>
      <w:r w:rsidR="006007EF">
        <w:t xml:space="preserve"> existing Regulations</w:t>
      </w:r>
      <w:r w:rsidRPr="007A3C71">
        <w:t xml:space="preserve">, which states that branches and agencies of the Reserve Bank shall be open for business during such hours and on such days as determined by the Reserve Bank. This regulation </w:t>
      </w:r>
      <w:r w:rsidR="009A0745">
        <w:t>is</w:t>
      </w:r>
      <w:r w:rsidRPr="007A3C71">
        <w:t xml:space="preserve"> not replicated because it </w:t>
      </w:r>
      <w:r w:rsidR="000E5FE9">
        <w:t>is unnecessary</w:t>
      </w:r>
      <w:r w:rsidRPr="007A3C71">
        <w:t>.</w:t>
      </w:r>
    </w:p>
    <w:p w14:paraId="530E7DED" w14:textId="77777777" w:rsidR="00F109D4" w:rsidRDefault="00F109D4"/>
    <w:p w14:paraId="3D2980CA" w14:textId="77777777" w:rsidR="007A3C71" w:rsidRDefault="007A3C71">
      <w:pPr>
        <w:spacing w:before="0" w:after="0"/>
      </w:pPr>
      <w:r>
        <w:br w:type="page"/>
      </w:r>
    </w:p>
    <w:p w14:paraId="206B4039" w14:textId="77777777" w:rsidR="00E4438C" w:rsidRDefault="00E4438C" w:rsidP="00E4438C">
      <w:pPr>
        <w:pStyle w:val="Heading3"/>
        <w:jc w:val="center"/>
      </w:pPr>
      <w:r>
        <w:lastRenderedPageBreak/>
        <w:t>Statement of Compatibility with Human Rights</w:t>
      </w:r>
    </w:p>
    <w:p w14:paraId="4D8B9C14" w14:textId="77777777" w:rsidR="00E4438C" w:rsidRPr="00E4438C" w:rsidRDefault="00E4438C" w:rsidP="00E4438C">
      <w:pPr>
        <w:jc w:val="center"/>
        <w:rPr>
          <w:i/>
        </w:rPr>
      </w:pPr>
      <w:r w:rsidRPr="00E4438C">
        <w:rPr>
          <w:i/>
        </w:rPr>
        <w:t>Prepared in accordance with Part 3 of the Human Rights (Parliamentary Scrutiny) Act 2011</w:t>
      </w:r>
    </w:p>
    <w:p w14:paraId="7FEF8F24" w14:textId="7875E467" w:rsidR="00E4438C" w:rsidRPr="00E4438C" w:rsidRDefault="00936089" w:rsidP="00E4438C">
      <w:pPr>
        <w:jc w:val="center"/>
        <w:rPr>
          <w:b/>
        </w:rPr>
      </w:pPr>
      <w:r>
        <w:rPr>
          <w:b/>
        </w:rPr>
        <w:t>Reserve Bank Regulation 2016</w:t>
      </w:r>
    </w:p>
    <w:p w14:paraId="24535D27" w14:textId="77777777" w:rsidR="00E4438C" w:rsidRDefault="00E4438C" w:rsidP="00E4438C">
      <w:r>
        <w:t xml:space="preserve">This Legislative Instrument is compatible with the human rights and freedoms recognised or declared in the international instruments listed in section 3 of the </w:t>
      </w:r>
      <w:r w:rsidRPr="00E4438C">
        <w:rPr>
          <w:i/>
        </w:rPr>
        <w:t>Human Rights (Parliamentary Scrutiny) Act 2011</w:t>
      </w:r>
      <w:r>
        <w:t>.</w:t>
      </w:r>
    </w:p>
    <w:p w14:paraId="2D296B6C" w14:textId="77777777" w:rsidR="00E4438C" w:rsidRDefault="00E4438C" w:rsidP="00E4438C">
      <w:pPr>
        <w:pStyle w:val="Heading4"/>
      </w:pPr>
      <w:r>
        <w:t xml:space="preserve">Overview of the </w:t>
      </w:r>
      <w:r w:rsidRPr="00E4438C">
        <w:t>Legislative</w:t>
      </w:r>
      <w:r>
        <w:t xml:space="preserve"> Instrument</w:t>
      </w:r>
    </w:p>
    <w:p w14:paraId="290AE84D" w14:textId="434AEC78" w:rsidR="00E4438C" w:rsidRDefault="008F2581" w:rsidP="00E4438C">
      <w:r w:rsidRPr="00241C69">
        <w:t xml:space="preserve">Amendments made through the </w:t>
      </w:r>
      <w:r w:rsidRPr="00241C69">
        <w:rPr>
          <w:i/>
        </w:rPr>
        <w:t>Reserve Bank Regulation 2016</w:t>
      </w:r>
      <w:r w:rsidRPr="00241C69">
        <w:t xml:space="preserve"> (the Regulation) w</w:t>
      </w:r>
      <w:r>
        <w:t>ill</w:t>
      </w:r>
      <w:r w:rsidRPr="00241C69">
        <w:t xml:space="preserve"> assist the Bank in performing its functions by allowing it to disclose protected information</w:t>
      </w:r>
      <w:r w:rsidR="00593A4E">
        <w:t xml:space="preserve"> and documents</w:t>
      </w:r>
      <w:r w:rsidRPr="00241C69">
        <w:t xml:space="preserve"> to a small number of important domestic and international bodies and agencies. The Regulation also remake</w:t>
      </w:r>
      <w:r>
        <w:t>s</w:t>
      </w:r>
      <w:r w:rsidRPr="00241C69">
        <w:t xml:space="preserve"> the existing </w:t>
      </w:r>
      <w:r w:rsidRPr="00241C69">
        <w:rPr>
          <w:i/>
          <w:iCs/>
        </w:rPr>
        <w:t>Reserve Bank Regulations</w:t>
      </w:r>
      <w:r w:rsidRPr="00241C69">
        <w:rPr>
          <w:iCs/>
        </w:rPr>
        <w:t xml:space="preserve"> (the existing Regulations), which would otherwise ‘sunset’ on 1</w:t>
      </w:r>
      <w:r w:rsidR="000E5FE9">
        <w:rPr>
          <w:iCs/>
        </w:rPr>
        <w:t> April </w:t>
      </w:r>
      <w:r w:rsidRPr="00241C69">
        <w:rPr>
          <w:iCs/>
        </w:rPr>
        <w:t>2017</w:t>
      </w:r>
      <w:r w:rsidRPr="00241C69">
        <w:t>.</w:t>
      </w:r>
    </w:p>
    <w:p w14:paraId="227E9230" w14:textId="77777777" w:rsidR="00E4438C" w:rsidRDefault="00E4438C" w:rsidP="00E4438C">
      <w:pPr>
        <w:pStyle w:val="Heading4"/>
      </w:pPr>
      <w:r>
        <w:t>Human rights implications</w:t>
      </w:r>
    </w:p>
    <w:p w14:paraId="0236100F" w14:textId="2D518BAD" w:rsidR="00C54ED3" w:rsidRDefault="00C85938" w:rsidP="00C54ED3">
      <w:r>
        <w:t>The power for the Bank to disclose protected information may interfere with the right to privacy, if it involves the disclosure of personal information.</w:t>
      </w:r>
    </w:p>
    <w:p w14:paraId="1B0CAF1C" w14:textId="55B34B1C" w:rsidR="008E11DB" w:rsidRDefault="00C54ED3" w:rsidP="007868EB">
      <w:r w:rsidRPr="00C54ED3">
        <w:t xml:space="preserve">The </w:t>
      </w:r>
      <w:r w:rsidR="007868EB">
        <w:t xml:space="preserve">Bank </w:t>
      </w:r>
      <w:r w:rsidRPr="00C54ED3">
        <w:t xml:space="preserve">collects limited ‘protected information’ </w:t>
      </w:r>
      <w:r w:rsidR="007868EB">
        <w:t>and</w:t>
      </w:r>
      <w:r w:rsidRPr="00C54ED3">
        <w:t xml:space="preserve"> ‘protected documents’ which </w:t>
      </w:r>
      <w:r w:rsidR="007868EB">
        <w:t xml:space="preserve">is or which </w:t>
      </w:r>
      <w:r w:rsidRPr="00C54ED3">
        <w:t xml:space="preserve">contain 'personal information' as defined in section 6 of the </w:t>
      </w:r>
      <w:r w:rsidRPr="007868EB">
        <w:rPr>
          <w:i/>
        </w:rPr>
        <w:t>Privacy Act 1988</w:t>
      </w:r>
      <w:r w:rsidRPr="00C54ED3">
        <w:t xml:space="preserve">. </w:t>
      </w:r>
      <w:r w:rsidR="007868EB">
        <w:t xml:space="preserve">The main </w:t>
      </w:r>
      <w:r w:rsidR="008E11DB">
        <w:t xml:space="preserve">source of such information is the </w:t>
      </w:r>
      <w:r w:rsidR="000E5FE9">
        <w:t>‘</w:t>
      </w:r>
      <w:r w:rsidR="008E11DB">
        <w:t>l</w:t>
      </w:r>
      <w:r w:rsidR="007868EB" w:rsidRPr="007868EB">
        <w:t>arge exposure’ data for financial institutions</w:t>
      </w:r>
      <w:r w:rsidR="008E11DB">
        <w:t xml:space="preserve"> which the Bank receives</w:t>
      </w:r>
      <w:r w:rsidR="007868EB" w:rsidRPr="007868EB">
        <w:t xml:space="preserve"> from </w:t>
      </w:r>
      <w:r w:rsidR="008E11DB">
        <w:t xml:space="preserve">the </w:t>
      </w:r>
      <w:r w:rsidR="007868EB" w:rsidRPr="007868EB">
        <w:t>A</w:t>
      </w:r>
      <w:r w:rsidR="008E11DB">
        <w:t xml:space="preserve">ustralian </w:t>
      </w:r>
      <w:r w:rsidR="007868EB" w:rsidRPr="007868EB">
        <w:t>P</w:t>
      </w:r>
      <w:r w:rsidR="008E11DB">
        <w:t xml:space="preserve">rudential </w:t>
      </w:r>
      <w:r w:rsidR="007868EB" w:rsidRPr="007868EB">
        <w:t>R</w:t>
      </w:r>
      <w:r w:rsidR="008E11DB">
        <w:t xml:space="preserve">egulation </w:t>
      </w:r>
      <w:r w:rsidR="007868EB" w:rsidRPr="007868EB">
        <w:t>A</w:t>
      </w:r>
      <w:r w:rsidR="008E11DB">
        <w:t>uthority</w:t>
      </w:r>
      <w:r w:rsidR="00626B21">
        <w:t xml:space="preserve"> (APRA)</w:t>
      </w:r>
      <w:r w:rsidR="007868EB" w:rsidRPr="007868EB">
        <w:t xml:space="preserve">. There are instances each quarter in which smaller deposit taking institutions report large exposures to natural persons. </w:t>
      </w:r>
    </w:p>
    <w:p w14:paraId="6CAB535D" w14:textId="27E68E11" w:rsidR="008E11DB" w:rsidRPr="00C54ED3" w:rsidRDefault="008E11DB" w:rsidP="008E11DB">
      <w:r w:rsidRPr="00C54ED3">
        <w:t xml:space="preserve">The </w:t>
      </w:r>
      <w:r>
        <w:t>entities</w:t>
      </w:r>
      <w:r w:rsidRPr="00C54ED3">
        <w:t xml:space="preserve"> </w:t>
      </w:r>
      <w:r w:rsidR="0045061B">
        <w:t>that</w:t>
      </w:r>
      <w:r w:rsidR="0045061B" w:rsidRPr="00C54ED3">
        <w:t xml:space="preserve"> </w:t>
      </w:r>
      <w:r w:rsidR="009A0745">
        <w:t>are</w:t>
      </w:r>
      <w:r w:rsidRPr="00C54ED3">
        <w:t xml:space="preserve"> prescribed </w:t>
      </w:r>
      <w:r w:rsidR="009A0745">
        <w:t>in</w:t>
      </w:r>
      <w:r w:rsidRPr="00C54ED3">
        <w:t xml:space="preserve"> </w:t>
      </w:r>
      <w:r>
        <w:t>the</w:t>
      </w:r>
      <w:r w:rsidR="008F2581">
        <w:t xml:space="preserve"> </w:t>
      </w:r>
      <w:r>
        <w:t xml:space="preserve">Regulation </w:t>
      </w:r>
      <w:r w:rsidRPr="00C54ED3">
        <w:t>a</w:t>
      </w:r>
      <w:r>
        <w:t>re concerned with the</w:t>
      </w:r>
      <w:r w:rsidRPr="00C54ED3">
        <w:t xml:space="preserve"> stability and/or security of the financial system</w:t>
      </w:r>
      <w:r w:rsidR="002541B9">
        <w:t>, or with financial sector data or competition in and efficiency of payment systems</w:t>
      </w:r>
      <w:r>
        <w:t>.</w:t>
      </w:r>
      <w:r w:rsidRPr="00C54ED3">
        <w:t xml:space="preserve"> The information </w:t>
      </w:r>
      <w:r w:rsidR="0045061B">
        <w:t>that</w:t>
      </w:r>
      <w:r w:rsidR="0045061B" w:rsidRPr="00C54ED3">
        <w:t xml:space="preserve"> </w:t>
      </w:r>
      <w:r w:rsidR="00C85BB1">
        <w:t xml:space="preserve">the Bank </w:t>
      </w:r>
      <w:r w:rsidRPr="00C54ED3">
        <w:t xml:space="preserve">may need to share with these </w:t>
      </w:r>
      <w:r>
        <w:t>entities</w:t>
      </w:r>
      <w:r w:rsidRPr="00C54ED3">
        <w:t xml:space="preserve"> for the purposes of assessment of financial stability, crisis prevention, crisis management</w:t>
      </w:r>
      <w:r w:rsidR="002541B9">
        <w:t xml:space="preserve">, </w:t>
      </w:r>
      <w:r w:rsidRPr="00C54ED3">
        <w:t xml:space="preserve"> co-operative oversight </w:t>
      </w:r>
      <w:r w:rsidR="002541B9">
        <w:t xml:space="preserve">and effective </w:t>
      </w:r>
      <w:r w:rsidR="00264FDA">
        <w:t>collaboration</w:t>
      </w:r>
      <w:r w:rsidR="002541B9">
        <w:t xml:space="preserve"> and development of policy </w:t>
      </w:r>
      <w:r w:rsidR="00264FDA">
        <w:t>responses</w:t>
      </w:r>
      <w:r w:rsidR="002541B9">
        <w:t xml:space="preserve"> </w:t>
      </w:r>
      <w:r w:rsidRPr="00C54ED3">
        <w:t xml:space="preserve">is </w:t>
      </w:r>
      <w:r w:rsidR="00C85BB1">
        <w:t xml:space="preserve">aggregated </w:t>
      </w:r>
      <w:r w:rsidRPr="00C54ED3">
        <w:t>information about</w:t>
      </w:r>
      <w:r w:rsidR="00C85BB1">
        <w:t xml:space="preserve"> the system as a whole </w:t>
      </w:r>
      <w:r w:rsidR="00264FDA">
        <w:t xml:space="preserve">or segments of the system, </w:t>
      </w:r>
      <w:r w:rsidR="00C85BB1">
        <w:t xml:space="preserve">or </w:t>
      </w:r>
      <w:r w:rsidR="002541B9">
        <w:t xml:space="preserve">information </w:t>
      </w:r>
      <w:r w:rsidR="00C85BB1">
        <w:t>about</w:t>
      </w:r>
      <w:r w:rsidRPr="00C54ED3">
        <w:t xml:space="preserve"> </w:t>
      </w:r>
      <w:r w:rsidR="00593A4E">
        <w:t xml:space="preserve">specific </w:t>
      </w:r>
      <w:r w:rsidRPr="00C54ED3">
        <w:t xml:space="preserve">institutions. The nature of the respective mandates of the </w:t>
      </w:r>
      <w:r>
        <w:t xml:space="preserve">Bank and the prescribed </w:t>
      </w:r>
      <w:r w:rsidR="002541B9">
        <w:t>bod</w:t>
      </w:r>
      <w:r>
        <w:t>ies</w:t>
      </w:r>
      <w:r w:rsidRPr="00C54ED3">
        <w:t>, and the purpose</w:t>
      </w:r>
      <w:r w:rsidR="00E12CC0">
        <w:t>s</w:t>
      </w:r>
      <w:r w:rsidRPr="00C54ED3">
        <w:t xml:space="preserve"> for which </w:t>
      </w:r>
      <w:r w:rsidR="00E12CC0">
        <w:t xml:space="preserve">information </w:t>
      </w:r>
      <w:r w:rsidRPr="00C54ED3">
        <w:t xml:space="preserve">sharing with them would occur, means that the sharing of information about natural persons </w:t>
      </w:r>
      <w:r w:rsidR="002541B9">
        <w:t xml:space="preserve">is </w:t>
      </w:r>
      <w:r w:rsidR="005228FA">
        <w:t>extremel</w:t>
      </w:r>
      <w:r w:rsidR="002541B9">
        <w:t>y unlikely</w:t>
      </w:r>
      <w:r w:rsidR="00264FDA">
        <w:t>. T</w:t>
      </w:r>
      <w:r w:rsidR="00264FDA" w:rsidRPr="00264FDA">
        <w:t xml:space="preserve">he Bank does not contemplate that any personal information will need to be, or will be, shared with </w:t>
      </w:r>
      <w:r w:rsidR="009A0745">
        <w:t>the</w:t>
      </w:r>
      <w:r w:rsidR="00264FDA" w:rsidRPr="00264FDA">
        <w:t xml:space="preserve"> bodies</w:t>
      </w:r>
      <w:r w:rsidR="009A0745">
        <w:t xml:space="preserve"> prescribed</w:t>
      </w:r>
      <w:r w:rsidR="00264FDA" w:rsidRPr="00264FDA">
        <w:t xml:space="preserve"> i</w:t>
      </w:r>
      <w:r w:rsidR="009A0745">
        <w:t>n</w:t>
      </w:r>
      <w:r w:rsidR="00264FDA" w:rsidRPr="00264FDA">
        <w:t xml:space="preserve"> the Regulation</w:t>
      </w:r>
      <w:r w:rsidR="00E12CC0">
        <w:t>.</w:t>
      </w:r>
      <w:r w:rsidRPr="00C54ED3">
        <w:t xml:space="preserve"> </w:t>
      </w:r>
    </w:p>
    <w:p w14:paraId="2E9736CE" w14:textId="763A2F76" w:rsidR="002541B9" w:rsidRPr="00846EC6" w:rsidRDefault="002541B9" w:rsidP="002541B9">
      <w:pPr>
        <w:pStyle w:val="Default"/>
      </w:pPr>
      <w:r w:rsidRPr="00846EC6">
        <w:t>Section 79A(4)</w:t>
      </w:r>
      <w:r w:rsidR="00B46D31" w:rsidRPr="00846EC6">
        <w:t xml:space="preserve">, for </w:t>
      </w:r>
      <w:r w:rsidR="00264FDA" w:rsidRPr="00846EC6">
        <w:t>which</w:t>
      </w:r>
      <w:r w:rsidR="00B46D31" w:rsidRPr="00846EC6">
        <w:t xml:space="preserve"> section 7 of </w:t>
      </w:r>
      <w:r w:rsidR="00264FDA" w:rsidRPr="00846EC6">
        <w:t>the</w:t>
      </w:r>
      <w:r w:rsidR="00B46D31" w:rsidRPr="00846EC6">
        <w:t xml:space="preserve"> Regulation </w:t>
      </w:r>
      <w:r w:rsidR="009A0745" w:rsidRPr="00846EC6">
        <w:t>is</w:t>
      </w:r>
      <w:r w:rsidR="00B46D31" w:rsidRPr="00846EC6">
        <w:t xml:space="preserve"> made,</w:t>
      </w:r>
      <w:r w:rsidRPr="00846EC6">
        <w:t xml:space="preserve"> has been </w:t>
      </w:r>
      <w:r w:rsidR="00264FDA" w:rsidRPr="00846EC6">
        <w:t>drafted</w:t>
      </w:r>
      <w:r w:rsidRPr="00846EC6">
        <w:t xml:space="preserve"> narrowly enough to ensure that protected information is not disclosed </w:t>
      </w:r>
      <w:r w:rsidR="005228FA" w:rsidRPr="00846EC6">
        <w:t xml:space="preserve">unless </w:t>
      </w:r>
      <w:r w:rsidR="00264FDA" w:rsidRPr="00846EC6">
        <w:t>the</w:t>
      </w:r>
      <w:r w:rsidR="005228FA" w:rsidRPr="00846EC6">
        <w:t xml:space="preserve"> Reserve </w:t>
      </w:r>
      <w:r w:rsidR="00264FDA" w:rsidRPr="00846EC6">
        <w:t>Bank</w:t>
      </w:r>
      <w:r w:rsidR="005228FA" w:rsidRPr="00846EC6">
        <w:t xml:space="preserve"> is satisfied that </w:t>
      </w:r>
      <w:r w:rsidRPr="00846EC6">
        <w:t>disclosure is necessary for</w:t>
      </w:r>
      <w:r w:rsidR="005228FA" w:rsidRPr="00846EC6">
        <w:t xml:space="preserve"> </w:t>
      </w:r>
      <w:r w:rsidR="00264FDA" w:rsidRPr="00846EC6">
        <w:t xml:space="preserve">a prescribed body </w:t>
      </w:r>
      <w:r w:rsidR="005228FA" w:rsidRPr="00846EC6">
        <w:t xml:space="preserve">to perform </w:t>
      </w:r>
      <w:r w:rsidR="00264FDA" w:rsidRPr="00846EC6">
        <w:t xml:space="preserve">its </w:t>
      </w:r>
      <w:r w:rsidR="005228FA" w:rsidRPr="00846EC6">
        <w:t xml:space="preserve">functions or exercise </w:t>
      </w:r>
      <w:r w:rsidR="00264FDA" w:rsidRPr="00846EC6">
        <w:t xml:space="preserve">its </w:t>
      </w:r>
      <w:r w:rsidR="005228FA" w:rsidRPr="00846EC6">
        <w:t>powers</w:t>
      </w:r>
      <w:r w:rsidRPr="00846EC6">
        <w:t xml:space="preserve">. </w:t>
      </w:r>
      <w:r w:rsidR="005228FA" w:rsidRPr="00846EC6">
        <w:t xml:space="preserve">That qualifier </w:t>
      </w:r>
      <w:r w:rsidR="00264FDA" w:rsidRPr="00846EC6">
        <w:t>means</w:t>
      </w:r>
      <w:r w:rsidR="005228FA" w:rsidRPr="00846EC6">
        <w:t xml:space="preserve"> that </w:t>
      </w:r>
      <w:r w:rsidR="00264FDA" w:rsidRPr="00846EC6">
        <w:t>the</w:t>
      </w:r>
      <w:r w:rsidR="005228FA" w:rsidRPr="00846EC6">
        <w:t xml:space="preserve"> </w:t>
      </w:r>
      <w:r w:rsidR="00264FDA" w:rsidRPr="00846EC6">
        <w:t>disclosure</w:t>
      </w:r>
      <w:r w:rsidR="005228FA" w:rsidRPr="00846EC6">
        <w:t xml:space="preserve"> of </w:t>
      </w:r>
      <w:r w:rsidR="00264FDA" w:rsidRPr="00846EC6">
        <w:t>personal</w:t>
      </w:r>
      <w:r w:rsidR="005228FA" w:rsidRPr="00846EC6">
        <w:t xml:space="preserve"> </w:t>
      </w:r>
      <w:r w:rsidR="00264FDA" w:rsidRPr="00846EC6">
        <w:t>information</w:t>
      </w:r>
      <w:r w:rsidR="005228FA" w:rsidRPr="00846EC6">
        <w:t xml:space="preserve"> is in practice </w:t>
      </w:r>
      <w:r w:rsidR="00264FDA" w:rsidRPr="00846EC6">
        <w:t>extreme</w:t>
      </w:r>
      <w:r w:rsidR="005228FA" w:rsidRPr="00846EC6">
        <w:t xml:space="preserve">ly unlikely to occur and, </w:t>
      </w:r>
      <w:r w:rsidR="00264FDA" w:rsidRPr="00846EC6">
        <w:t xml:space="preserve">if it </w:t>
      </w:r>
      <w:r w:rsidRPr="00846EC6">
        <w:t>d</w:t>
      </w:r>
      <w:r w:rsidR="005228FA" w:rsidRPr="00846EC6">
        <w:t>id</w:t>
      </w:r>
      <w:r w:rsidRPr="00846EC6">
        <w:t xml:space="preserve"> occur</w:t>
      </w:r>
      <w:r w:rsidR="005228FA" w:rsidRPr="00846EC6">
        <w:t>,</w:t>
      </w:r>
      <w:r w:rsidRPr="00846EC6">
        <w:t xml:space="preserve"> it w</w:t>
      </w:r>
      <w:r w:rsidR="005228FA" w:rsidRPr="00846EC6">
        <w:t>ould</w:t>
      </w:r>
      <w:r w:rsidRPr="00846EC6">
        <w:t xml:space="preserve"> be justified by legitimate reasons and only to the extent required by those reason</w:t>
      </w:r>
      <w:r w:rsidR="009A0745" w:rsidRPr="00846EC6">
        <w:t>s</w:t>
      </w:r>
      <w:r w:rsidR="005228FA" w:rsidRPr="00846EC6">
        <w:t xml:space="preserve">, and </w:t>
      </w:r>
      <w:r w:rsidR="00264FDA" w:rsidRPr="00846EC6">
        <w:t>the</w:t>
      </w:r>
      <w:r w:rsidR="005228FA" w:rsidRPr="00846EC6">
        <w:t xml:space="preserve"> recipient would be a reputable domestic or global organisation using </w:t>
      </w:r>
      <w:r w:rsidR="00264FDA" w:rsidRPr="00846EC6">
        <w:t>the</w:t>
      </w:r>
      <w:r w:rsidR="005228FA" w:rsidRPr="00846EC6">
        <w:t xml:space="preserve"> </w:t>
      </w:r>
      <w:r w:rsidR="00264FDA" w:rsidRPr="00846EC6">
        <w:t>information</w:t>
      </w:r>
      <w:r w:rsidR="005228FA" w:rsidRPr="00846EC6">
        <w:t xml:space="preserve"> </w:t>
      </w:r>
      <w:r w:rsidR="00264FDA" w:rsidRPr="00846EC6">
        <w:t>for</w:t>
      </w:r>
      <w:r w:rsidR="005228FA" w:rsidRPr="00846EC6">
        <w:t xml:space="preserve"> </w:t>
      </w:r>
      <w:r w:rsidR="00264FDA" w:rsidRPr="00846EC6">
        <w:t>the</w:t>
      </w:r>
      <w:r w:rsidR="005228FA" w:rsidRPr="00846EC6">
        <w:t xml:space="preserve"> exercise of its functions or powers</w:t>
      </w:r>
      <w:r w:rsidRPr="00846EC6">
        <w:t>.</w:t>
      </w:r>
    </w:p>
    <w:p w14:paraId="30A6D647" w14:textId="42977D87" w:rsidR="002541B9" w:rsidRDefault="002541B9" w:rsidP="002541B9">
      <w:pPr>
        <w:pStyle w:val="Default"/>
        <w:rPr>
          <w:sz w:val="22"/>
          <w:szCs w:val="22"/>
        </w:rPr>
      </w:pPr>
    </w:p>
    <w:p w14:paraId="6CBB0876" w14:textId="3042E5BC" w:rsidR="00E4438C" w:rsidRDefault="00E4438C" w:rsidP="00E4438C"/>
    <w:p w14:paraId="5E408C94" w14:textId="77777777" w:rsidR="00E4438C" w:rsidRDefault="00E4438C" w:rsidP="00E4438C">
      <w:pPr>
        <w:pStyle w:val="Heading4"/>
      </w:pPr>
      <w:r>
        <w:lastRenderedPageBreak/>
        <w:t>Conclusion</w:t>
      </w:r>
    </w:p>
    <w:p w14:paraId="6D5DF164" w14:textId="530E7017" w:rsidR="00E4438C" w:rsidRDefault="00E4438C" w:rsidP="00E4438C">
      <w:r>
        <w:t xml:space="preserve">This Legislative Instrument is compatible with human rights as </w:t>
      </w:r>
      <w:r w:rsidR="000E655E">
        <w:t>the</w:t>
      </w:r>
      <w:r w:rsidR="000E655E" w:rsidRPr="00264FDA">
        <w:t xml:space="preserve"> Bank does not contemplate that any personal information will need to be, or will be, shared with </w:t>
      </w:r>
      <w:r w:rsidR="009A0745">
        <w:t>the</w:t>
      </w:r>
      <w:r w:rsidR="000E655E" w:rsidRPr="00264FDA">
        <w:t xml:space="preserve"> bodies</w:t>
      </w:r>
      <w:r w:rsidR="009A0745">
        <w:t xml:space="preserve"> prescribed in</w:t>
      </w:r>
      <w:r w:rsidR="000E655E" w:rsidRPr="00264FDA">
        <w:t xml:space="preserve"> the Regulation</w:t>
      </w:r>
      <w:r w:rsidR="00264FDA">
        <w:t xml:space="preserve"> and, </w:t>
      </w:r>
      <w:r w:rsidR="000E655E">
        <w:t xml:space="preserve">even </w:t>
      </w:r>
      <w:r w:rsidR="00264FDA">
        <w:t xml:space="preserve">if it were, it would be limited information disclosed in </w:t>
      </w:r>
      <w:r w:rsidR="009A0745">
        <w:t xml:space="preserve">circumstances that </w:t>
      </w:r>
      <w:r w:rsidR="009A0745" w:rsidRPr="009A0745">
        <w:t>would be justified by legitimate reasons and only to the extent required by those reasons</w:t>
      </w:r>
      <w:r>
        <w:t>.</w:t>
      </w:r>
    </w:p>
    <w:sectPr w:rsidR="00E4438C" w:rsidSect="00392BBA">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7907C" w14:textId="77777777" w:rsidR="00BF5AEF" w:rsidRDefault="00BF5AEF" w:rsidP="007A3C71">
      <w:pPr>
        <w:spacing w:before="0" w:after="0"/>
      </w:pPr>
      <w:r>
        <w:separator/>
      </w:r>
    </w:p>
  </w:endnote>
  <w:endnote w:type="continuationSeparator" w:id="0">
    <w:p w14:paraId="370009B7" w14:textId="77777777" w:rsidR="00BF5AEF" w:rsidRDefault="00BF5AEF" w:rsidP="007A3C71">
      <w:pPr>
        <w:spacing w:before="0" w:after="0"/>
      </w:pPr>
      <w:r>
        <w:continuationSeparator/>
      </w:r>
    </w:p>
  </w:endnote>
  <w:endnote w:type="continuationNotice" w:id="1">
    <w:p w14:paraId="13514B33" w14:textId="77777777" w:rsidR="004270F9" w:rsidRDefault="004270F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9C439" w14:textId="77777777" w:rsidR="00BF5AEF" w:rsidRDefault="00BF5AEF" w:rsidP="007A3C71">
      <w:pPr>
        <w:spacing w:before="0" w:after="0"/>
      </w:pPr>
      <w:r>
        <w:separator/>
      </w:r>
    </w:p>
  </w:footnote>
  <w:footnote w:type="continuationSeparator" w:id="0">
    <w:p w14:paraId="5BBA25D3" w14:textId="77777777" w:rsidR="00BF5AEF" w:rsidRDefault="00BF5AEF" w:rsidP="007A3C71">
      <w:pPr>
        <w:spacing w:before="0" w:after="0"/>
      </w:pPr>
      <w:r>
        <w:continuationSeparator/>
      </w:r>
    </w:p>
  </w:footnote>
  <w:footnote w:type="continuationNotice" w:id="1">
    <w:p w14:paraId="617566F2" w14:textId="77777777" w:rsidR="004270F9" w:rsidRDefault="004270F9">
      <w:pPr>
        <w:spacing w:before="0" w:after="0"/>
      </w:pPr>
    </w:p>
  </w:footnote>
  <w:footnote w:id="2">
    <w:p w14:paraId="0EC75450" w14:textId="77777777" w:rsidR="00BF5AEF" w:rsidRDefault="00BF5AEF" w:rsidP="00FD499C">
      <w:pPr>
        <w:pStyle w:val="FootnoteText"/>
      </w:pPr>
      <w:r>
        <w:rPr>
          <w:rStyle w:val="FootnoteReference"/>
        </w:rPr>
        <w:footnoteRef/>
      </w:r>
      <w:r>
        <w:t xml:space="preserve"> See CFR website at www.cfr.gov.au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
    <w:nsid w:val="67A43C0B"/>
    <w:multiLevelType w:val="multilevel"/>
    <w:tmpl w:val="DC6A85C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A96318E"/>
    <w:multiLevelType w:val="hybridMultilevel"/>
    <w:tmpl w:val="934C448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IClassificationInHeader" w:val="False"/>
    <w:docVar w:name="SecurityClassificationInHeader" w:val="False"/>
    <w:docVar w:name="SecurityDLMInHeader" w:val="False"/>
  </w:docVars>
  <w:rsids>
    <w:rsidRoot w:val="00B11104"/>
    <w:rsid w:val="00000F9A"/>
    <w:rsid w:val="00016EA2"/>
    <w:rsid w:val="00032BA8"/>
    <w:rsid w:val="00033234"/>
    <w:rsid w:val="00095211"/>
    <w:rsid w:val="0009644E"/>
    <w:rsid w:val="000C10DF"/>
    <w:rsid w:val="000E5FE9"/>
    <w:rsid w:val="000E655E"/>
    <w:rsid w:val="00103DBB"/>
    <w:rsid w:val="00113B45"/>
    <w:rsid w:val="00172159"/>
    <w:rsid w:val="001A349D"/>
    <w:rsid w:val="001B1268"/>
    <w:rsid w:val="001D60A2"/>
    <w:rsid w:val="001E6A74"/>
    <w:rsid w:val="001F25B4"/>
    <w:rsid w:val="001F41D0"/>
    <w:rsid w:val="002121B7"/>
    <w:rsid w:val="00220F16"/>
    <w:rsid w:val="00241C69"/>
    <w:rsid w:val="002541B9"/>
    <w:rsid w:val="00254C5B"/>
    <w:rsid w:val="00264752"/>
    <w:rsid w:val="00264FDA"/>
    <w:rsid w:val="002835C2"/>
    <w:rsid w:val="003342CD"/>
    <w:rsid w:val="00335042"/>
    <w:rsid w:val="0034470F"/>
    <w:rsid w:val="00392BBA"/>
    <w:rsid w:val="003C6896"/>
    <w:rsid w:val="003F65C0"/>
    <w:rsid w:val="004270F9"/>
    <w:rsid w:val="0045061B"/>
    <w:rsid w:val="004E39E1"/>
    <w:rsid w:val="00503E44"/>
    <w:rsid w:val="00515283"/>
    <w:rsid w:val="005228FA"/>
    <w:rsid w:val="0055675D"/>
    <w:rsid w:val="005833BE"/>
    <w:rsid w:val="00593A4E"/>
    <w:rsid w:val="005D7D5A"/>
    <w:rsid w:val="006007EF"/>
    <w:rsid w:val="0060130D"/>
    <w:rsid w:val="00626B21"/>
    <w:rsid w:val="0064129F"/>
    <w:rsid w:val="00674B9E"/>
    <w:rsid w:val="0067509B"/>
    <w:rsid w:val="006B63A7"/>
    <w:rsid w:val="006D6A28"/>
    <w:rsid w:val="00763F0F"/>
    <w:rsid w:val="007868EB"/>
    <w:rsid w:val="007A3C71"/>
    <w:rsid w:val="007E018D"/>
    <w:rsid w:val="007E454A"/>
    <w:rsid w:val="00807E7D"/>
    <w:rsid w:val="00826E7F"/>
    <w:rsid w:val="00831675"/>
    <w:rsid w:val="00846EC6"/>
    <w:rsid w:val="008536B8"/>
    <w:rsid w:val="0088467C"/>
    <w:rsid w:val="008A7C64"/>
    <w:rsid w:val="008D16F7"/>
    <w:rsid w:val="008E11DB"/>
    <w:rsid w:val="008F2581"/>
    <w:rsid w:val="00927955"/>
    <w:rsid w:val="00936089"/>
    <w:rsid w:val="009A0745"/>
    <w:rsid w:val="009E2F86"/>
    <w:rsid w:val="00A12209"/>
    <w:rsid w:val="00A3059B"/>
    <w:rsid w:val="00A36DF3"/>
    <w:rsid w:val="00A532DD"/>
    <w:rsid w:val="00A7312B"/>
    <w:rsid w:val="00A80BCF"/>
    <w:rsid w:val="00AC536D"/>
    <w:rsid w:val="00AE06CD"/>
    <w:rsid w:val="00B07B0C"/>
    <w:rsid w:val="00B11104"/>
    <w:rsid w:val="00B15F4B"/>
    <w:rsid w:val="00B46D31"/>
    <w:rsid w:val="00B804DE"/>
    <w:rsid w:val="00B83523"/>
    <w:rsid w:val="00BD61A2"/>
    <w:rsid w:val="00BE484D"/>
    <w:rsid w:val="00BF5AEF"/>
    <w:rsid w:val="00C05109"/>
    <w:rsid w:val="00C11D73"/>
    <w:rsid w:val="00C201BF"/>
    <w:rsid w:val="00C341DB"/>
    <w:rsid w:val="00C37E05"/>
    <w:rsid w:val="00C54ED3"/>
    <w:rsid w:val="00C55D29"/>
    <w:rsid w:val="00C65685"/>
    <w:rsid w:val="00C85938"/>
    <w:rsid w:val="00C85BB1"/>
    <w:rsid w:val="00D34626"/>
    <w:rsid w:val="00D4257A"/>
    <w:rsid w:val="00D8550C"/>
    <w:rsid w:val="00DC0CDE"/>
    <w:rsid w:val="00DE4AE0"/>
    <w:rsid w:val="00E0624D"/>
    <w:rsid w:val="00E127D0"/>
    <w:rsid w:val="00E12CC0"/>
    <w:rsid w:val="00E145F1"/>
    <w:rsid w:val="00E40243"/>
    <w:rsid w:val="00E4438C"/>
    <w:rsid w:val="00E457F3"/>
    <w:rsid w:val="00E50422"/>
    <w:rsid w:val="00EB7E71"/>
    <w:rsid w:val="00F109D4"/>
    <w:rsid w:val="00F41EE7"/>
    <w:rsid w:val="00F725FF"/>
    <w:rsid w:val="00FB2C8E"/>
    <w:rsid w:val="00FD499C"/>
    <w:rsid w:val="00FF10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6C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paragraph" w:styleId="FootnoteText">
    <w:name w:val="footnote text"/>
    <w:basedOn w:val="Normal"/>
    <w:link w:val="FootnoteTextChar"/>
    <w:uiPriority w:val="99"/>
    <w:semiHidden/>
    <w:unhideWhenUsed/>
    <w:rsid w:val="007A3C71"/>
    <w:pPr>
      <w:spacing w:before="0" w:after="0"/>
    </w:pPr>
    <w:rPr>
      <w:sz w:val="20"/>
    </w:rPr>
  </w:style>
  <w:style w:type="character" w:customStyle="1" w:styleId="FootnoteTextChar">
    <w:name w:val="Footnote Text Char"/>
    <w:basedOn w:val="DefaultParagraphFont"/>
    <w:link w:val="FootnoteText"/>
    <w:uiPriority w:val="99"/>
    <w:semiHidden/>
    <w:rsid w:val="007A3C71"/>
  </w:style>
  <w:style w:type="character" w:styleId="FootnoteReference">
    <w:name w:val="footnote reference"/>
    <w:basedOn w:val="DefaultParagraphFont"/>
    <w:uiPriority w:val="99"/>
    <w:semiHidden/>
    <w:unhideWhenUsed/>
    <w:rsid w:val="007A3C71"/>
    <w:rPr>
      <w:vertAlign w:val="superscript"/>
    </w:rPr>
  </w:style>
  <w:style w:type="paragraph" w:styleId="Header">
    <w:name w:val="header"/>
    <w:basedOn w:val="Normal"/>
    <w:link w:val="HeaderChar"/>
    <w:uiPriority w:val="99"/>
    <w:unhideWhenUsed/>
    <w:rsid w:val="00BF5AEF"/>
    <w:pPr>
      <w:tabs>
        <w:tab w:val="center" w:pos="4513"/>
        <w:tab w:val="right" w:pos="9026"/>
      </w:tabs>
      <w:spacing w:before="0" w:after="0"/>
    </w:pPr>
  </w:style>
  <w:style w:type="character" w:customStyle="1" w:styleId="HeaderChar">
    <w:name w:val="Header Char"/>
    <w:basedOn w:val="DefaultParagraphFont"/>
    <w:link w:val="Header"/>
    <w:uiPriority w:val="99"/>
    <w:rsid w:val="00BF5AEF"/>
    <w:rPr>
      <w:sz w:val="24"/>
    </w:rPr>
  </w:style>
  <w:style w:type="paragraph" w:styleId="Footer">
    <w:name w:val="footer"/>
    <w:basedOn w:val="Normal"/>
    <w:link w:val="FooterChar"/>
    <w:uiPriority w:val="99"/>
    <w:unhideWhenUsed/>
    <w:rsid w:val="00BF5AEF"/>
    <w:pPr>
      <w:tabs>
        <w:tab w:val="center" w:pos="4513"/>
        <w:tab w:val="right" w:pos="9026"/>
      </w:tabs>
      <w:spacing w:before="0" w:after="0"/>
    </w:pPr>
  </w:style>
  <w:style w:type="character" w:customStyle="1" w:styleId="FooterChar">
    <w:name w:val="Footer Char"/>
    <w:basedOn w:val="DefaultParagraphFont"/>
    <w:link w:val="Footer"/>
    <w:uiPriority w:val="99"/>
    <w:rsid w:val="00BF5AEF"/>
    <w:rPr>
      <w:sz w:val="24"/>
    </w:rPr>
  </w:style>
  <w:style w:type="paragraph" w:customStyle="1" w:styleId="SecurityClassificationHeader">
    <w:name w:val="Security Classification Header"/>
    <w:link w:val="SecurityClassificationHeaderChar"/>
    <w:rsid w:val="00BF5AEF"/>
    <w:pPr>
      <w:spacing w:before="240" w:after="60"/>
      <w:jc w:val="center"/>
    </w:pPr>
    <w:rPr>
      <w:b/>
      <w:caps/>
      <w:sz w:val="24"/>
    </w:rPr>
  </w:style>
  <w:style w:type="character" w:customStyle="1" w:styleId="SecurityClassificationHeaderChar">
    <w:name w:val="Security Classification Header Char"/>
    <w:basedOn w:val="HeaderChar"/>
    <w:link w:val="SecurityClassificationHeader"/>
    <w:rsid w:val="00BF5AEF"/>
    <w:rPr>
      <w:b/>
      <w:caps/>
      <w:sz w:val="24"/>
    </w:rPr>
  </w:style>
  <w:style w:type="paragraph" w:customStyle="1" w:styleId="SecurityClassificationFooter">
    <w:name w:val="Security Classification Footer"/>
    <w:link w:val="SecurityClassificationFooterChar"/>
    <w:rsid w:val="00BF5AEF"/>
    <w:pPr>
      <w:spacing w:before="60" w:after="240"/>
      <w:jc w:val="center"/>
    </w:pPr>
    <w:rPr>
      <w:b/>
      <w:caps/>
      <w:sz w:val="24"/>
    </w:rPr>
  </w:style>
  <w:style w:type="character" w:customStyle="1" w:styleId="SecurityClassificationFooterChar">
    <w:name w:val="Security Classification Footer Char"/>
    <w:basedOn w:val="HeaderChar"/>
    <w:link w:val="SecurityClassificationFooter"/>
    <w:rsid w:val="00BF5AEF"/>
    <w:rPr>
      <w:b/>
      <w:caps/>
      <w:sz w:val="24"/>
    </w:rPr>
  </w:style>
  <w:style w:type="paragraph" w:customStyle="1" w:styleId="DLMSecurityHeader">
    <w:name w:val="DLM Security Header"/>
    <w:link w:val="DLMSecurityHeaderChar"/>
    <w:rsid w:val="00BF5AEF"/>
    <w:pPr>
      <w:spacing w:before="60" w:after="240"/>
      <w:jc w:val="center"/>
    </w:pPr>
    <w:rPr>
      <w:b/>
      <w:caps/>
      <w:sz w:val="24"/>
    </w:rPr>
  </w:style>
  <w:style w:type="character" w:customStyle="1" w:styleId="DLMSecurityHeaderChar">
    <w:name w:val="DLM Security Header Char"/>
    <w:basedOn w:val="HeaderChar"/>
    <w:link w:val="DLMSecurityHeader"/>
    <w:rsid w:val="00BF5AEF"/>
    <w:rPr>
      <w:b/>
      <w:caps/>
      <w:sz w:val="24"/>
    </w:rPr>
  </w:style>
  <w:style w:type="paragraph" w:customStyle="1" w:styleId="DLMSecurityFooter">
    <w:name w:val="DLM Security Footer"/>
    <w:link w:val="DLMSecurityFooterChar"/>
    <w:rsid w:val="00BF5AEF"/>
    <w:pPr>
      <w:spacing w:before="240" w:after="60"/>
      <w:jc w:val="center"/>
    </w:pPr>
    <w:rPr>
      <w:b/>
      <w:caps/>
      <w:sz w:val="24"/>
    </w:rPr>
  </w:style>
  <w:style w:type="character" w:customStyle="1" w:styleId="DLMSecurityFooterChar">
    <w:name w:val="DLM Security Footer Char"/>
    <w:basedOn w:val="HeaderChar"/>
    <w:link w:val="DLMSecurityFooter"/>
    <w:rsid w:val="00BF5AEF"/>
    <w:rPr>
      <w:b/>
      <w:caps/>
      <w:sz w:val="24"/>
    </w:rPr>
  </w:style>
  <w:style w:type="paragraph" w:styleId="ListParagraph">
    <w:name w:val="List Paragraph"/>
    <w:basedOn w:val="Normal"/>
    <w:uiPriority w:val="34"/>
    <w:qFormat/>
    <w:rsid w:val="00B46D31"/>
    <w:pPr>
      <w:spacing w:before="0" w:after="0"/>
      <w:ind w:left="720"/>
    </w:pPr>
    <w:rPr>
      <w:rFonts w:ascii="Calibri" w:eastAsiaTheme="minorHAnsi" w:hAnsi="Calibri"/>
      <w:sz w:val="22"/>
      <w:szCs w:val="22"/>
      <w:lang w:eastAsia="en-US"/>
    </w:rPr>
  </w:style>
  <w:style w:type="character" w:styleId="CommentReference">
    <w:name w:val="annotation reference"/>
    <w:basedOn w:val="DefaultParagraphFont"/>
    <w:uiPriority w:val="99"/>
    <w:semiHidden/>
    <w:unhideWhenUsed/>
    <w:rsid w:val="005228FA"/>
    <w:rPr>
      <w:sz w:val="16"/>
      <w:szCs w:val="16"/>
    </w:rPr>
  </w:style>
  <w:style w:type="paragraph" w:styleId="CommentText">
    <w:name w:val="annotation text"/>
    <w:basedOn w:val="Normal"/>
    <w:link w:val="CommentTextChar"/>
    <w:uiPriority w:val="99"/>
    <w:semiHidden/>
    <w:unhideWhenUsed/>
    <w:rsid w:val="005228FA"/>
    <w:rPr>
      <w:sz w:val="20"/>
    </w:rPr>
  </w:style>
  <w:style w:type="character" w:customStyle="1" w:styleId="CommentTextChar">
    <w:name w:val="Comment Text Char"/>
    <w:basedOn w:val="DefaultParagraphFont"/>
    <w:link w:val="CommentText"/>
    <w:uiPriority w:val="99"/>
    <w:semiHidden/>
    <w:rsid w:val="005228FA"/>
  </w:style>
  <w:style w:type="paragraph" w:styleId="CommentSubject">
    <w:name w:val="annotation subject"/>
    <w:basedOn w:val="CommentText"/>
    <w:next w:val="CommentText"/>
    <w:link w:val="CommentSubjectChar"/>
    <w:uiPriority w:val="99"/>
    <w:semiHidden/>
    <w:unhideWhenUsed/>
    <w:rsid w:val="005228FA"/>
    <w:rPr>
      <w:b/>
      <w:bCs/>
    </w:rPr>
  </w:style>
  <w:style w:type="character" w:customStyle="1" w:styleId="CommentSubjectChar">
    <w:name w:val="Comment Subject Char"/>
    <w:basedOn w:val="CommentTextChar"/>
    <w:link w:val="CommentSubject"/>
    <w:uiPriority w:val="99"/>
    <w:semiHidden/>
    <w:rsid w:val="005228F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paragraph" w:styleId="FootnoteText">
    <w:name w:val="footnote text"/>
    <w:basedOn w:val="Normal"/>
    <w:link w:val="FootnoteTextChar"/>
    <w:uiPriority w:val="99"/>
    <w:semiHidden/>
    <w:unhideWhenUsed/>
    <w:rsid w:val="007A3C71"/>
    <w:pPr>
      <w:spacing w:before="0" w:after="0"/>
    </w:pPr>
    <w:rPr>
      <w:sz w:val="20"/>
    </w:rPr>
  </w:style>
  <w:style w:type="character" w:customStyle="1" w:styleId="FootnoteTextChar">
    <w:name w:val="Footnote Text Char"/>
    <w:basedOn w:val="DefaultParagraphFont"/>
    <w:link w:val="FootnoteText"/>
    <w:uiPriority w:val="99"/>
    <w:semiHidden/>
    <w:rsid w:val="007A3C71"/>
  </w:style>
  <w:style w:type="character" w:styleId="FootnoteReference">
    <w:name w:val="footnote reference"/>
    <w:basedOn w:val="DefaultParagraphFont"/>
    <w:uiPriority w:val="99"/>
    <w:semiHidden/>
    <w:unhideWhenUsed/>
    <w:rsid w:val="007A3C71"/>
    <w:rPr>
      <w:vertAlign w:val="superscript"/>
    </w:rPr>
  </w:style>
  <w:style w:type="paragraph" w:styleId="Header">
    <w:name w:val="header"/>
    <w:basedOn w:val="Normal"/>
    <w:link w:val="HeaderChar"/>
    <w:uiPriority w:val="99"/>
    <w:unhideWhenUsed/>
    <w:rsid w:val="00BF5AEF"/>
    <w:pPr>
      <w:tabs>
        <w:tab w:val="center" w:pos="4513"/>
        <w:tab w:val="right" w:pos="9026"/>
      </w:tabs>
      <w:spacing w:before="0" w:after="0"/>
    </w:pPr>
  </w:style>
  <w:style w:type="character" w:customStyle="1" w:styleId="HeaderChar">
    <w:name w:val="Header Char"/>
    <w:basedOn w:val="DefaultParagraphFont"/>
    <w:link w:val="Header"/>
    <w:uiPriority w:val="99"/>
    <w:rsid w:val="00BF5AEF"/>
    <w:rPr>
      <w:sz w:val="24"/>
    </w:rPr>
  </w:style>
  <w:style w:type="paragraph" w:styleId="Footer">
    <w:name w:val="footer"/>
    <w:basedOn w:val="Normal"/>
    <w:link w:val="FooterChar"/>
    <w:uiPriority w:val="99"/>
    <w:unhideWhenUsed/>
    <w:rsid w:val="00BF5AEF"/>
    <w:pPr>
      <w:tabs>
        <w:tab w:val="center" w:pos="4513"/>
        <w:tab w:val="right" w:pos="9026"/>
      </w:tabs>
      <w:spacing w:before="0" w:after="0"/>
    </w:pPr>
  </w:style>
  <w:style w:type="character" w:customStyle="1" w:styleId="FooterChar">
    <w:name w:val="Footer Char"/>
    <w:basedOn w:val="DefaultParagraphFont"/>
    <w:link w:val="Footer"/>
    <w:uiPriority w:val="99"/>
    <w:rsid w:val="00BF5AEF"/>
    <w:rPr>
      <w:sz w:val="24"/>
    </w:rPr>
  </w:style>
  <w:style w:type="paragraph" w:customStyle="1" w:styleId="SecurityClassificationHeader">
    <w:name w:val="Security Classification Header"/>
    <w:link w:val="SecurityClassificationHeaderChar"/>
    <w:rsid w:val="00BF5AEF"/>
    <w:pPr>
      <w:spacing w:before="240" w:after="60"/>
      <w:jc w:val="center"/>
    </w:pPr>
    <w:rPr>
      <w:b/>
      <w:caps/>
      <w:sz w:val="24"/>
    </w:rPr>
  </w:style>
  <w:style w:type="character" w:customStyle="1" w:styleId="SecurityClassificationHeaderChar">
    <w:name w:val="Security Classification Header Char"/>
    <w:basedOn w:val="HeaderChar"/>
    <w:link w:val="SecurityClassificationHeader"/>
    <w:rsid w:val="00BF5AEF"/>
    <w:rPr>
      <w:b/>
      <w:caps/>
      <w:sz w:val="24"/>
    </w:rPr>
  </w:style>
  <w:style w:type="paragraph" w:customStyle="1" w:styleId="SecurityClassificationFooter">
    <w:name w:val="Security Classification Footer"/>
    <w:link w:val="SecurityClassificationFooterChar"/>
    <w:rsid w:val="00BF5AEF"/>
    <w:pPr>
      <w:spacing w:before="60" w:after="240"/>
      <w:jc w:val="center"/>
    </w:pPr>
    <w:rPr>
      <w:b/>
      <w:caps/>
      <w:sz w:val="24"/>
    </w:rPr>
  </w:style>
  <w:style w:type="character" w:customStyle="1" w:styleId="SecurityClassificationFooterChar">
    <w:name w:val="Security Classification Footer Char"/>
    <w:basedOn w:val="HeaderChar"/>
    <w:link w:val="SecurityClassificationFooter"/>
    <w:rsid w:val="00BF5AEF"/>
    <w:rPr>
      <w:b/>
      <w:caps/>
      <w:sz w:val="24"/>
    </w:rPr>
  </w:style>
  <w:style w:type="paragraph" w:customStyle="1" w:styleId="DLMSecurityHeader">
    <w:name w:val="DLM Security Header"/>
    <w:link w:val="DLMSecurityHeaderChar"/>
    <w:rsid w:val="00BF5AEF"/>
    <w:pPr>
      <w:spacing w:before="60" w:after="240"/>
      <w:jc w:val="center"/>
    </w:pPr>
    <w:rPr>
      <w:b/>
      <w:caps/>
      <w:sz w:val="24"/>
    </w:rPr>
  </w:style>
  <w:style w:type="character" w:customStyle="1" w:styleId="DLMSecurityHeaderChar">
    <w:name w:val="DLM Security Header Char"/>
    <w:basedOn w:val="HeaderChar"/>
    <w:link w:val="DLMSecurityHeader"/>
    <w:rsid w:val="00BF5AEF"/>
    <w:rPr>
      <w:b/>
      <w:caps/>
      <w:sz w:val="24"/>
    </w:rPr>
  </w:style>
  <w:style w:type="paragraph" w:customStyle="1" w:styleId="DLMSecurityFooter">
    <w:name w:val="DLM Security Footer"/>
    <w:link w:val="DLMSecurityFooterChar"/>
    <w:rsid w:val="00BF5AEF"/>
    <w:pPr>
      <w:spacing w:before="240" w:after="60"/>
      <w:jc w:val="center"/>
    </w:pPr>
    <w:rPr>
      <w:b/>
      <w:caps/>
      <w:sz w:val="24"/>
    </w:rPr>
  </w:style>
  <w:style w:type="character" w:customStyle="1" w:styleId="DLMSecurityFooterChar">
    <w:name w:val="DLM Security Footer Char"/>
    <w:basedOn w:val="HeaderChar"/>
    <w:link w:val="DLMSecurityFooter"/>
    <w:rsid w:val="00BF5AEF"/>
    <w:rPr>
      <w:b/>
      <w:caps/>
      <w:sz w:val="24"/>
    </w:rPr>
  </w:style>
  <w:style w:type="paragraph" w:styleId="ListParagraph">
    <w:name w:val="List Paragraph"/>
    <w:basedOn w:val="Normal"/>
    <w:uiPriority w:val="34"/>
    <w:qFormat/>
    <w:rsid w:val="00B46D31"/>
    <w:pPr>
      <w:spacing w:before="0" w:after="0"/>
      <w:ind w:left="720"/>
    </w:pPr>
    <w:rPr>
      <w:rFonts w:ascii="Calibri" w:eastAsiaTheme="minorHAnsi" w:hAnsi="Calibri"/>
      <w:sz w:val="22"/>
      <w:szCs w:val="22"/>
      <w:lang w:eastAsia="en-US"/>
    </w:rPr>
  </w:style>
  <w:style w:type="character" w:styleId="CommentReference">
    <w:name w:val="annotation reference"/>
    <w:basedOn w:val="DefaultParagraphFont"/>
    <w:uiPriority w:val="99"/>
    <w:semiHidden/>
    <w:unhideWhenUsed/>
    <w:rsid w:val="005228FA"/>
    <w:rPr>
      <w:sz w:val="16"/>
      <w:szCs w:val="16"/>
    </w:rPr>
  </w:style>
  <w:style w:type="paragraph" w:styleId="CommentText">
    <w:name w:val="annotation text"/>
    <w:basedOn w:val="Normal"/>
    <w:link w:val="CommentTextChar"/>
    <w:uiPriority w:val="99"/>
    <w:semiHidden/>
    <w:unhideWhenUsed/>
    <w:rsid w:val="005228FA"/>
    <w:rPr>
      <w:sz w:val="20"/>
    </w:rPr>
  </w:style>
  <w:style w:type="character" w:customStyle="1" w:styleId="CommentTextChar">
    <w:name w:val="Comment Text Char"/>
    <w:basedOn w:val="DefaultParagraphFont"/>
    <w:link w:val="CommentText"/>
    <w:uiPriority w:val="99"/>
    <w:semiHidden/>
    <w:rsid w:val="005228FA"/>
  </w:style>
  <w:style w:type="paragraph" w:styleId="CommentSubject">
    <w:name w:val="annotation subject"/>
    <w:basedOn w:val="CommentText"/>
    <w:next w:val="CommentText"/>
    <w:link w:val="CommentSubjectChar"/>
    <w:uiPriority w:val="99"/>
    <w:semiHidden/>
    <w:unhideWhenUsed/>
    <w:rsid w:val="005228FA"/>
    <w:rPr>
      <w:b/>
      <w:bCs/>
    </w:rPr>
  </w:style>
  <w:style w:type="character" w:customStyle="1" w:styleId="CommentSubjectChar">
    <w:name w:val="Comment Subject Char"/>
    <w:basedOn w:val="CommentTextChar"/>
    <w:link w:val="CommentSubject"/>
    <w:uiPriority w:val="99"/>
    <w:semiHidden/>
    <w:rsid w:val="005228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96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ExCo-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9f7bc583-7cbe-45b9-a2bd-8bbb6543b37e">
      <Value>11</Value>
    </TaxCatchAl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_dlc_DocId xmlns="9f7bc583-7cbe-45b9-a2bd-8bbb6543b37e">2016RG-86-19580</_dlc_DocId>
    <_dlc_DocIdUrl xmlns="9f7bc583-7cbe-45b9-a2bd-8bbb6543b37e">
      <Url>http://tweb/sites/rg/ldp/lmu/_layouts/15/DocIdRedir.aspx?ID=2016RG-86-19580</Url>
      <Description>2016RG-86-19580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21" ma:contentTypeDescription=" " ma:contentTypeScope="" ma:versionID="2f82e768917558b38d6a066df92e37a3">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9696f4c68aa35501a27f4d80b4bc0411"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E5393-89AE-4456-B17C-B32B91496A92}"/>
</file>

<file path=customXml/itemProps2.xml><?xml version="1.0" encoding="utf-8"?>
<ds:datastoreItem xmlns:ds="http://schemas.openxmlformats.org/officeDocument/2006/customXml" ds:itemID="{9B6CA9F5-1283-4FE8-9F3F-81E7372B6420}"/>
</file>

<file path=customXml/itemProps3.xml><?xml version="1.0" encoding="utf-8"?>
<ds:datastoreItem xmlns:ds="http://schemas.openxmlformats.org/officeDocument/2006/customXml" ds:itemID="{A4E24C4F-4CB3-45E6-9C41-98D8E54ABA25}"/>
</file>

<file path=customXml/itemProps4.xml><?xml version="1.0" encoding="utf-8"?>
<ds:datastoreItem xmlns:ds="http://schemas.openxmlformats.org/officeDocument/2006/customXml" ds:itemID="{6294BA00-2861-4B0A-B7D3-5E63809D7B30}"/>
</file>

<file path=customXml/itemProps5.xml><?xml version="1.0" encoding="utf-8"?>
<ds:datastoreItem xmlns:ds="http://schemas.openxmlformats.org/officeDocument/2006/customXml" ds:itemID="{1AAAE3E4-F44F-4B31-A71A-52D403E5C72C}"/>
</file>

<file path=customXml/itemProps6.xml><?xml version="1.0" encoding="utf-8"?>
<ds:datastoreItem xmlns:ds="http://schemas.openxmlformats.org/officeDocument/2006/customXml" ds:itemID="{53043F6B-A4ED-48C9-9E60-BE8BD1C7FA8D}"/>
</file>

<file path=docProps/app.xml><?xml version="1.0" encoding="utf-8"?>
<Properties xmlns="http://schemas.openxmlformats.org/officeDocument/2006/extended-properties" xmlns:vt="http://schemas.openxmlformats.org/officeDocument/2006/docPropsVTypes">
  <Template>ExCo-Explanatory Statement.dotm</Template>
  <TotalTime>157</TotalTime>
  <Pages>10</Pages>
  <Words>3574</Words>
  <Characters>20377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23904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Lim, Michael</dc:creator>
  <cp:lastModifiedBy>Anderson, Sharon</cp:lastModifiedBy>
  <cp:revision>14</cp:revision>
  <cp:lastPrinted>2016-04-04T00:33:00Z</cp:lastPrinted>
  <dcterms:created xsi:type="dcterms:W3CDTF">2016-04-03T22:57:00Z</dcterms:created>
  <dcterms:modified xsi:type="dcterms:W3CDTF">2016-04-18T23:50:00Z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0x01010036BB8DE7EC542E42A8B2E98CC20CB69700D5C18F41BA18FB44827A222ACD6776F5</vt:lpwstr>
  </property>
  <property fmtid="{D5CDD505-2E9C-101B-9397-08002B2CF9AE}" pid="4" name="RecordPoint_ActiveItemUniqueId">
    <vt:lpwstr>{08b0eb96-0b78-48ce-81b9-a329e2f6a9e6}</vt:lpwstr>
  </property>
  <property fmtid="{D5CDD505-2E9C-101B-9397-08002B2CF9AE}" pid="5" name="TSYRecordClass">
    <vt:lpwstr>11;#TSY RA-9237 - Destroy 5 years after action completed|9f1a030e-81bf-44c5-98eb-4d5d869a40d5</vt:lpwstr>
  </property>
  <property fmtid="{D5CDD505-2E9C-101B-9397-08002B2CF9AE}" pid="6" name="RecordPoint_WorkflowType">
    <vt:lpwstr>ActiveSubmitStub</vt:lpwstr>
  </property>
  <property fmtid="{D5CDD505-2E9C-101B-9397-08002B2CF9AE}" pid="7" name="_dlc_DocIdItemGuid">
    <vt:lpwstr>08b0eb96-0b78-48ce-81b9-a329e2f6a9e6</vt:lpwstr>
  </property>
  <property fmtid="{D5CDD505-2E9C-101B-9397-08002B2CF9AE}" pid="8" name="RecordPoint_ActiveItemSiteId">
    <vt:lpwstr>{5b52b9a5-e5b2-4521-8814-a1e24ca2869d}</vt:lpwstr>
  </property>
  <property fmtid="{D5CDD505-2E9C-101B-9397-08002B2CF9AE}" pid="9" name="RecordPoint_ActiveItemListId">
    <vt:lpwstr>{1a010be9-83b3-4740-abb7-452f2d1120fe}</vt:lpwstr>
  </property>
  <property fmtid="{D5CDD505-2E9C-101B-9397-08002B2CF9AE}" pid="10" name="RecordPoint_ActiveItemWebId">
    <vt:lpwstr>{2602612e-a30f-4de0-b9eb-e01e73dc8005}</vt:lpwstr>
  </property>
  <property fmtid="{D5CDD505-2E9C-101B-9397-08002B2CF9AE}" pid="11" name="RecordPoint_RecordNumberSubmitted">
    <vt:lpwstr>R0000833118</vt:lpwstr>
  </property>
  <property fmtid="{D5CDD505-2E9C-101B-9397-08002B2CF9AE}" pid="12" name="RecordPoint_SubmissionCompleted">
    <vt:lpwstr>2016-04-19T11:22:47.4528043+10:00</vt:lpwstr>
  </property>
  <property fmtid="{D5CDD505-2E9C-101B-9397-08002B2CF9AE}" pid="13" name="WorkingDocStatus">
    <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_AdHocReviewCycleID">
    <vt:i4>-864997663</vt:i4>
  </property>
  <property fmtid="{D5CDD505-2E9C-101B-9397-08002B2CF9AE}" pid="18" name="_EmailSubject">
    <vt:lpwstr>MGR/44/088 - Requirements to meet ExCo meeting of 5 May 2016 [SEC=UNOFFICIAL]</vt:lpwstr>
  </property>
  <property fmtid="{D5CDD505-2E9C-101B-9397-08002B2CF9AE}" pid="19" name="_AuthorEmail">
    <vt:lpwstr>Michael.Lim@TREASURY.GOV.AU</vt:lpwstr>
  </property>
  <property fmtid="{D5CDD505-2E9C-101B-9397-08002B2CF9AE}" pid="20" name="_AuthorEmailDisplayName">
    <vt:lpwstr>Lim, Michael</vt:lpwstr>
  </property>
  <property fmtid="{D5CDD505-2E9C-101B-9397-08002B2CF9AE}" pid="21" name="_ReviewingToolsShownOnce">
    <vt:lpwstr/>
  </property>
</Properties>
</file>