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Pr="003B7033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3B7033">
        <w:rPr>
          <w:rFonts w:ascii="Arial" w:hAnsi="Arial" w:cs="Arial"/>
          <w:sz w:val="34"/>
          <w:szCs w:val="34"/>
        </w:rPr>
        <w:t xml:space="preserve">Legislative Instrument </w:t>
      </w:r>
    </w:p>
    <w:p w:rsidR="0009111F" w:rsidRPr="003B7033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866732" w:rsidRPr="003B7033" w:rsidRDefault="00866732" w:rsidP="00115112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  <w:r w:rsidRPr="003B7033">
        <w:rPr>
          <w:rFonts w:ascii="Arial" w:hAnsi="Arial" w:cs="Arial"/>
          <w:sz w:val="34"/>
          <w:szCs w:val="34"/>
        </w:rPr>
        <w:t>EXCLUDED CLASSES OF TRANSACTIONS</w:t>
      </w:r>
      <w:r w:rsidR="00050AD3" w:rsidRPr="003B7033">
        <w:rPr>
          <w:rFonts w:ascii="Arial" w:hAnsi="Arial" w:cs="Arial"/>
          <w:sz w:val="34"/>
          <w:szCs w:val="34"/>
        </w:rPr>
        <w:t xml:space="preserve"> </w:t>
      </w:r>
      <w:r w:rsidR="00115112" w:rsidRPr="003B7033">
        <w:rPr>
          <w:rFonts w:ascii="Arial" w:hAnsi="Arial" w:cs="Arial"/>
          <w:sz w:val="34"/>
          <w:szCs w:val="34"/>
        </w:rPr>
        <w:t xml:space="preserve">AND ENTITIES </w:t>
      </w:r>
      <w:r w:rsidR="00050AD3" w:rsidRPr="003B7033">
        <w:rPr>
          <w:rFonts w:ascii="Arial" w:hAnsi="Arial" w:cs="Arial"/>
          <w:sz w:val="34"/>
          <w:szCs w:val="34"/>
        </w:rPr>
        <w:t>FOR THIRD PARTY</w:t>
      </w:r>
      <w:r w:rsidR="00115112" w:rsidRPr="003B7033">
        <w:rPr>
          <w:rFonts w:ascii="Arial" w:hAnsi="Arial" w:cs="Arial"/>
          <w:sz w:val="34"/>
          <w:szCs w:val="34"/>
        </w:rPr>
        <w:t xml:space="preserve"> </w:t>
      </w:r>
      <w:r w:rsidR="00050AD3" w:rsidRPr="003B7033">
        <w:rPr>
          <w:rFonts w:ascii="Arial" w:hAnsi="Arial" w:cs="Arial"/>
          <w:sz w:val="34"/>
          <w:szCs w:val="34"/>
        </w:rPr>
        <w:t xml:space="preserve">REPORTS ON </w:t>
      </w:r>
      <w:r w:rsidRPr="003B7033">
        <w:rPr>
          <w:rFonts w:ascii="Arial" w:hAnsi="Arial" w:cs="Arial"/>
          <w:sz w:val="34"/>
          <w:szCs w:val="34"/>
        </w:rPr>
        <w:t>SHARES AND UNITS</w:t>
      </w:r>
      <w:r w:rsidR="00C74B8C" w:rsidRPr="003B7033">
        <w:rPr>
          <w:rFonts w:ascii="Arial" w:hAnsi="Arial" w:cs="Arial"/>
          <w:sz w:val="34"/>
          <w:szCs w:val="34"/>
        </w:rPr>
        <w:t xml:space="preserve"> DETERMINATION 2016</w:t>
      </w:r>
    </w:p>
    <w:p w:rsidR="005B0F08" w:rsidRPr="003B7033" w:rsidRDefault="005B0F08" w:rsidP="00C74B8C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rPr>
          <w:rFonts w:ascii="Arial" w:hAnsi="Arial" w:cs="Arial"/>
          <w:sz w:val="34"/>
          <w:szCs w:val="34"/>
        </w:rPr>
      </w:pPr>
    </w:p>
    <w:p w:rsidR="000A1078" w:rsidRPr="003B7033" w:rsidRDefault="000A1078">
      <w:pPr>
        <w:rPr>
          <w:rFonts w:ascii="Arial" w:hAnsi="Arial" w:cs="Arial"/>
        </w:rPr>
      </w:pPr>
    </w:p>
    <w:p w:rsidR="001F4720" w:rsidRPr="003B7033" w:rsidRDefault="000A1078">
      <w:pPr>
        <w:rPr>
          <w:rFonts w:ascii="Arial" w:hAnsi="Arial" w:cs="Arial"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>I,</w:t>
      </w:r>
      <w:r w:rsidR="00354C19" w:rsidRPr="003B7033">
        <w:rPr>
          <w:rFonts w:ascii="Arial" w:hAnsi="Arial" w:cs="Arial"/>
          <w:sz w:val="22"/>
          <w:szCs w:val="22"/>
        </w:rPr>
        <w:t xml:space="preserve"> </w:t>
      </w:r>
      <w:r w:rsidR="00F07673">
        <w:rPr>
          <w:rFonts w:ascii="Arial" w:hAnsi="Arial" w:cs="Arial"/>
          <w:sz w:val="22"/>
          <w:szCs w:val="22"/>
        </w:rPr>
        <w:t>Greg Williams</w:t>
      </w:r>
      <w:r w:rsidRPr="003B7033">
        <w:rPr>
          <w:rFonts w:ascii="Arial" w:hAnsi="Arial" w:cs="Arial"/>
          <w:sz w:val="22"/>
          <w:szCs w:val="22"/>
        </w:rPr>
        <w:t>,</w:t>
      </w:r>
      <w:r w:rsidR="00354C19" w:rsidRPr="003B7033">
        <w:rPr>
          <w:rFonts w:ascii="Arial" w:hAnsi="Arial" w:cs="Arial"/>
          <w:sz w:val="22"/>
          <w:szCs w:val="22"/>
        </w:rPr>
        <w:t xml:space="preserve"> Deputy Commissioner </w:t>
      </w:r>
      <w:r w:rsidR="00FE443B" w:rsidRPr="003B7033">
        <w:rPr>
          <w:rFonts w:ascii="Arial" w:hAnsi="Arial" w:cs="Arial"/>
          <w:sz w:val="22"/>
          <w:szCs w:val="22"/>
        </w:rPr>
        <w:t>of Taxation</w:t>
      </w:r>
      <w:r w:rsidRPr="003B7033">
        <w:rPr>
          <w:rFonts w:ascii="Arial" w:hAnsi="Arial" w:cs="Arial"/>
          <w:sz w:val="22"/>
          <w:szCs w:val="22"/>
        </w:rPr>
        <w:t xml:space="preserve">, make this </w:t>
      </w:r>
      <w:r w:rsidR="00F233B1" w:rsidRPr="003B7033">
        <w:rPr>
          <w:rFonts w:ascii="Arial" w:hAnsi="Arial" w:cs="Arial"/>
          <w:sz w:val="22"/>
          <w:szCs w:val="22"/>
        </w:rPr>
        <w:t>d</w:t>
      </w:r>
      <w:r w:rsidR="000B2C32" w:rsidRPr="003B7033">
        <w:rPr>
          <w:rFonts w:ascii="Arial" w:hAnsi="Arial" w:cs="Arial"/>
          <w:sz w:val="22"/>
          <w:szCs w:val="22"/>
        </w:rPr>
        <w:t>etermination</w:t>
      </w:r>
      <w:r w:rsidRPr="003B7033">
        <w:rPr>
          <w:rFonts w:ascii="Arial" w:hAnsi="Arial" w:cs="Arial"/>
          <w:sz w:val="22"/>
          <w:szCs w:val="22"/>
        </w:rPr>
        <w:t xml:space="preserve"> under</w:t>
      </w:r>
      <w:r w:rsidR="004240BF" w:rsidRPr="003B7033">
        <w:rPr>
          <w:rFonts w:ascii="Arial" w:hAnsi="Arial" w:cs="Arial"/>
          <w:sz w:val="22"/>
          <w:szCs w:val="22"/>
        </w:rPr>
        <w:t xml:space="preserve"> </w:t>
      </w:r>
      <w:r w:rsidR="00054D86" w:rsidRPr="003B7033">
        <w:rPr>
          <w:rFonts w:ascii="Arial" w:hAnsi="Arial" w:cs="Arial"/>
          <w:sz w:val="22"/>
          <w:szCs w:val="22"/>
        </w:rPr>
        <w:t>sub</w:t>
      </w:r>
      <w:r w:rsidR="00A1015D" w:rsidRPr="003B7033">
        <w:rPr>
          <w:rFonts w:ascii="Arial" w:hAnsi="Arial" w:cs="Arial"/>
          <w:sz w:val="22"/>
          <w:szCs w:val="22"/>
        </w:rPr>
        <w:t>section 396-70(4)</w:t>
      </w:r>
      <w:r w:rsidR="004240BF" w:rsidRPr="003B7033">
        <w:rPr>
          <w:rFonts w:ascii="Arial" w:hAnsi="Arial" w:cs="Arial"/>
          <w:sz w:val="22"/>
          <w:szCs w:val="22"/>
        </w:rPr>
        <w:t xml:space="preserve"> Schedule 1 to the </w:t>
      </w:r>
      <w:r w:rsidR="004240BF" w:rsidRPr="003B7033">
        <w:rPr>
          <w:rFonts w:ascii="Arial" w:hAnsi="Arial" w:cs="Arial"/>
          <w:i/>
          <w:sz w:val="22"/>
          <w:szCs w:val="22"/>
        </w:rPr>
        <w:t>Taxation Administration Act 1953</w:t>
      </w:r>
      <w:r w:rsidR="004240BF" w:rsidRPr="003B7033">
        <w:rPr>
          <w:rFonts w:ascii="Arial" w:hAnsi="Arial" w:cs="Arial"/>
          <w:sz w:val="22"/>
          <w:szCs w:val="22"/>
        </w:rPr>
        <w:t>.</w:t>
      </w:r>
    </w:p>
    <w:p w:rsidR="00BB6DC3" w:rsidRPr="003B7033" w:rsidRDefault="00BB6DC3">
      <w:pPr>
        <w:rPr>
          <w:rFonts w:ascii="Arial" w:hAnsi="Arial" w:cs="Arial"/>
          <w:b/>
          <w:sz w:val="22"/>
          <w:szCs w:val="22"/>
        </w:rPr>
      </w:pPr>
    </w:p>
    <w:p w:rsidR="000A1078" w:rsidRPr="003B7033" w:rsidRDefault="00467D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Greg Williams</w:t>
      </w:r>
    </w:p>
    <w:p w:rsidR="00992067" w:rsidRPr="003B7033" w:rsidRDefault="000A1078">
      <w:pPr>
        <w:rPr>
          <w:rFonts w:ascii="Arial" w:hAnsi="Arial" w:cs="Arial"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>Deputy Commissioner of Taxation</w:t>
      </w:r>
    </w:p>
    <w:p w:rsidR="00992067" w:rsidRPr="003B7033" w:rsidRDefault="00992067">
      <w:pPr>
        <w:rPr>
          <w:rFonts w:ascii="Arial" w:hAnsi="Arial" w:cs="Arial"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 xml:space="preserve">Dated: </w:t>
      </w:r>
      <w:bookmarkStart w:id="0" w:name="_GoBack"/>
      <w:bookmarkEnd w:id="0"/>
      <w:r w:rsidR="009A2374">
        <w:rPr>
          <w:rFonts w:ascii="Arial" w:hAnsi="Arial" w:cs="Arial"/>
          <w:sz w:val="22"/>
          <w:szCs w:val="22"/>
        </w:rPr>
        <w:t>2 May</w:t>
      </w:r>
      <w:r w:rsidR="00467DC2" w:rsidRPr="003B7033">
        <w:rPr>
          <w:rFonts w:ascii="Arial" w:hAnsi="Arial" w:cs="Arial"/>
          <w:sz w:val="22"/>
          <w:szCs w:val="22"/>
        </w:rPr>
        <w:t xml:space="preserve"> </w:t>
      </w:r>
      <w:r w:rsidR="00866732" w:rsidRPr="003B7033">
        <w:rPr>
          <w:rFonts w:ascii="Arial" w:hAnsi="Arial" w:cs="Arial"/>
          <w:sz w:val="22"/>
          <w:szCs w:val="22"/>
        </w:rPr>
        <w:t>2016</w:t>
      </w:r>
    </w:p>
    <w:p w:rsidR="00AD7346" w:rsidRPr="003B7033" w:rsidRDefault="00AD7346" w:rsidP="00AD7346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5B0F08" w:rsidRPr="003B7033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3B7033" w:rsidRDefault="000A1078" w:rsidP="00D2224B">
      <w:pPr>
        <w:spacing w:after="120"/>
        <w:rPr>
          <w:rFonts w:ascii="Arial" w:hAnsi="Arial" w:cs="Arial"/>
          <w:b/>
        </w:rPr>
      </w:pPr>
      <w:r w:rsidRPr="003B7033">
        <w:rPr>
          <w:rFonts w:ascii="Arial" w:hAnsi="Arial" w:cs="Arial"/>
          <w:b/>
        </w:rPr>
        <w:t xml:space="preserve">Name of </w:t>
      </w:r>
      <w:r w:rsidR="00950E56" w:rsidRPr="003B7033">
        <w:rPr>
          <w:rFonts w:ascii="Arial" w:hAnsi="Arial" w:cs="Arial"/>
          <w:b/>
        </w:rPr>
        <w:t>instrument</w:t>
      </w:r>
    </w:p>
    <w:p w:rsidR="000A1078" w:rsidRPr="003B7033" w:rsidRDefault="000A1078" w:rsidP="00D2224B">
      <w:pPr>
        <w:pStyle w:val="ListParagraph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 xml:space="preserve">This </w:t>
      </w:r>
      <w:r w:rsidR="00167F6B">
        <w:rPr>
          <w:rFonts w:ascii="Arial" w:hAnsi="Arial" w:cs="Arial"/>
          <w:sz w:val="22"/>
          <w:szCs w:val="22"/>
        </w:rPr>
        <w:t>instrument</w:t>
      </w:r>
      <w:r w:rsidR="003A067D" w:rsidRPr="003B7033">
        <w:rPr>
          <w:rFonts w:ascii="Arial" w:hAnsi="Arial" w:cs="Arial"/>
          <w:sz w:val="22"/>
          <w:szCs w:val="22"/>
        </w:rPr>
        <w:t xml:space="preserve"> </w:t>
      </w:r>
      <w:r w:rsidR="001F30CF" w:rsidRPr="003B7033">
        <w:rPr>
          <w:rFonts w:ascii="Arial" w:hAnsi="Arial" w:cs="Arial"/>
          <w:sz w:val="22"/>
          <w:szCs w:val="22"/>
        </w:rPr>
        <w:t>is</w:t>
      </w:r>
      <w:r w:rsidR="000B2C32" w:rsidRPr="003B7033">
        <w:rPr>
          <w:rFonts w:ascii="Arial" w:hAnsi="Arial" w:cs="Arial"/>
          <w:sz w:val="22"/>
          <w:szCs w:val="22"/>
        </w:rPr>
        <w:t xml:space="preserve"> the</w:t>
      </w:r>
      <w:r w:rsidR="00D34E3D" w:rsidRPr="003B7033">
        <w:rPr>
          <w:rFonts w:ascii="Arial" w:hAnsi="Arial" w:cs="Arial"/>
          <w:sz w:val="22"/>
          <w:szCs w:val="22"/>
        </w:rPr>
        <w:t xml:space="preserve"> </w:t>
      </w:r>
      <w:r w:rsidR="00866732" w:rsidRPr="003B7033">
        <w:rPr>
          <w:rFonts w:ascii="Arial" w:hAnsi="Arial" w:cs="Arial"/>
          <w:i/>
          <w:sz w:val="22"/>
          <w:szCs w:val="22"/>
        </w:rPr>
        <w:t xml:space="preserve">Excluded </w:t>
      </w:r>
      <w:r w:rsidR="00F04627">
        <w:rPr>
          <w:rFonts w:ascii="Arial" w:hAnsi="Arial" w:cs="Arial"/>
          <w:i/>
          <w:sz w:val="22"/>
          <w:szCs w:val="22"/>
        </w:rPr>
        <w:t>C</w:t>
      </w:r>
      <w:r w:rsidR="00866732" w:rsidRPr="003B7033">
        <w:rPr>
          <w:rFonts w:ascii="Arial" w:hAnsi="Arial" w:cs="Arial"/>
          <w:i/>
          <w:sz w:val="22"/>
          <w:szCs w:val="22"/>
        </w:rPr>
        <w:t xml:space="preserve">lasses of </w:t>
      </w:r>
      <w:r w:rsidR="00F04627">
        <w:rPr>
          <w:rFonts w:ascii="Arial" w:hAnsi="Arial" w:cs="Arial"/>
          <w:i/>
          <w:sz w:val="22"/>
          <w:szCs w:val="22"/>
        </w:rPr>
        <w:t>T</w:t>
      </w:r>
      <w:r w:rsidR="00866732" w:rsidRPr="003B7033">
        <w:rPr>
          <w:rFonts w:ascii="Arial" w:hAnsi="Arial" w:cs="Arial"/>
          <w:i/>
          <w:sz w:val="22"/>
          <w:szCs w:val="22"/>
        </w:rPr>
        <w:t>ransactions</w:t>
      </w:r>
      <w:r w:rsidR="0002510A" w:rsidRPr="003B7033">
        <w:rPr>
          <w:rFonts w:ascii="Arial" w:hAnsi="Arial" w:cs="Arial"/>
          <w:i/>
          <w:sz w:val="22"/>
          <w:szCs w:val="22"/>
        </w:rPr>
        <w:t xml:space="preserve"> </w:t>
      </w:r>
      <w:r w:rsidR="001F2A63" w:rsidRPr="003B7033">
        <w:rPr>
          <w:rFonts w:ascii="Arial" w:hAnsi="Arial" w:cs="Arial"/>
          <w:i/>
          <w:sz w:val="22"/>
          <w:szCs w:val="22"/>
        </w:rPr>
        <w:t xml:space="preserve">and </w:t>
      </w:r>
      <w:r w:rsidR="00F04627">
        <w:rPr>
          <w:rFonts w:ascii="Arial" w:hAnsi="Arial" w:cs="Arial"/>
          <w:i/>
          <w:sz w:val="22"/>
          <w:szCs w:val="22"/>
        </w:rPr>
        <w:t>E</w:t>
      </w:r>
      <w:r w:rsidR="001F2A63" w:rsidRPr="003B7033">
        <w:rPr>
          <w:rFonts w:ascii="Arial" w:hAnsi="Arial" w:cs="Arial"/>
          <w:i/>
          <w:sz w:val="22"/>
          <w:szCs w:val="22"/>
        </w:rPr>
        <w:t xml:space="preserve">ntities </w:t>
      </w:r>
      <w:r w:rsidR="00050AD3" w:rsidRPr="003B7033">
        <w:rPr>
          <w:rFonts w:ascii="Arial" w:hAnsi="Arial" w:cs="Arial"/>
          <w:i/>
          <w:sz w:val="22"/>
          <w:szCs w:val="22"/>
        </w:rPr>
        <w:t xml:space="preserve">for Third Party Reports on </w:t>
      </w:r>
      <w:r w:rsidR="00E13A85" w:rsidRPr="003B7033">
        <w:rPr>
          <w:rFonts w:ascii="Arial" w:hAnsi="Arial" w:cs="Arial"/>
          <w:i/>
          <w:sz w:val="22"/>
          <w:szCs w:val="22"/>
        </w:rPr>
        <w:t xml:space="preserve">Shares and Units </w:t>
      </w:r>
      <w:r w:rsidR="00894FFA" w:rsidRPr="003B7033">
        <w:rPr>
          <w:rFonts w:ascii="Arial" w:hAnsi="Arial" w:cs="Arial"/>
          <w:i/>
          <w:sz w:val="22"/>
          <w:szCs w:val="22"/>
        </w:rPr>
        <w:t>Determination 201</w:t>
      </w:r>
      <w:r w:rsidR="00866732" w:rsidRPr="003B7033">
        <w:rPr>
          <w:rFonts w:ascii="Arial" w:hAnsi="Arial" w:cs="Arial"/>
          <w:i/>
          <w:sz w:val="22"/>
          <w:szCs w:val="22"/>
        </w:rPr>
        <w:t>6</w:t>
      </w:r>
      <w:r w:rsidR="00251F48" w:rsidRPr="003B7033">
        <w:rPr>
          <w:rFonts w:ascii="Arial" w:hAnsi="Arial" w:cs="Arial"/>
          <w:i/>
          <w:sz w:val="22"/>
          <w:szCs w:val="22"/>
        </w:rPr>
        <w:t>.</w:t>
      </w:r>
    </w:p>
    <w:p w:rsidR="000A1078" w:rsidRPr="003B7033" w:rsidRDefault="000A1078" w:rsidP="000A1078">
      <w:pPr>
        <w:rPr>
          <w:rFonts w:ascii="Arial" w:hAnsi="Arial" w:cs="Arial"/>
          <w:sz w:val="22"/>
          <w:szCs w:val="22"/>
        </w:rPr>
      </w:pPr>
    </w:p>
    <w:p w:rsidR="000A1078" w:rsidRPr="003B7033" w:rsidRDefault="000A1078" w:rsidP="00D2224B">
      <w:pPr>
        <w:spacing w:after="120"/>
        <w:rPr>
          <w:rFonts w:ascii="Arial" w:hAnsi="Arial" w:cs="Arial"/>
          <w:u w:val="single"/>
        </w:rPr>
      </w:pPr>
      <w:r w:rsidRPr="003B7033">
        <w:rPr>
          <w:rFonts w:ascii="Arial" w:hAnsi="Arial" w:cs="Arial"/>
          <w:b/>
        </w:rPr>
        <w:t>Commencement</w:t>
      </w:r>
    </w:p>
    <w:p w:rsidR="006E6EF2" w:rsidRPr="003B7033" w:rsidRDefault="000A1078" w:rsidP="00D2224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 xml:space="preserve">This </w:t>
      </w:r>
      <w:r w:rsidR="00950E56" w:rsidRPr="003B7033">
        <w:rPr>
          <w:rFonts w:ascii="Arial" w:hAnsi="Arial" w:cs="Arial"/>
          <w:sz w:val="22"/>
          <w:szCs w:val="22"/>
        </w:rPr>
        <w:t>instrument</w:t>
      </w:r>
      <w:r w:rsidR="00857716" w:rsidRPr="003B7033">
        <w:rPr>
          <w:rFonts w:ascii="Arial" w:hAnsi="Arial" w:cs="Arial"/>
          <w:sz w:val="22"/>
          <w:szCs w:val="22"/>
        </w:rPr>
        <w:t xml:space="preserve"> </w:t>
      </w:r>
      <w:r w:rsidR="001E6DB9" w:rsidRPr="003B7033">
        <w:rPr>
          <w:rFonts w:ascii="Arial" w:hAnsi="Arial" w:cs="Arial"/>
          <w:sz w:val="22"/>
          <w:szCs w:val="22"/>
        </w:rPr>
        <w:t>commences</w:t>
      </w:r>
      <w:r w:rsidR="00857716" w:rsidRPr="003B7033">
        <w:rPr>
          <w:rFonts w:ascii="Arial" w:hAnsi="Arial" w:cs="Arial"/>
          <w:sz w:val="22"/>
          <w:szCs w:val="22"/>
        </w:rPr>
        <w:t xml:space="preserve"> on</w:t>
      </w:r>
      <w:r w:rsidR="008D2F8A" w:rsidRPr="003B7033">
        <w:rPr>
          <w:rFonts w:ascii="Arial" w:hAnsi="Arial" w:cs="Arial"/>
          <w:sz w:val="22"/>
          <w:szCs w:val="22"/>
        </w:rPr>
        <w:t xml:space="preserve"> </w:t>
      </w:r>
      <w:r w:rsidR="002D42BA" w:rsidRPr="003B7033">
        <w:rPr>
          <w:rFonts w:ascii="Arial" w:hAnsi="Arial" w:cs="Arial"/>
          <w:sz w:val="22"/>
          <w:szCs w:val="22"/>
        </w:rPr>
        <w:t>1 July 201</w:t>
      </w:r>
      <w:r w:rsidR="002A4763" w:rsidRPr="003B7033">
        <w:rPr>
          <w:rFonts w:ascii="Arial" w:hAnsi="Arial" w:cs="Arial"/>
          <w:sz w:val="22"/>
          <w:szCs w:val="22"/>
        </w:rPr>
        <w:t>7</w:t>
      </w:r>
      <w:r w:rsidR="008D2F8A" w:rsidRPr="003B7033">
        <w:rPr>
          <w:rFonts w:ascii="Arial" w:hAnsi="Arial" w:cs="Arial"/>
          <w:sz w:val="22"/>
          <w:szCs w:val="22"/>
        </w:rPr>
        <w:t>.</w:t>
      </w:r>
    </w:p>
    <w:p w:rsidR="006E6EF2" w:rsidRPr="003B7033" w:rsidRDefault="006E6EF2" w:rsidP="006E6EF2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1E6DB9" w:rsidRPr="003B7033" w:rsidRDefault="001E6DB9" w:rsidP="00D2224B">
      <w:pPr>
        <w:spacing w:after="120"/>
        <w:rPr>
          <w:rFonts w:ascii="Arial" w:hAnsi="Arial" w:cs="Arial"/>
          <w:b/>
        </w:rPr>
      </w:pPr>
      <w:r w:rsidRPr="003B7033">
        <w:rPr>
          <w:rFonts w:ascii="Arial" w:hAnsi="Arial" w:cs="Arial"/>
          <w:b/>
        </w:rPr>
        <w:t>Application</w:t>
      </w:r>
    </w:p>
    <w:p w:rsidR="00514B86" w:rsidRPr="003B7033" w:rsidRDefault="00495A6E" w:rsidP="00167F6B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 xml:space="preserve">This instrument </w:t>
      </w:r>
      <w:r w:rsidR="009A0199" w:rsidRPr="003B7033">
        <w:rPr>
          <w:rFonts w:ascii="Arial" w:hAnsi="Arial" w:cs="Arial"/>
          <w:sz w:val="22"/>
          <w:szCs w:val="22"/>
        </w:rPr>
        <w:t>applies to</w:t>
      </w:r>
      <w:r w:rsidR="005736EB" w:rsidRPr="003B7033">
        <w:rPr>
          <w:rFonts w:ascii="Arial" w:hAnsi="Arial" w:cs="Arial"/>
          <w:sz w:val="22"/>
          <w:szCs w:val="22"/>
        </w:rPr>
        <w:t>:</w:t>
      </w:r>
      <w:r w:rsidR="005B23C4" w:rsidRPr="003B7033">
        <w:rPr>
          <w:rFonts w:ascii="Arial" w:hAnsi="Arial" w:cs="Arial"/>
          <w:sz w:val="22"/>
          <w:szCs w:val="22"/>
        </w:rPr>
        <w:t xml:space="preserve"> </w:t>
      </w:r>
    </w:p>
    <w:p w:rsidR="00E64C20" w:rsidRPr="003B7033" w:rsidRDefault="00336D80" w:rsidP="00167F6B">
      <w:pPr>
        <w:ind w:left="1134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E64C20" w:rsidRPr="003B7033">
        <w:rPr>
          <w:rFonts w:ascii="Arial" w:hAnsi="Arial" w:cs="Arial"/>
          <w:sz w:val="22"/>
          <w:szCs w:val="22"/>
        </w:rPr>
        <w:t>)</w:t>
      </w:r>
      <w:r w:rsidR="00E64C20" w:rsidRPr="003B7033">
        <w:rPr>
          <w:rFonts w:ascii="Arial" w:hAnsi="Arial" w:cs="Arial"/>
          <w:sz w:val="22"/>
          <w:szCs w:val="22"/>
        </w:rPr>
        <w:tab/>
        <w:t>compan</w:t>
      </w:r>
      <w:r w:rsidR="00475207">
        <w:rPr>
          <w:rFonts w:ascii="Arial" w:hAnsi="Arial" w:cs="Arial"/>
          <w:sz w:val="22"/>
          <w:szCs w:val="22"/>
        </w:rPr>
        <w:t>ies</w:t>
      </w:r>
      <w:r w:rsidR="00E64C20" w:rsidRPr="003B7033">
        <w:rPr>
          <w:rFonts w:ascii="Arial" w:hAnsi="Arial" w:cs="Arial"/>
          <w:sz w:val="22"/>
          <w:szCs w:val="22"/>
        </w:rPr>
        <w:t xml:space="preserve"> whose shares</w:t>
      </w:r>
      <w:r w:rsidR="00FE7AB8" w:rsidRPr="003B7033">
        <w:rPr>
          <w:rFonts w:ascii="Arial" w:hAnsi="Arial" w:cs="Arial"/>
          <w:sz w:val="22"/>
          <w:szCs w:val="22"/>
        </w:rPr>
        <w:t xml:space="preserve"> </w:t>
      </w:r>
      <w:r w:rsidR="00E64C20" w:rsidRPr="003B7033">
        <w:rPr>
          <w:rFonts w:ascii="Arial" w:hAnsi="Arial" w:cs="Arial"/>
          <w:sz w:val="22"/>
          <w:szCs w:val="22"/>
        </w:rPr>
        <w:t>are listed for quotation in the official list of an Australian financial market</w:t>
      </w:r>
      <w:r w:rsidR="00BE2474" w:rsidRPr="003B7033">
        <w:rPr>
          <w:rFonts w:ascii="Arial" w:hAnsi="Arial" w:cs="Arial"/>
          <w:sz w:val="22"/>
          <w:szCs w:val="22"/>
        </w:rPr>
        <w:t>,</w:t>
      </w:r>
    </w:p>
    <w:p w:rsidR="00E64C20" w:rsidRPr="003B7033" w:rsidRDefault="00336D80" w:rsidP="00167F6B">
      <w:pPr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64C20" w:rsidRPr="003B7033">
        <w:rPr>
          <w:rFonts w:ascii="Arial" w:hAnsi="Arial" w:cs="Arial"/>
          <w:sz w:val="22"/>
          <w:szCs w:val="22"/>
        </w:rPr>
        <w:t>)</w:t>
      </w:r>
      <w:r w:rsidR="00E64C20" w:rsidRPr="003B7033">
        <w:rPr>
          <w:rFonts w:ascii="Arial" w:hAnsi="Arial" w:cs="Arial"/>
          <w:sz w:val="22"/>
          <w:szCs w:val="22"/>
        </w:rPr>
        <w:tab/>
      </w:r>
      <w:proofErr w:type="gramStart"/>
      <w:r w:rsidR="00E64C20" w:rsidRPr="003B7033">
        <w:rPr>
          <w:rFonts w:ascii="Arial" w:hAnsi="Arial" w:cs="Arial"/>
          <w:sz w:val="22"/>
          <w:szCs w:val="22"/>
        </w:rPr>
        <w:t>trustee</w:t>
      </w:r>
      <w:r w:rsidR="00E44E53">
        <w:rPr>
          <w:rFonts w:ascii="Arial" w:hAnsi="Arial" w:cs="Arial"/>
          <w:sz w:val="22"/>
          <w:szCs w:val="22"/>
        </w:rPr>
        <w:t>s</w:t>
      </w:r>
      <w:proofErr w:type="gramEnd"/>
      <w:r w:rsidR="00E64C20" w:rsidRPr="003B7033">
        <w:rPr>
          <w:rFonts w:ascii="Arial" w:hAnsi="Arial" w:cs="Arial"/>
          <w:sz w:val="22"/>
          <w:szCs w:val="22"/>
        </w:rPr>
        <w:t xml:space="preserve"> of a unit trust</w:t>
      </w:r>
      <w:r w:rsidR="00BE2474" w:rsidRPr="003B7033">
        <w:rPr>
          <w:rFonts w:ascii="Arial" w:hAnsi="Arial" w:cs="Arial"/>
          <w:sz w:val="22"/>
          <w:szCs w:val="22"/>
        </w:rPr>
        <w:t>, and</w:t>
      </w:r>
    </w:p>
    <w:p w:rsidR="00E64C20" w:rsidRPr="003B7033" w:rsidRDefault="00336D80" w:rsidP="00744B78">
      <w:pPr>
        <w:spacing w:after="120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64C20" w:rsidRPr="003B7033">
        <w:rPr>
          <w:rFonts w:ascii="Arial" w:hAnsi="Arial" w:cs="Arial"/>
          <w:sz w:val="22"/>
          <w:szCs w:val="22"/>
        </w:rPr>
        <w:t>)</w:t>
      </w:r>
      <w:r w:rsidR="00E64C20" w:rsidRPr="003B7033">
        <w:rPr>
          <w:rFonts w:ascii="Arial" w:hAnsi="Arial" w:cs="Arial"/>
          <w:sz w:val="22"/>
          <w:szCs w:val="22"/>
        </w:rPr>
        <w:tab/>
        <w:t>trustee</w:t>
      </w:r>
      <w:r w:rsidR="00475207">
        <w:rPr>
          <w:rFonts w:ascii="Arial" w:hAnsi="Arial" w:cs="Arial"/>
          <w:sz w:val="22"/>
          <w:szCs w:val="22"/>
        </w:rPr>
        <w:t>s</w:t>
      </w:r>
      <w:r w:rsidR="00E64C20" w:rsidRPr="003B7033">
        <w:rPr>
          <w:rFonts w:ascii="Arial" w:hAnsi="Arial" w:cs="Arial"/>
          <w:sz w:val="22"/>
          <w:szCs w:val="22"/>
        </w:rPr>
        <w:t xml:space="preserve"> of a trust (other than a unit trust)</w:t>
      </w:r>
      <w:r w:rsidR="00304B44" w:rsidRPr="003B7033">
        <w:rPr>
          <w:rFonts w:ascii="Arial" w:hAnsi="Arial" w:cs="Arial"/>
          <w:sz w:val="22"/>
          <w:szCs w:val="22"/>
        </w:rPr>
        <w:t xml:space="preserve"> wh</w:t>
      </w:r>
      <w:r w:rsidR="00666A13">
        <w:rPr>
          <w:rFonts w:ascii="Arial" w:hAnsi="Arial" w:cs="Arial"/>
          <w:sz w:val="22"/>
          <w:szCs w:val="22"/>
        </w:rPr>
        <w:t>o</w:t>
      </w:r>
      <w:r w:rsidR="00304B44" w:rsidRPr="003B7033">
        <w:rPr>
          <w:rFonts w:ascii="Arial" w:hAnsi="Arial" w:cs="Arial"/>
          <w:sz w:val="22"/>
          <w:szCs w:val="22"/>
        </w:rPr>
        <w:t xml:space="preserve"> hold shares in a company or units in a unit trust to which </w:t>
      </w:r>
      <w:r w:rsidR="00886038">
        <w:rPr>
          <w:rFonts w:ascii="Arial" w:hAnsi="Arial" w:cs="Arial"/>
          <w:sz w:val="22"/>
          <w:szCs w:val="22"/>
        </w:rPr>
        <w:t>one or more</w:t>
      </w:r>
      <w:r w:rsidR="00304B44" w:rsidRPr="003B7033">
        <w:rPr>
          <w:rFonts w:ascii="Arial" w:hAnsi="Arial" w:cs="Arial"/>
          <w:sz w:val="22"/>
          <w:szCs w:val="22"/>
        </w:rPr>
        <w:t xml:space="preserve"> beneficiar</w:t>
      </w:r>
      <w:r w:rsidR="00886038">
        <w:rPr>
          <w:rFonts w:ascii="Arial" w:hAnsi="Arial" w:cs="Arial"/>
          <w:sz w:val="22"/>
          <w:szCs w:val="22"/>
        </w:rPr>
        <w:t>ies</w:t>
      </w:r>
      <w:r w:rsidR="00304B44" w:rsidRPr="003B7033">
        <w:rPr>
          <w:rFonts w:ascii="Arial" w:hAnsi="Arial" w:cs="Arial"/>
          <w:sz w:val="22"/>
          <w:szCs w:val="22"/>
        </w:rPr>
        <w:t xml:space="preserve"> of the trust </w:t>
      </w:r>
      <w:r w:rsidR="00886038">
        <w:rPr>
          <w:rFonts w:ascii="Arial" w:hAnsi="Arial" w:cs="Arial"/>
          <w:sz w:val="22"/>
          <w:szCs w:val="22"/>
        </w:rPr>
        <w:t>are</w:t>
      </w:r>
      <w:r w:rsidR="00304B44" w:rsidRPr="003B7033">
        <w:rPr>
          <w:rFonts w:ascii="Arial" w:hAnsi="Arial" w:cs="Arial"/>
          <w:sz w:val="22"/>
          <w:szCs w:val="22"/>
        </w:rPr>
        <w:t xml:space="preserve"> absolutely entitled</w:t>
      </w:r>
      <w:r w:rsidR="00886038">
        <w:rPr>
          <w:rFonts w:ascii="Arial" w:hAnsi="Arial" w:cs="Arial"/>
          <w:sz w:val="22"/>
          <w:szCs w:val="22"/>
        </w:rPr>
        <w:t xml:space="preserve">, in relation to </w:t>
      </w:r>
      <w:r w:rsidR="00351798">
        <w:rPr>
          <w:rFonts w:ascii="Arial" w:hAnsi="Arial" w:cs="Arial"/>
          <w:sz w:val="22"/>
          <w:szCs w:val="22"/>
        </w:rPr>
        <w:t xml:space="preserve">transactions in an income year </w:t>
      </w:r>
      <w:r w:rsidR="00886038">
        <w:rPr>
          <w:rFonts w:ascii="Arial" w:hAnsi="Arial" w:cs="Arial"/>
          <w:sz w:val="22"/>
          <w:szCs w:val="22"/>
        </w:rPr>
        <w:t xml:space="preserve">for which the trustee does not give the Commissioner of Taxation </w:t>
      </w:r>
      <w:r w:rsidR="00351798">
        <w:rPr>
          <w:rFonts w:ascii="Arial" w:hAnsi="Arial" w:cs="Arial"/>
          <w:sz w:val="22"/>
          <w:szCs w:val="22"/>
        </w:rPr>
        <w:t xml:space="preserve">an </w:t>
      </w:r>
      <w:r w:rsidR="00886038">
        <w:rPr>
          <w:rFonts w:ascii="Arial" w:hAnsi="Arial" w:cs="Arial"/>
          <w:sz w:val="22"/>
          <w:szCs w:val="22"/>
        </w:rPr>
        <w:t>income tax return</w:t>
      </w:r>
      <w:r w:rsidR="00304B44" w:rsidRPr="003B7033">
        <w:rPr>
          <w:rFonts w:ascii="Arial" w:hAnsi="Arial" w:cs="Arial"/>
          <w:sz w:val="22"/>
          <w:szCs w:val="22"/>
        </w:rPr>
        <w:t>.</w:t>
      </w:r>
    </w:p>
    <w:p w:rsidR="00E64C20" w:rsidRPr="003B7033" w:rsidRDefault="00E64C20" w:rsidP="008A5DEF">
      <w:pPr>
        <w:spacing w:after="120"/>
        <w:rPr>
          <w:rFonts w:ascii="Arial" w:hAnsi="Arial" w:cs="Arial"/>
          <w:b/>
        </w:rPr>
      </w:pPr>
      <w:r w:rsidRPr="003B7033">
        <w:rPr>
          <w:rFonts w:ascii="Arial" w:hAnsi="Arial" w:cs="Arial"/>
          <w:b/>
        </w:rPr>
        <w:t>Determination</w:t>
      </w:r>
    </w:p>
    <w:p w:rsidR="00665F46" w:rsidRPr="00AE2E75" w:rsidRDefault="00475207" w:rsidP="00665F46">
      <w:pPr>
        <w:pStyle w:val="ListParagraph"/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</w:t>
      </w:r>
      <w:r w:rsidR="00FE7AB8" w:rsidRPr="00AE2E75">
        <w:rPr>
          <w:rFonts w:ascii="Arial" w:hAnsi="Arial" w:cs="Arial"/>
          <w:sz w:val="22"/>
          <w:szCs w:val="22"/>
        </w:rPr>
        <w:t>ntit</w:t>
      </w:r>
      <w:r>
        <w:rPr>
          <w:rFonts w:ascii="Arial" w:hAnsi="Arial" w:cs="Arial"/>
          <w:sz w:val="22"/>
          <w:szCs w:val="22"/>
        </w:rPr>
        <w:t>y</w:t>
      </w:r>
      <w:r w:rsidR="00FE7AB8" w:rsidRPr="00AE2E75">
        <w:rPr>
          <w:rFonts w:ascii="Arial" w:hAnsi="Arial" w:cs="Arial"/>
          <w:sz w:val="22"/>
          <w:szCs w:val="22"/>
        </w:rPr>
        <w:t xml:space="preserve"> to which this instrument applies </w:t>
      </w:r>
      <w:r>
        <w:rPr>
          <w:rFonts w:ascii="Arial" w:hAnsi="Arial" w:cs="Arial"/>
          <w:sz w:val="22"/>
          <w:szCs w:val="22"/>
        </w:rPr>
        <w:t>is</w:t>
      </w:r>
      <w:r w:rsidR="00FE7AB8" w:rsidRPr="00AE2E75">
        <w:rPr>
          <w:rFonts w:ascii="Arial" w:hAnsi="Arial" w:cs="Arial"/>
          <w:sz w:val="22"/>
          <w:szCs w:val="22"/>
        </w:rPr>
        <w:t xml:space="preserve"> not require</w:t>
      </w:r>
      <w:r w:rsidR="00D46919" w:rsidRPr="00AE2E75">
        <w:rPr>
          <w:rFonts w:ascii="Arial" w:hAnsi="Arial" w:cs="Arial"/>
          <w:sz w:val="22"/>
          <w:szCs w:val="22"/>
        </w:rPr>
        <w:t>d</w:t>
      </w:r>
      <w:r w:rsidR="00FE7AB8" w:rsidRPr="00AE2E75">
        <w:rPr>
          <w:rFonts w:ascii="Arial" w:hAnsi="Arial" w:cs="Arial"/>
          <w:sz w:val="22"/>
          <w:szCs w:val="22"/>
        </w:rPr>
        <w:t xml:space="preserve"> to provide information to the Commissioner of Taxation u</w:t>
      </w:r>
      <w:r w:rsidR="00665F46" w:rsidRPr="00AE2E75">
        <w:rPr>
          <w:rFonts w:ascii="Arial" w:hAnsi="Arial" w:cs="Arial"/>
          <w:sz w:val="22"/>
          <w:szCs w:val="22"/>
        </w:rPr>
        <w:t xml:space="preserve">nder </w:t>
      </w:r>
      <w:r w:rsidR="00FE7AB8" w:rsidRPr="00AE2E75">
        <w:rPr>
          <w:rFonts w:ascii="Arial" w:hAnsi="Arial" w:cs="Arial"/>
          <w:sz w:val="22"/>
          <w:szCs w:val="22"/>
        </w:rPr>
        <w:t xml:space="preserve">table </w:t>
      </w:r>
      <w:r w:rsidR="00665F46" w:rsidRPr="00AE2E75">
        <w:rPr>
          <w:rFonts w:ascii="Arial" w:hAnsi="Arial" w:cs="Arial"/>
          <w:sz w:val="22"/>
          <w:szCs w:val="22"/>
        </w:rPr>
        <w:t>items 6</w:t>
      </w:r>
      <w:r w:rsidR="00301CB0">
        <w:rPr>
          <w:rFonts w:ascii="Arial" w:hAnsi="Arial" w:cs="Arial"/>
          <w:sz w:val="22"/>
          <w:szCs w:val="22"/>
        </w:rPr>
        <w:t xml:space="preserve"> </w:t>
      </w:r>
      <w:r w:rsidR="00665F46" w:rsidRPr="00AE2E75">
        <w:rPr>
          <w:rFonts w:ascii="Arial" w:hAnsi="Arial" w:cs="Arial"/>
          <w:sz w:val="22"/>
          <w:szCs w:val="22"/>
        </w:rPr>
        <w:t xml:space="preserve">or 8 in section 396-55 of Schedule 1 to the </w:t>
      </w:r>
      <w:r w:rsidR="00665F46" w:rsidRPr="00AE2E75">
        <w:rPr>
          <w:rFonts w:ascii="Arial" w:hAnsi="Arial" w:cs="Arial"/>
          <w:i/>
          <w:sz w:val="22"/>
          <w:szCs w:val="22"/>
        </w:rPr>
        <w:t>Taxation Administration Act 1953</w:t>
      </w:r>
      <w:r w:rsidR="00FE7AB8" w:rsidRPr="00AE2E75">
        <w:rPr>
          <w:rFonts w:ascii="Arial" w:hAnsi="Arial" w:cs="Arial"/>
          <w:sz w:val="22"/>
          <w:szCs w:val="22"/>
        </w:rPr>
        <w:t xml:space="preserve"> in relation to </w:t>
      </w:r>
      <w:r w:rsidR="00B9457F" w:rsidRPr="00AE2E75">
        <w:rPr>
          <w:rFonts w:ascii="Arial" w:hAnsi="Arial" w:cs="Arial"/>
          <w:sz w:val="22"/>
          <w:szCs w:val="22"/>
        </w:rPr>
        <w:t xml:space="preserve">a </w:t>
      </w:r>
      <w:r w:rsidR="00665F46" w:rsidRPr="00AE2E75">
        <w:rPr>
          <w:rFonts w:ascii="Arial" w:hAnsi="Arial" w:cs="Arial"/>
          <w:sz w:val="22"/>
          <w:szCs w:val="22"/>
        </w:rPr>
        <w:t>transaction where</w:t>
      </w:r>
      <w:r w:rsidR="00BE2474" w:rsidRPr="00AE2E75">
        <w:rPr>
          <w:rFonts w:ascii="Arial" w:hAnsi="Arial" w:cs="Arial"/>
          <w:sz w:val="22"/>
          <w:szCs w:val="22"/>
        </w:rPr>
        <w:t>:</w:t>
      </w:r>
    </w:p>
    <w:p w:rsidR="00161464" w:rsidRDefault="00665F46" w:rsidP="00744B78">
      <w:pPr>
        <w:pStyle w:val="ListParagraph"/>
        <w:numPr>
          <w:ilvl w:val="1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 xml:space="preserve">the </w:t>
      </w:r>
      <w:r w:rsidR="00FE7AB8" w:rsidRPr="003B7033">
        <w:rPr>
          <w:rFonts w:ascii="Arial" w:hAnsi="Arial" w:cs="Arial"/>
          <w:sz w:val="22"/>
          <w:szCs w:val="22"/>
        </w:rPr>
        <w:t xml:space="preserve">transaction </w:t>
      </w:r>
      <w:r w:rsidRPr="003B7033">
        <w:rPr>
          <w:rFonts w:ascii="Arial" w:hAnsi="Arial" w:cs="Arial"/>
          <w:sz w:val="22"/>
          <w:szCs w:val="22"/>
        </w:rPr>
        <w:t>relate</w:t>
      </w:r>
      <w:r w:rsidR="00FE7AB8" w:rsidRPr="003B7033">
        <w:rPr>
          <w:rFonts w:ascii="Arial" w:hAnsi="Arial" w:cs="Arial"/>
          <w:sz w:val="22"/>
          <w:szCs w:val="22"/>
        </w:rPr>
        <w:t>s</w:t>
      </w:r>
      <w:r w:rsidRPr="003B7033">
        <w:rPr>
          <w:rFonts w:ascii="Arial" w:hAnsi="Arial" w:cs="Arial"/>
          <w:sz w:val="22"/>
          <w:szCs w:val="22"/>
        </w:rPr>
        <w:t xml:space="preserve"> to a share</w:t>
      </w:r>
      <w:r w:rsidR="00744B78" w:rsidRPr="003B7033">
        <w:rPr>
          <w:rFonts w:ascii="Arial" w:hAnsi="Arial" w:cs="Arial"/>
          <w:sz w:val="22"/>
          <w:szCs w:val="22"/>
        </w:rPr>
        <w:t xml:space="preserve"> </w:t>
      </w:r>
      <w:r w:rsidR="002A4763" w:rsidRPr="003B7033">
        <w:rPr>
          <w:rFonts w:ascii="Arial" w:hAnsi="Arial" w:cs="Arial"/>
          <w:sz w:val="22"/>
          <w:szCs w:val="22"/>
        </w:rPr>
        <w:t xml:space="preserve">in a company </w:t>
      </w:r>
      <w:r w:rsidRPr="003B7033">
        <w:rPr>
          <w:rFonts w:ascii="Arial" w:hAnsi="Arial" w:cs="Arial"/>
          <w:sz w:val="22"/>
          <w:szCs w:val="22"/>
        </w:rPr>
        <w:t xml:space="preserve">that is listed </w:t>
      </w:r>
      <w:r w:rsidR="002518DF">
        <w:rPr>
          <w:rFonts w:ascii="Arial" w:hAnsi="Arial" w:cs="Arial"/>
          <w:sz w:val="22"/>
          <w:szCs w:val="22"/>
        </w:rPr>
        <w:t>for quotation in the official list of</w:t>
      </w:r>
      <w:r w:rsidRPr="003B7033">
        <w:rPr>
          <w:rFonts w:ascii="Arial" w:hAnsi="Arial" w:cs="Arial"/>
          <w:sz w:val="22"/>
          <w:szCs w:val="22"/>
        </w:rPr>
        <w:t xml:space="preserve"> an</w:t>
      </w:r>
      <w:r w:rsidR="002A4763" w:rsidRPr="003B7033">
        <w:rPr>
          <w:rFonts w:ascii="Arial" w:hAnsi="Arial" w:cs="Arial"/>
          <w:sz w:val="22"/>
          <w:szCs w:val="22"/>
        </w:rPr>
        <w:t xml:space="preserve"> </w:t>
      </w:r>
      <w:r w:rsidRPr="003B7033">
        <w:rPr>
          <w:rFonts w:ascii="Arial" w:hAnsi="Arial" w:cs="Arial"/>
          <w:sz w:val="22"/>
          <w:szCs w:val="22"/>
        </w:rPr>
        <w:t>Australian financial market</w:t>
      </w:r>
      <w:r w:rsidR="00FE7AB8" w:rsidRPr="003B7033">
        <w:rPr>
          <w:rFonts w:ascii="Arial" w:hAnsi="Arial" w:cs="Arial"/>
          <w:sz w:val="22"/>
          <w:szCs w:val="22"/>
        </w:rPr>
        <w:t>,</w:t>
      </w:r>
      <w:r w:rsidRPr="003B7033">
        <w:rPr>
          <w:rFonts w:ascii="Arial" w:hAnsi="Arial" w:cs="Arial"/>
          <w:sz w:val="22"/>
          <w:szCs w:val="22"/>
        </w:rPr>
        <w:t xml:space="preserve"> and</w:t>
      </w:r>
    </w:p>
    <w:p w:rsidR="00B35815" w:rsidRDefault="00161464" w:rsidP="0016146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358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39BE">
        <w:rPr>
          <w:rFonts w:ascii="Arial" w:hAnsi="Arial" w:cs="Arial"/>
          <w:sz w:val="22"/>
          <w:szCs w:val="22"/>
        </w:rPr>
        <w:t>data</w:t>
      </w:r>
      <w:proofErr w:type="gramEnd"/>
      <w:r w:rsidR="004539BE">
        <w:rPr>
          <w:rFonts w:ascii="Arial" w:hAnsi="Arial" w:cs="Arial"/>
          <w:sz w:val="22"/>
          <w:szCs w:val="22"/>
        </w:rPr>
        <w:t xml:space="preserve"> in relation to transactions on </w:t>
      </w:r>
      <w:r w:rsidR="00FE7AB8" w:rsidRPr="00161464">
        <w:rPr>
          <w:rFonts w:ascii="Arial" w:hAnsi="Arial" w:cs="Arial"/>
          <w:sz w:val="22"/>
          <w:szCs w:val="22"/>
        </w:rPr>
        <w:t>th</w:t>
      </w:r>
      <w:r w:rsidR="00666A13" w:rsidRPr="00161464">
        <w:rPr>
          <w:rFonts w:ascii="Arial" w:hAnsi="Arial" w:cs="Arial"/>
          <w:sz w:val="22"/>
          <w:szCs w:val="22"/>
        </w:rPr>
        <w:t>at</w:t>
      </w:r>
      <w:r w:rsidR="00FE7AB8" w:rsidRPr="00161464">
        <w:rPr>
          <w:rFonts w:ascii="Arial" w:hAnsi="Arial" w:cs="Arial"/>
          <w:sz w:val="22"/>
          <w:szCs w:val="22"/>
        </w:rPr>
        <w:t xml:space="preserve"> </w:t>
      </w:r>
      <w:r w:rsidR="00FF4CA3" w:rsidRPr="00161464">
        <w:rPr>
          <w:rFonts w:ascii="Arial" w:hAnsi="Arial" w:cs="Arial"/>
          <w:sz w:val="22"/>
          <w:szCs w:val="22"/>
        </w:rPr>
        <w:t xml:space="preserve">Australian </w:t>
      </w:r>
      <w:r w:rsidR="00BF3189" w:rsidRPr="00161464">
        <w:rPr>
          <w:rFonts w:ascii="Arial" w:hAnsi="Arial" w:cs="Arial"/>
          <w:sz w:val="22"/>
          <w:szCs w:val="22"/>
        </w:rPr>
        <w:t>financial market</w:t>
      </w:r>
      <w:r w:rsidR="00FE7AB8" w:rsidRPr="00161464">
        <w:rPr>
          <w:rFonts w:ascii="Arial" w:hAnsi="Arial" w:cs="Arial"/>
          <w:sz w:val="22"/>
          <w:szCs w:val="22"/>
        </w:rPr>
        <w:t xml:space="preserve"> </w:t>
      </w:r>
      <w:r w:rsidR="00665F46" w:rsidRPr="00161464">
        <w:rPr>
          <w:rFonts w:ascii="Arial" w:hAnsi="Arial" w:cs="Arial"/>
          <w:sz w:val="22"/>
          <w:szCs w:val="22"/>
        </w:rPr>
        <w:t>is not</w:t>
      </w:r>
    </w:p>
    <w:p w:rsidR="00B35815" w:rsidRDefault="00B35815" w:rsidP="0016146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65F46" w:rsidRPr="0016146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5F46" w:rsidRPr="00161464">
        <w:rPr>
          <w:rFonts w:ascii="Arial" w:hAnsi="Arial" w:cs="Arial"/>
          <w:sz w:val="22"/>
          <w:szCs w:val="22"/>
        </w:rPr>
        <w:t>required</w:t>
      </w:r>
      <w:proofErr w:type="gramEnd"/>
      <w:r w:rsidR="00665F46" w:rsidRPr="00161464">
        <w:rPr>
          <w:rFonts w:ascii="Arial" w:hAnsi="Arial" w:cs="Arial"/>
          <w:sz w:val="22"/>
          <w:szCs w:val="22"/>
        </w:rPr>
        <w:t xml:space="preserve"> to </w:t>
      </w:r>
      <w:r w:rsidR="004539BE">
        <w:rPr>
          <w:rFonts w:ascii="Arial" w:hAnsi="Arial" w:cs="Arial"/>
          <w:sz w:val="22"/>
          <w:szCs w:val="22"/>
        </w:rPr>
        <w:t>be delivered</w:t>
      </w:r>
      <w:r w:rsidR="00FE7AB8" w:rsidRPr="00161464">
        <w:rPr>
          <w:rFonts w:ascii="Arial" w:hAnsi="Arial" w:cs="Arial"/>
          <w:sz w:val="22"/>
          <w:szCs w:val="22"/>
        </w:rPr>
        <w:t xml:space="preserve"> </w:t>
      </w:r>
      <w:r w:rsidR="00665F46" w:rsidRPr="00161464">
        <w:rPr>
          <w:rFonts w:ascii="Arial" w:hAnsi="Arial" w:cs="Arial"/>
          <w:sz w:val="22"/>
          <w:szCs w:val="22"/>
        </w:rPr>
        <w:t xml:space="preserve">to </w:t>
      </w:r>
      <w:r w:rsidR="00683881" w:rsidRPr="00161464">
        <w:rPr>
          <w:rFonts w:ascii="Arial" w:hAnsi="Arial" w:cs="Arial"/>
          <w:sz w:val="22"/>
          <w:szCs w:val="22"/>
        </w:rPr>
        <w:t>the Australian Securities and Investments</w:t>
      </w:r>
    </w:p>
    <w:p w:rsidR="00353A7D" w:rsidRPr="00C37BFD" w:rsidRDefault="00B35815" w:rsidP="00161464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539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83881" w:rsidRPr="00161464">
        <w:rPr>
          <w:rFonts w:ascii="Arial" w:hAnsi="Arial" w:cs="Arial"/>
          <w:sz w:val="22"/>
          <w:szCs w:val="22"/>
        </w:rPr>
        <w:t>Commission</w:t>
      </w:r>
      <w:r w:rsidR="00665F46" w:rsidRPr="00161464">
        <w:rPr>
          <w:rFonts w:ascii="Arial" w:hAnsi="Arial" w:cs="Arial"/>
          <w:sz w:val="22"/>
          <w:szCs w:val="22"/>
        </w:rPr>
        <w:t xml:space="preserve"> under the market integrity rules</w:t>
      </w:r>
      <w:r w:rsidR="004539BE">
        <w:rPr>
          <w:rFonts w:ascii="Arial" w:hAnsi="Arial" w:cs="Arial"/>
          <w:sz w:val="22"/>
          <w:szCs w:val="22"/>
        </w:rPr>
        <w:t>.</w:t>
      </w:r>
      <w:proofErr w:type="gramEnd"/>
      <w:r w:rsidR="00FC3D7F" w:rsidRPr="00161464">
        <w:rPr>
          <w:rFonts w:ascii="Arial" w:hAnsi="Arial" w:cs="Arial"/>
          <w:sz w:val="22"/>
          <w:szCs w:val="22"/>
        </w:rPr>
        <w:t xml:space="preserve"> </w:t>
      </w:r>
    </w:p>
    <w:p w:rsidR="008A5DEF" w:rsidRPr="003B7033" w:rsidRDefault="00167F6B" w:rsidP="0074021C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A5DEF" w:rsidRPr="003B7033">
        <w:rPr>
          <w:rFonts w:ascii="Arial" w:hAnsi="Arial" w:cs="Arial"/>
          <w:sz w:val="22"/>
          <w:szCs w:val="22"/>
        </w:rPr>
        <w:t xml:space="preserve"> trustee of a unit trust is not required to </w:t>
      </w:r>
      <w:r w:rsidR="00393D6E">
        <w:rPr>
          <w:rFonts w:ascii="Arial" w:hAnsi="Arial" w:cs="Arial"/>
          <w:sz w:val="22"/>
          <w:szCs w:val="22"/>
        </w:rPr>
        <w:t>provide information</w:t>
      </w:r>
      <w:r w:rsidR="008A5DEF" w:rsidRPr="003B7033">
        <w:rPr>
          <w:rFonts w:ascii="Arial" w:hAnsi="Arial" w:cs="Arial"/>
          <w:sz w:val="22"/>
          <w:szCs w:val="22"/>
        </w:rPr>
        <w:t xml:space="preserve"> to the Commissioner </w:t>
      </w:r>
      <w:r w:rsidR="00BE2474" w:rsidRPr="003B7033">
        <w:rPr>
          <w:rFonts w:ascii="Arial" w:hAnsi="Arial" w:cs="Arial"/>
          <w:sz w:val="22"/>
          <w:szCs w:val="22"/>
        </w:rPr>
        <w:t xml:space="preserve">of Taxation </w:t>
      </w:r>
      <w:r w:rsidR="008A5DEF" w:rsidRPr="003B7033">
        <w:rPr>
          <w:rFonts w:ascii="Arial" w:hAnsi="Arial" w:cs="Arial"/>
          <w:sz w:val="22"/>
          <w:szCs w:val="22"/>
        </w:rPr>
        <w:t>under table item 7 in section 396-55 of</w:t>
      </w:r>
      <w:r w:rsidR="008A5DEF" w:rsidRPr="003B7033">
        <w:rPr>
          <w:rFonts w:ascii="Arial" w:hAnsi="Arial" w:cs="Arial"/>
          <w:b/>
          <w:sz w:val="22"/>
          <w:szCs w:val="22"/>
        </w:rPr>
        <w:t xml:space="preserve"> </w:t>
      </w:r>
      <w:r w:rsidR="008A5DEF" w:rsidRPr="003B7033">
        <w:rPr>
          <w:rFonts w:ascii="Arial" w:hAnsi="Arial" w:cs="Arial"/>
          <w:sz w:val="22"/>
          <w:szCs w:val="22"/>
        </w:rPr>
        <w:t xml:space="preserve">Schedule 1 to the </w:t>
      </w:r>
      <w:r w:rsidR="008A5DEF" w:rsidRPr="003B7033">
        <w:rPr>
          <w:rFonts w:ascii="Arial" w:hAnsi="Arial" w:cs="Arial"/>
          <w:i/>
          <w:sz w:val="22"/>
          <w:szCs w:val="22"/>
        </w:rPr>
        <w:t xml:space="preserve">Taxation </w:t>
      </w:r>
      <w:r w:rsidR="008A5DEF" w:rsidRPr="003B7033">
        <w:rPr>
          <w:rFonts w:ascii="Arial" w:hAnsi="Arial" w:cs="Arial"/>
          <w:i/>
          <w:sz w:val="22"/>
          <w:szCs w:val="22"/>
        </w:rPr>
        <w:lastRenderedPageBreak/>
        <w:t>Administration Act 1953</w:t>
      </w:r>
      <w:r w:rsidR="005E6468">
        <w:rPr>
          <w:rFonts w:ascii="Arial" w:hAnsi="Arial" w:cs="Arial"/>
          <w:sz w:val="22"/>
          <w:szCs w:val="22"/>
        </w:rPr>
        <w:t xml:space="preserve"> in relation to a</w:t>
      </w:r>
      <w:r w:rsidR="00251D8C">
        <w:rPr>
          <w:rFonts w:ascii="Arial" w:hAnsi="Arial" w:cs="Arial"/>
          <w:sz w:val="22"/>
          <w:szCs w:val="22"/>
        </w:rPr>
        <w:t xml:space="preserve"> </w:t>
      </w:r>
      <w:r w:rsidR="00393D6E">
        <w:rPr>
          <w:rFonts w:ascii="Arial" w:hAnsi="Arial" w:cs="Arial"/>
          <w:sz w:val="22"/>
          <w:szCs w:val="22"/>
        </w:rPr>
        <w:t>transaction</w:t>
      </w:r>
      <w:r w:rsidR="008A5DEF" w:rsidRPr="003B7033">
        <w:rPr>
          <w:rFonts w:ascii="Arial" w:hAnsi="Arial" w:cs="Arial"/>
          <w:i/>
          <w:sz w:val="22"/>
          <w:szCs w:val="22"/>
        </w:rPr>
        <w:t xml:space="preserve"> </w:t>
      </w:r>
      <w:r w:rsidR="008A5DEF" w:rsidRPr="003B7033">
        <w:rPr>
          <w:rFonts w:ascii="Arial" w:hAnsi="Arial" w:cs="Arial"/>
          <w:sz w:val="22"/>
          <w:szCs w:val="22"/>
        </w:rPr>
        <w:t>where</w:t>
      </w:r>
      <w:r w:rsidR="005E6468">
        <w:rPr>
          <w:rFonts w:ascii="Arial" w:hAnsi="Arial" w:cs="Arial"/>
          <w:sz w:val="22"/>
          <w:szCs w:val="22"/>
        </w:rPr>
        <w:t xml:space="preserve">, at </w:t>
      </w:r>
      <w:r w:rsidR="00393D6E">
        <w:rPr>
          <w:rFonts w:ascii="Arial" w:hAnsi="Arial" w:cs="Arial"/>
          <w:sz w:val="22"/>
          <w:szCs w:val="22"/>
        </w:rPr>
        <w:t>the time of the transaction</w:t>
      </w:r>
      <w:r w:rsidR="008A5DEF" w:rsidRPr="003B7033">
        <w:rPr>
          <w:rFonts w:ascii="Arial" w:hAnsi="Arial" w:cs="Arial"/>
          <w:sz w:val="22"/>
          <w:szCs w:val="22"/>
        </w:rPr>
        <w:t>:</w:t>
      </w:r>
    </w:p>
    <w:p w:rsidR="008A5DEF" w:rsidRPr="003B7033" w:rsidRDefault="00167F6B" w:rsidP="00744B78">
      <w:pPr>
        <w:pStyle w:val="ListParagraph"/>
        <w:numPr>
          <w:ilvl w:val="0"/>
          <w:numId w:val="18"/>
        </w:numPr>
        <w:spacing w:after="120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A5DEF" w:rsidRPr="003B7033">
        <w:rPr>
          <w:rFonts w:ascii="Arial" w:hAnsi="Arial" w:cs="Arial"/>
          <w:sz w:val="22"/>
          <w:szCs w:val="22"/>
        </w:rPr>
        <w:t xml:space="preserve">he unit trust has less than 10 </w:t>
      </w:r>
      <w:r w:rsidR="002A4763" w:rsidRPr="003B7033">
        <w:rPr>
          <w:rFonts w:ascii="Arial" w:hAnsi="Arial" w:cs="Arial"/>
          <w:sz w:val="22"/>
          <w:szCs w:val="22"/>
        </w:rPr>
        <w:t>beneficiaries</w:t>
      </w:r>
      <w:r w:rsidR="008A5DEF" w:rsidRPr="003B7033">
        <w:rPr>
          <w:rFonts w:ascii="Arial" w:hAnsi="Arial" w:cs="Arial"/>
          <w:sz w:val="22"/>
          <w:szCs w:val="22"/>
        </w:rPr>
        <w:t>, and</w:t>
      </w:r>
    </w:p>
    <w:p w:rsidR="005736EB" w:rsidRPr="003B7033" w:rsidRDefault="00167F6B" w:rsidP="00744B78">
      <w:pPr>
        <w:pStyle w:val="ListParagraph"/>
        <w:numPr>
          <w:ilvl w:val="0"/>
          <w:numId w:val="18"/>
        </w:numPr>
        <w:spacing w:after="120"/>
        <w:ind w:left="1134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</w:t>
      </w:r>
      <w:r w:rsidR="005736EB" w:rsidRPr="003B7033">
        <w:rPr>
          <w:rFonts w:ascii="Arial" w:hAnsi="Arial" w:cs="Arial"/>
          <w:sz w:val="22"/>
          <w:szCs w:val="22"/>
        </w:rPr>
        <w:t>he</w:t>
      </w:r>
      <w:proofErr w:type="gramEnd"/>
      <w:r w:rsidR="005736EB" w:rsidRPr="003B7033">
        <w:rPr>
          <w:rFonts w:ascii="Arial" w:hAnsi="Arial" w:cs="Arial"/>
          <w:sz w:val="22"/>
          <w:szCs w:val="22"/>
        </w:rPr>
        <w:t xml:space="preserve"> </w:t>
      </w:r>
      <w:r w:rsidR="003B2434">
        <w:rPr>
          <w:rFonts w:ascii="Arial" w:hAnsi="Arial" w:cs="Arial"/>
          <w:sz w:val="22"/>
          <w:szCs w:val="22"/>
        </w:rPr>
        <w:t xml:space="preserve">total </w:t>
      </w:r>
      <w:r w:rsidR="001B7D5B">
        <w:rPr>
          <w:rFonts w:ascii="Arial" w:hAnsi="Arial" w:cs="Arial"/>
          <w:sz w:val="22"/>
          <w:szCs w:val="22"/>
        </w:rPr>
        <w:t xml:space="preserve">market value of the assets held by the </w:t>
      </w:r>
      <w:r w:rsidR="005736EB" w:rsidRPr="003B7033">
        <w:rPr>
          <w:rFonts w:ascii="Arial" w:hAnsi="Arial" w:cs="Arial"/>
          <w:sz w:val="22"/>
          <w:szCs w:val="22"/>
        </w:rPr>
        <w:t xml:space="preserve">trustee </w:t>
      </w:r>
      <w:r w:rsidR="003B2434">
        <w:rPr>
          <w:rFonts w:ascii="Arial" w:hAnsi="Arial" w:cs="Arial"/>
          <w:sz w:val="22"/>
          <w:szCs w:val="22"/>
        </w:rPr>
        <w:t xml:space="preserve">in the unit trust </w:t>
      </w:r>
      <w:r w:rsidR="001B7D5B">
        <w:rPr>
          <w:rFonts w:ascii="Arial" w:hAnsi="Arial" w:cs="Arial"/>
          <w:sz w:val="22"/>
          <w:szCs w:val="22"/>
        </w:rPr>
        <w:t>is</w:t>
      </w:r>
      <w:r w:rsidR="005736EB" w:rsidRPr="003B7033">
        <w:rPr>
          <w:rFonts w:ascii="Arial" w:hAnsi="Arial" w:cs="Arial"/>
          <w:sz w:val="22"/>
          <w:szCs w:val="22"/>
        </w:rPr>
        <w:t xml:space="preserve"> less than $5 million</w:t>
      </w:r>
      <w:r w:rsidR="001B7D5B">
        <w:rPr>
          <w:rFonts w:ascii="Arial" w:hAnsi="Arial" w:cs="Arial"/>
          <w:sz w:val="22"/>
          <w:szCs w:val="22"/>
        </w:rPr>
        <w:t>.</w:t>
      </w:r>
    </w:p>
    <w:p w:rsidR="005736EB" w:rsidRPr="003B7033" w:rsidRDefault="005736EB" w:rsidP="005736EB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8A5DEF" w:rsidRPr="003B7033" w:rsidRDefault="00167F6B" w:rsidP="00B15788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A5DEF" w:rsidRPr="003B7033">
        <w:rPr>
          <w:rFonts w:ascii="Arial" w:hAnsi="Arial" w:cs="Arial"/>
          <w:sz w:val="22"/>
          <w:szCs w:val="22"/>
        </w:rPr>
        <w:t xml:space="preserve"> trustee of a trust (other than a unit trust) is not required to </w:t>
      </w:r>
      <w:r w:rsidR="00393D6E">
        <w:rPr>
          <w:rFonts w:ascii="Arial" w:hAnsi="Arial" w:cs="Arial"/>
          <w:sz w:val="22"/>
          <w:szCs w:val="22"/>
        </w:rPr>
        <w:t>provide information</w:t>
      </w:r>
      <w:r w:rsidR="008A5DEF" w:rsidRPr="003B7033">
        <w:rPr>
          <w:rFonts w:ascii="Arial" w:hAnsi="Arial" w:cs="Arial"/>
          <w:sz w:val="22"/>
          <w:szCs w:val="22"/>
        </w:rPr>
        <w:t xml:space="preserve"> to the Commissioner </w:t>
      </w:r>
      <w:r w:rsidR="00BE2474" w:rsidRPr="003B7033">
        <w:rPr>
          <w:rFonts w:ascii="Arial" w:hAnsi="Arial" w:cs="Arial"/>
          <w:sz w:val="22"/>
          <w:szCs w:val="22"/>
        </w:rPr>
        <w:t xml:space="preserve">of Taxation </w:t>
      </w:r>
      <w:r w:rsidR="008A5DEF" w:rsidRPr="003B7033">
        <w:rPr>
          <w:rFonts w:ascii="Arial" w:hAnsi="Arial" w:cs="Arial"/>
          <w:sz w:val="22"/>
          <w:szCs w:val="22"/>
        </w:rPr>
        <w:t xml:space="preserve">under table item 8 in section 396-55 of Schedule 1 to the </w:t>
      </w:r>
      <w:r w:rsidR="008A5DEF" w:rsidRPr="003B7033">
        <w:rPr>
          <w:rFonts w:ascii="Arial" w:hAnsi="Arial" w:cs="Arial"/>
          <w:i/>
          <w:sz w:val="22"/>
          <w:szCs w:val="22"/>
        </w:rPr>
        <w:t>Taxation Administration Act 1953</w:t>
      </w:r>
      <w:r w:rsidR="008A5DEF" w:rsidRPr="003B7033">
        <w:rPr>
          <w:rFonts w:ascii="Arial" w:hAnsi="Arial" w:cs="Arial"/>
          <w:sz w:val="22"/>
          <w:szCs w:val="22"/>
        </w:rPr>
        <w:t xml:space="preserve"> </w:t>
      </w:r>
      <w:r w:rsidR="00A4593B">
        <w:rPr>
          <w:rFonts w:ascii="Arial" w:hAnsi="Arial" w:cs="Arial"/>
          <w:sz w:val="22"/>
          <w:szCs w:val="22"/>
        </w:rPr>
        <w:t>in relation to a</w:t>
      </w:r>
      <w:r w:rsidR="00251D8C">
        <w:rPr>
          <w:rFonts w:ascii="Arial" w:hAnsi="Arial" w:cs="Arial"/>
          <w:sz w:val="22"/>
          <w:szCs w:val="22"/>
        </w:rPr>
        <w:t xml:space="preserve"> </w:t>
      </w:r>
      <w:r w:rsidR="00393D6E">
        <w:rPr>
          <w:rFonts w:ascii="Arial" w:hAnsi="Arial" w:cs="Arial"/>
          <w:sz w:val="22"/>
          <w:szCs w:val="22"/>
        </w:rPr>
        <w:t>transaction</w:t>
      </w:r>
      <w:r w:rsidR="00A4593B">
        <w:rPr>
          <w:rFonts w:ascii="Arial" w:hAnsi="Arial" w:cs="Arial"/>
          <w:sz w:val="22"/>
          <w:szCs w:val="22"/>
        </w:rPr>
        <w:t xml:space="preserve"> </w:t>
      </w:r>
      <w:r w:rsidR="008A5DEF" w:rsidRPr="003B7033">
        <w:rPr>
          <w:rFonts w:ascii="Arial" w:hAnsi="Arial" w:cs="Arial"/>
          <w:sz w:val="22"/>
          <w:szCs w:val="22"/>
        </w:rPr>
        <w:t>where</w:t>
      </w:r>
      <w:r w:rsidR="00A4593B">
        <w:rPr>
          <w:rFonts w:ascii="Arial" w:hAnsi="Arial" w:cs="Arial"/>
          <w:sz w:val="22"/>
          <w:szCs w:val="22"/>
        </w:rPr>
        <w:t xml:space="preserve">, at </w:t>
      </w:r>
      <w:r w:rsidR="00393D6E">
        <w:rPr>
          <w:rFonts w:ascii="Arial" w:hAnsi="Arial" w:cs="Arial"/>
          <w:sz w:val="22"/>
          <w:szCs w:val="22"/>
        </w:rPr>
        <w:t>the time of the transaction</w:t>
      </w:r>
      <w:r w:rsidR="008A5DEF" w:rsidRPr="003B7033">
        <w:rPr>
          <w:rFonts w:ascii="Arial" w:hAnsi="Arial" w:cs="Arial"/>
          <w:b/>
          <w:sz w:val="22"/>
          <w:szCs w:val="22"/>
        </w:rPr>
        <w:t>:</w:t>
      </w:r>
    </w:p>
    <w:p w:rsidR="002217FD" w:rsidRPr="003B7033" w:rsidRDefault="00167F6B" w:rsidP="002217FD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15788" w:rsidRPr="003B7033">
        <w:rPr>
          <w:rFonts w:ascii="Arial" w:hAnsi="Arial" w:cs="Arial"/>
          <w:sz w:val="22"/>
          <w:szCs w:val="22"/>
        </w:rPr>
        <w:t>he</w:t>
      </w:r>
      <w:r w:rsidR="00B15788" w:rsidRPr="002217FD">
        <w:rPr>
          <w:rFonts w:ascii="Arial" w:hAnsi="Arial" w:cs="Arial"/>
          <w:sz w:val="22"/>
          <w:szCs w:val="22"/>
        </w:rPr>
        <w:t xml:space="preserve"> </w:t>
      </w:r>
      <w:r w:rsidR="00B15788" w:rsidRPr="003B7033">
        <w:rPr>
          <w:rFonts w:ascii="Arial" w:hAnsi="Arial" w:cs="Arial"/>
          <w:sz w:val="22"/>
          <w:szCs w:val="22"/>
        </w:rPr>
        <w:t xml:space="preserve">trustee is not required to hold an Australian </w:t>
      </w:r>
      <w:r w:rsidR="005E6468">
        <w:rPr>
          <w:rFonts w:ascii="Arial" w:hAnsi="Arial" w:cs="Arial"/>
          <w:sz w:val="22"/>
          <w:szCs w:val="22"/>
        </w:rPr>
        <w:t>f</w:t>
      </w:r>
      <w:r w:rsidR="00B15788" w:rsidRPr="003B7033">
        <w:rPr>
          <w:rFonts w:ascii="Arial" w:hAnsi="Arial" w:cs="Arial"/>
          <w:sz w:val="22"/>
          <w:szCs w:val="22"/>
        </w:rPr>
        <w:t xml:space="preserve">inancial </w:t>
      </w:r>
      <w:r w:rsidR="005E6468">
        <w:rPr>
          <w:rFonts w:ascii="Arial" w:hAnsi="Arial" w:cs="Arial"/>
          <w:sz w:val="22"/>
          <w:szCs w:val="22"/>
        </w:rPr>
        <w:t>s</w:t>
      </w:r>
      <w:r w:rsidR="00B15788" w:rsidRPr="003B7033">
        <w:rPr>
          <w:rFonts w:ascii="Arial" w:hAnsi="Arial" w:cs="Arial"/>
          <w:sz w:val="22"/>
          <w:szCs w:val="22"/>
        </w:rPr>
        <w:t xml:space="preserve">ervices </w:t>
      </w:r>
      <w:r w:rsidR="005E6468">
        <w:rPr>
          <w:rFonts w:ascii="Arial" w:hAnsi="Arial" w:cs="Arial"/>
          <w:sz w:val="22"/>
          <w:szCs w:val="22"/>
        </w:rPr>
        <w:t>l</w:t>
      </w:r>
      <w:r w:rsidR="00B15788" w:rsidRPr="003B7033">
        <w:rPr>
          <w:rFonts w:ascii="Arial" w:hAnsi="Arial" w:cs="Arial"/>
          <w:sz w:val="22"/>
          <w:szCs w:val="22"/>
        </w:rPr>
        <w:t>icence</w:t>
      </w:r>
      <w:r w:rsidR="008E7EF4">
        <w:rPr>
          <w:rFonts w:ascii="Arial" w:hAnsi="Arial" w:cs="Arial"/>
          <w:sz w:val="22"/>
          <w:szCs w:val="22"/>
        </w:rPr>
        <w:t>,</w:t>
      </w:r>
      <w:r w:rsidR="005E6468">
        <w:rPr>
          <w:rFonts w:ascii="Arial" w:hAnsi="Arial" w:cs="Arial"/>
          <w:sz w:val="22"/>
          <w:szCs w:val="22"/>
        </w:rPr>
        <w:t xml:space="preserve"> within the meaning of section 761A of the </w:t>
      </w:r>
      <w:r w:rsidR="005E6468" w:rsidRPr="002217FD">
        <w:rPr>
          <w:rFonts w:ascii="Arial" w:hAnsi="Arial" w:cs="Arial"/>
          <w:sz w:val="22"/>
          <w:szCs w:val="22"/>
        </w:rPr>
        <w:t>Corporations Act 2001</w:t>
      </w:r>
      <w:r w:rsidR="005E6468">
        <w:rPr>
          <w:rFonts w:ascii="Arial" w:hAnsi="Arial" w:cs="Arial"/>
          <w:sz w:val="22"/>
          <w:szCs w:val="22"/>
        </w:rPr>
        <w:t>,</w:t>
      </w:r>
      <w:r w:rsidR="00B15788" w:rsidRPr="003B7033">
        <w:rPr>
          <w:rFonts w:ascii="Arial" w:hAnsi="Arial" w:cs="Arial"/>
          <w:sz w:val="22"/>
          <w:szCs w:val="22"/>
        </w:rPr>
        <w:t xml:space="preserve"> and </w:t>
      </w:r>
    </w:p>
    <w:p w:rsidR="00B15788" w:rsidRPr="002217FD" w:rsidRDefault="00167F6B" w:rsidP="002217FD">
      <w:pPr>
        <w:pStyle w:val="ListParagraph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 w:rsidRPr="002217FD">
        <w:rPr>
          <w:rFonts w:ascii="Arial" w:hAnsi="Arial" w:cs="Arial"/>
          <w:sz w:val="22"/>
          <w:szCs w:val="22"/>
        </w:rPr>
        <w:t>t</w:t>
      </w:r>
      <w:r w:rsidR="00B15788" w:rsidRPr="002217FD">
        <w:rPr>
          <w:rFonts w:ascii="Arial" w:hAnsi="Arial" w:cs="Arial"/>
          <w:sz w:val="22"/>
          <w:szCs w:val="22"/>
        </w:rPr>
        <w:t>he</w:t>
      </w:r>
      <w:proofErr w:type="gramEnd"/>
      <w:r w:rsidR="00B15788" w:rsidRPr="002217FD">
        <w:rPr>
          <w:rFonts w:ascii="Arial" w:hAnsi="Arial" w:cs="Arial"/>
          <w:sz w:val="22"/>
          <w:szCs w:val="22"/>
        </w:rPr>
        <w:t xml:space="preserve"> </w:t>
      </w:r>
      <w:r w:rsidR="003B2434" w:rsidRPr="002217FD">
        <w:rPr>
          <w:rFonts w:ascii="Arial" w:hAnsi="Arial" w:cs="Arial"/>
          <w:sz w:val="22"/>
          <w:szCs w:val="22"/>
        </w:rPr>
        <w:t xml:space="preserve">total market value of the assets held by the </w:t>
      </w:r>
      <w:r w:rsidR="00B15788" w:rsidRPr="002217FD">
        <w:rPr>
          <w:rFonts w:ascii="Arial" w:hAnsi="Arial" w:cs="Arial"/>
          <w:sz w:val="22"/>
          <w:szCs w:val="22"/>
        </w:rPr>
        <w:t xml:space="preserve">trustee </w:t>
      </w:r>
      <w:r w:rsidR="003B2434" w:rsidRPr="002217FD">
        <w:rPr>
          <w:rFonts w:ascii="Arial" w:hAnsi="Arial" w:cs="Arial"/>
          <w:sz w:val="22"/>
          <w:szCs w:val="22"/>
        </w:rPr>
        <w:t xml:space="preserve">in all trusts of which it is a trustee is </w:t>
      </w:r>
      <w:r w:rsidR="00B15788" w:rsidRPr="002217FD">
        <w:rPr>
          <w:rFonts w:ascii="Arial" w:hAnsi="Arial" w:cs="Arial"/>
          <w:sz w:val="22"/>
          <w:szCs w:val="22"/>
        </w:rPr>
        <w:t>less than $5 million.</w:t>
      </w:r>
    </w:p>
    <w:p w:rsidR="00C16D07" w:rsidRPr="003B7033" w:rsidRDefault="00C16D07" w:rsidP="00C16D07">
      <w:pPr>
        <w:pStyle w:val="ListParagraph"/>
        <w:spacing w:after="120"/>
        <w:ind w:left="1134"/>
        <w:rPr>
          <w:rFonts w:ascii="Arial" w:hAnsi="Arial" w:cs="Arial"/>
          <w:sz w:val="22"/>
          <w:szCs w:val="22"/>
        </w:rPr>
      </w:pPr>
    </w:p>
    <w:p w:rsidR="00484C55" w:rsidRDefault="00484C55" w:rsidP="00D51678">
      <w:pPr>
        <w:pStyle w:val="ListParagraph"/>
        <w:numPr>
          <w:ilvl w:val="0"/>
          <w:numId w:val="12"/>
        </w:numPr>
        <w:tabs>
          <w:tab w:val="num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trustee of a trust </w:t>
      </w:r>
      <w:r w:rsidR="00C16D0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other than a unit trust</w:t>
      </w:r>
      <w:r w:rsidR="00C16D0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is </w:t>
      </w:r>
      <w:r w:rsidRPr="003B7033">
        <w:rPr>
          <w:rFonts w:ascii="Arial" w:hAnsi="Arial" w:cs="Arial"/>
          <w:sz w:val="22"/>
          <w:szCs w:val="22"/>
        </w:rPr>
        <w:t xml:space="preserve">not required to provide information to the Commissioner of Taxation under table item 8 in section 396-55 of Schedule 1 to the </w:t>
      </w:r>
      <w:r w:rsidRPr="00F04627">
        <w:rPr>
          <w:rFonts w:ascii="Arial" w:hAnsi="Arial" w:cs="Arial"/>
          <w:i/>
          <w:sz w:val="22"/>
          <w:szCs w:val="22"/>
        </w:rPr>
        <w:t>Taxation Administration Act 1953</w:t>
      </w:r>
      <w:r w:rsidRPr="003B7033">
        <w:rPr>
          <w:rFonts w:ascii="Arial" w:hAnsi="Arial" w:cs="Arial"/>
          <w:sz w:val="22"/>
          <w:szCs w:val="22"/>
        </w:rPr>
        <w:t xml:space="preserve"> in relation to a transaction that relates to shares in a company that are not listed </w:t>
      </w:r>
      <w:r w:rsidR="001B7D5B">
        <w:rPr>
          <w:rFonts w:ascii="Arial" w:hAnsi="Arial" w:cs="Arial"/>
          <w:sz w:val="22"/>
          <w:szCs w:val="22"/>
        </w:rPr>
        <w:t>for quotation in the official list of</w:t>
      </w:r>
      <w:r w:rsidRPr="003B7033">
        <w:rPr>
          <w:rFonts w:ascii="Arial" w:hAnsi="Arial" w:cs="Arial"/>
          <w:sz w:val="22"/>
          <w:szCs w:val="22"/>
        </w:rPr>
        <w:t xml:space="preserve"> an Australian financial market.</w:t>
      </w:r>
    </w:p>
    <w:p w:rsidR="00484C55" w:rsidRDefault="00484C55" w:rsidP="00484C55">
      <w:pPr>
        <w:pStyle w:val="ListParagraph"/>
        <w:spacing w:after="120"/>
        <w:ind w:left="426"/>
        <w:rPr>
          <w:rFonts w:ascii="Arial" w:hAnsi="Arial" w:cs="Arial"/>
          <w:sz w:val="22"/>
          <w:szCs w:val="22"/>
        </w:rPr>
      </w:pPr>
    </w:p>
    <w:p w:rsidR="00484C55" w:rsidRPr="008F4D63" w:rsidRDefault="00484C55" w:rsidP="00484C5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F4D63">
        <w:rPr>
          <w:rFonts w:ascii="Arial" w:hAnsi="Arial" w:cs="Arial"/>
          <w:sz w:val="22"/>
          <w:szCs w:val="22"/>
        </w:rPr>
        <w:t xml:space="preserve">A trustee of a trust </w:t>
      </w:r>
      <w:r w:rsidR="00C16D07">
        <w:rPr>
          <w:rFonts w:ascii="Arial" w:hAnsi="Arial" w:cs="Arial"/>
          <w:sz w:val="22"/>
          <w:szCs w:val="22"/>
        </w:rPr>
        <w:t>(</w:t>
      </w:r>
      <w:r w:rsidRPr="008F4D63">
        <w:rPr>
          <w:rFonts w:ascii="Arial" w:hAnsi="Arial" w:cs="Arial"/>
          <w:sz w:val="22"/>
          <w:szCs w:val="22"/>
        </w:rPr>
        <w:t>other than a unit trust</w:t>
      </w:r>
      <w:r w:rsidR="00C16D07">
        <w:rPr>
          <w:rFonts w:ascii="Arial" w:hAnsi="Arial" w:cs="Arial"/>
          <w:sz w:val="22"/>
          <w:szCs w:val="22"/>
        </w:rPr>
        <w:t>)</w:t>
      </w:r>
      <w:r w:rsidRPr="008F4D63">
        <w:rPr>
          <w:rFonts w:ascii="Arial" w:hAnsi="Arial" w:cs="Arial"/>
          <w:sz w:val="22"/>
          <w:szCs w:val="22"/>
        </w:rPr>
        <w:t xml:space="preserve"> is not required to provide information to the Commissioner of Taxation under table item 8 in section 396-55 of Schedule 1 to the </w:t>
      </w:r>
      <w:r w:rsidRPr="00F04627">
        <w:rPr>
          <w:rFonts w:ascii="Arial" w:hAnsi="Arial" w:cs="Arial"/>
          <w:i/>
          <w:sz w:val="22"/>
          <w:szCs w:val="22"/>
        </w:rPr>
        <w:t>Taxation Administration Act 1953</w:t>
      </w:r>
      <w:r w:rsidRPr="008F4D63">
        <w:rPr>
          <w:rFonts w:ascii="Arial" w:hAnsi="Arial" w:cs="Arial"/>
          <w:sz w:val="22"/>
          <w:szCs w:val="22"/>
        </w:rPr>
        <w:t xml:space="preserve"> in relation to a transaction</w:t>
      </w:r>
      <w:r w:rsidR="00167F6B">
        <w:rPr>
          <w:rFonts w:ascii="Arial" w:hAnsi="Arial" w:cs="Arial"/>
          <w:sz w:val="22"/>
          <w:szCs w:val="22"/>
        </w:rPr>
        <w:t xml:space="preserve"> where</w:t>
      </w:r>
      <w:r w:rsidR="00F04627">
        <w:rPr>
          <w:rFonts w:ascii="Arial" w:hAnsi="Arial" w:cs="Arial"/>
          <w:sz w:val="22"/>
          <w:szCs w:val="22"/>
        </w:rPr>
        <w:t xml:space="preserve"> the trustee can reasonably expect that</w:t>
      </w:r>
      <w:r>
        <w:rPr>
          <w:rFonts w:ascii="Arial" w:hAnsi="Arial" w:cs="Arial"/>
          <w:sz w:val="22"/>
          <w:szCs w:val="22"/>
        </w:rPr>
        <w:t>:</w:t>
      </w:r>
      <w:r w:rsidRPr="008F4D63">
        <w:rPr>
          <w:rFonts w:ascii="Arial" w:hAnsi="Arial" w:cs="Arial"/>
          <w:sz w:val="22"/>
          <w:szCs w:val="22"/>
        </w:rPr>
        <w:t xml:space="preserve"> </w:t>
      </w:r>
    </w:p>
    <w:p w:rsidR="002217FD" w:rsidRDefault="00484C55" w:rsidP="002217FD">
      <w:pPr>
        <w:pStyle w:val="ListParagraph"/>
        <w:numPr>
          <w:ilvl w:val="0"/>
          <w:numId w:val="43"/>
        </w:numPr>
        <w:spacing w:after="120"/>
        <w:rPr>
          <w:rFonts w:ascii="Arial" w:hAnsi="Arial" w:cs="Arial"/>
          <w:sz w:val="22"/>
          <w:szCs w:val="22"/>
        </w:rPr>
      </w:pPr>
      <w:r w:rsidRPr="002217FD">
        <w:rPr>
          <w:rFonts w:ascii="Arial" w:hAnsi="Arial" w:cs="Arial"/>
          <w:sz w:val="22"/>
          <w:szCs w:val="22"/>
        </w:rPr>
        <w:t xml:space="preserve">some other entity will include information about the transaction in a report </w:t>
      </w:r>
      <w:r w:rsidR="00167F6B" w:rsidRPr="002217FD">
        <w:rPr>
          <w:rFonts w:ascii="Arial" w:hAnsi="Arial" w:cs="Arial"/>
          <w:sz w:val="22"/>
          <w:szCs w:val="22"/>
        </w:rPr>
        <w:t>given to the Commissioner of Taxation</w:t>
      </w:r>
      <w:r w:rsidRPr="002217FD">
        <w:rPr>
          <w:rFonts w:ascii="Arial" w:hAnsi="Arial" w:cs="Arial"/>
          <w:sz w:val="22"/>
          <w:szCs w:val="22"/>
        </w:rPr>
        <w:t xml:space="preserve"> under table item 5, 6, </w:t>
      </w:r>
      <w:r w:rsidR="002217FD">
        <w:rPr>
          <w:rFonts w:ascii="Arial" w:hAnsi="Arial" w:cs="Arial"/>
          <w:sz w:val="22"/>
          <w:szCs w:val="22"/>
        </w:rPr>
        <w:t xml:space="preserve">7 </w:t>
      </w:r>
      <w:r w:rsidRPr="002217FD">
        <w:rPr>
          <w:rFonts w:ascii="Arial" w:hAnsi="Arial" w:cs="Arial"/>
          <w:sz w:val="22"/>
          <w:szCs w:val="22"/>
        </w:rPr>
        <w:t xml:space="preserve">or </w:t>
      </w:r>
      <w:r w:rsidR="002217FD">
        <w:rPr>
          <w:rFonts w:ascii="Arial" w:hAnsi="Arial" w:cs="Arial"/>
          <w:sz w:val="22"/>
          <w:szCs w:val="22"/>
        </w:rPr>
        <w:t>8</w:t>
      </w:r>
      <w:r w:rsidRPr="002217FD">
        <w:rPr>
          <w:rFonts w:ascii="Arial" w:hAnsi="Arial" w:cs="Arial"/>
          <w:sz w:val="22"/>
          <w:szCs w:val="22"/>
        </w:rPr>
        <w:t xml:space="preserve"> in section 396-55 of Schedule 1 to the Taxation Administration Act 1953</w:t>
      </w:r>
      <w:r w:rsidR="008E7EF4" w:rsidRPr="002217FD">
        <w:rPr>
          <w:rFonts w:ascii="Arial" w:hAnsi="Arial" w:cs="Arial"/>
          <w:sz w:val="22"/>
          <w:szCs w:val="22"/>
        </w:rPr>
        <w:t>,</w:t>
      </w:r>
      <w:r w:rsidRPr="002217FD">
        <w:rPr>
          <w:rFonts w:ascii="Arial" w:hAnsi="Arial" w:cs="Arial"/>
          <w:sz w:val="22"/>
          <w:szCs w:val="22"/>
        </w:rPr>
        <w:t xml:space="preserve"> and</w:t>
      </w:r>
    </w:p>
    <w:p w:rsidR="00484C55" w:rsidRPr="002217FD" w:rsidRDefault="00484C55" w:rsidP="002217FD">
      <w:pPr>
        <w:pStyle w:val="ListParagraph"/>
        <w:numPr>
          <w:ilvl w:val="0"/>
          <w:numId w:val="43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 w:rsidRPr="002217FD">
        <w:rPr>
          <w:rFonts w:ascii="Arial" w:hAnsi="Arial" w:cs="Arial"/>
          <w:sz w:val="22"/>
          <w:szCs w:val="22"/>
        </w:rPr>
        <w:t>th</w:t>
      </w:r>
      <w:r w:rsidR="00167F6B" w:rsidRPr="002217FD">
        <w:rPr>
          <w:rFonts w:ascii="Arial" w:hAnsi="Arial" w:cs="Arial"/>
          <w:sz w:val="22"/>
          <w:szCs w:val="22"/>
        </w:rPr>
        <w:t>at</w:t>
      </w:r>
      <w:proofErr w:type="gramEnd"/>
      <w:r w:rsidRPr="002217FD">
        <w:rPr>
          <w:rFonts w:ascii="Arial" w:hAnsi="Arial" w:cs="Arial"/>
          <w:sz w:val="22"/>
          <w:szCs w:val="22"/>
        </w:rPr>
        <w:t xml:space="preserve"> report will identify</w:t>
      </w:r>
      <w:r w:rsidR="00FC1B4E" w:rsidRPr="002217FD">
        <w:rPr>
          <w:rFonts w:ascii="Arial" w:hAnsi="Arial" w:cs="Arial"/>
          <w:sz w:val="22"/>
          <w:szCs w:val="22"/>
        </w:rPr>
        <w:t>, as</w:t>
      </w:r>
      <w:r w:rsidRPr="002217FD">
        <w:rPr>
          <w:rFonts w:ascii="Arial" w:hAnsi="Arial" w:cs="Arial"/>
          <w:sz w:val="22"/>
          <w:szCs w:val="22"/>
        </w:rPr>
        <w:t xml:space="preserve"> </w:t>
      </w:r>
      <w:r w:rsidR="00167F6B" w:rsidRPr="002217FD">
        <w:rPr>
          <w:rFonts w:ascii="Arial" w:hAnsi="Arial" w:cs="Arial"/>
          <w:sz w:val="22"/>
          <w:szCs w:val="22"/>
        </w:rPr>
        <w:t>the owner of the shares or units</w:t>
      </w:r>
      <w:r w:rsidR="00FC1B4E" w:rsidRPr="002217FD">
        <w:rPr>
          <w:rFonts w:ascii="Arial" w:hAnsi="Arial" w:cs="Arial"/>
          <w:sz w:val="22"/>
          <w:szCs w:val="22"/>
        </w:rPr>
        <w:t>,</w:t>
      </w:r>
      <w:r w:rsidR="00167F6B" w:rsidRPr="002217FD">
        <w:rPr>
          <w:rFonts w:ascii="Arial" w:hAnsi="Arial" w:cs="Arial"/>
          <w:sz w:val="22"/>
          <w:szCs w:val="22"/>
        </w:rPr>
        <w:t xml:space="preserve"> </w:t>
      </w:r>
      <w:r w:rsidRPr="002217FD">
        <w:rPr>
          <w:rFonts w:ascii="Arial" w:hAnsi="Arial" w:cs="Arial"/>
          <w:sz w:val="22"/>
          <w:szCs w:val="22"/>
        </w:rPr>
        <w:t xml:space="preserve">the </w:t>
      </w:r>
      <w:r w:rsidR="0039696D" w:rsidRPr="002217FD">
        <w:rPr>
          <w:rFonts w:ascii="Arial" w:hAnsi="Arial" w:cs="Arial"/>
          <w:sz w:val="22"/>
          <w:szCs w:val="22"/>
        </w:rPr>
        <w:t>entity</w:t>
      </w:r>
      <w:r w:rsidR="00167F6B" w:rsidRPr="002217FD">
        <w:rPr>
          <w:rFonts w:ascii="Arial" w:hAnsi="Arial" w:cs="Arial"/>
          <w:sz w:val="22"/>
          <w:szCs w:val="22"/>
        </w:rPr>
        <w:t xml:space="preserve"> who is </w:t>
      </w:r>
      <w:r w:rsidRPr="002217FD">
        <w:rPr>
          <w:rFonts w:ascii="Arial" w:hAnsi="Arial" w:cs="Arial"/>
          <w:sz w:val="22"/>
          <w:szCs w:val="22"/>
        </w:rPr>
        <w:t xml:space="preserve">absolutely entitled </w:t>
      </w:r>
      <w:r w:rsidR="00167F6B" w:rsidRPr="002217FD">
        <w:rPr>
          <w:rFonts w:ascii="Arial" w:hAnsi="Arial" w:cs="Arial"/>
          <w:sz w:val="22"/>
          <w:szCs w:val="22"/>
        </w:rPr>
        <w:t xml:space="preserve">to them as a </w:t>
      </w:r>
      <w:r w:rsidRPr="002217FD">
        <w:rPr>
          <w:rFonts w:ascii="Arial" w:hAnsi="Arial" w:cs="Arial"/>
          <w:sz w:val="22"/>
          <w:szCs w:val="22"/>
        </w:rPr>
        <w:t xml:space="preserve">beneficiary </w:t>
      </w:r>
      <w:r w:rsidR="00167F6B" w:rsidRPr="002217FD">
        <w:rPr>
          <w:rFonts w:ascii="Arial" w:hAnsi="Arial" w:cs="Arial"/>
          <w:sz w:val="22"/>
          <w:szCs w:val="22"/>
        </w:rPr>
        <w:t>of the trust</w:t>
      </w:r>
      <w:r w:rsidRPr="002217FD">
        <w:rPr>
          <w:rFonts w:ascii="Arial" w:hAnsi="Arial" w:cs="Arial"/>
          <w:sz w:val="22"/>
          <w:szCs w:val="22"/>
        </w:rPr>
        <w:t xml:space="preserve">. </w:t>
      </w:r>
    </w:p>
    <w:p w:rsidR="00B15788" w:rsidRPr="003B7033" w:rsidRDefault="00B15788" w:rsidP="00B15788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B15788" w:rsidRPr="00D12215" w:rsidRDefault="00394845" w:rsidP="00D1221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15788" w:rsidRPr="00D12215">
        <w:rPr>
          <w:rFonts w:ascii="Arial" w:hAnsi="Arial" w:cs="Arial"/>
          <w:sz w:val="22"/>
          <w:szCs w:val="22"/>
        </w:rPr>
        <w:t xml:space="preserve"> trustee of a trust (other than a unit trust) is not required to </w:t>
      </w:r>
      <w:r w:rsidR="00F04627">
        <w:rPr>
          <w:rFonts w:ascii="Arial" w:hAnsi="Arial" w:cs="Arial"/>
          <w:sz w:val="22"/>
          <w:szCs w:val="22"/>
        </w:rPr>
        <w:t>provide information</w:t>
      </w:r>
      <w:r w:rsidR="00B15788" w:rsidRPr="00D12215">
        <w:rPr>
          <w:rFonts w:ascii="Arial" w:hAnsi="Arial" w:cs="Arial"/>
          <w:sz w:val="22"/>
          <w:szCs w:val="22"/>
        </w:rPr>
        <w:t xml:space="preserve"> to the Commissioner of Taxation under table item 8 in section 396-55 of Schedule 1 to the </w:t>
      </w:r>
      <w:r w:rsidR="00B15788" w:rsidRPr="00F04627">
        <w:rPr>
          <w:rFonts w:ascii="Arial" w:hAnsi="Arial" w:cs="Arial"/>
          <w:i/>
          <w:sz w:val="22"/>
          <w:szCs w:val="22"/>
        </w:rPr>
        <w:t>Taxation Administration Act 1953</w:t>
      </w:r>
      <w:r w:rsidR="00B15788" w:rsidRPr="00D12215">
        <w:rPr>
          <w:rFonts w:ascii="Arial" w:hAnsi="Arial" w:cs="Arial"/>
          <w:sz w:val="22"/>
          <w:szCs w:val="22"/>
        </w:rPr>
        <w:t xml:space="preserve"> </w:t>
      </w:r>
      <w:r w:rsidR="000A3CE8" w:rsidRPr="00D12215">
        <w:rPr>
          <w:rFonts w:ascii="Arial" w:hAnsi="Arial" w:cs="Arial"/>
          <w:sz w:val="22"/>
          <w:szCs w:val="22"/>
        </w:rPr>
        <w:t xml:space="preserve">in relation to a transaction </w:t>
      </w:r>
      <w:r w:rsidR="00B15788" w:rsidRPr="00D12215">
        <w:rPr>
          <w:rFonts w:ascii="Arial" w:hAnsi="Arial" w:cs="Arial"/>
          <w:sz w:val="22"/>
          <w:szCs w:val="22"/>
        </w:rPr>
        <w:t>where</w:t>
      </w:r>
      <w:r w:rsidR="00D12215" w:rsidRPr="00D12215">
        <w:rPr>
          <w:rFonts w:ascii="Arial" w:hAnsi="Arial" w:cs="Arial"/>
          <w:sz w:val="22"/>
          <w:szCs w:val="22"/>
        </w:rPr>
        <w:t xml:space="preserve"> </w:t>
      </w:r>
      <w:r w:rsidR="000A0A86" w:rsidRPr="00D12215">
        <w:rPr>
          <w:rFonts w:ascii="Arial" w:hAnsi="Arial" w:cs="Arial"/>
          <w:sz w:val="22"/>
          <w:szCs w:val="22"/>
        </w:rPr>
        <w:t>t</w:t>
      </w:r>
      <w:r w:rsidR="00B15788" w:rsidRPr="00D12215">
        <w:rPr>
          <w:rFonts w:ascii="Arial" w:hAnsi="Arial" w:cs="Arial"/>
          <w:sz w:val="22"/>
          <w:szCs w:val="22"/>
        </w:rPr>
        <w:t xml:space="preserve">he trustee </w:t>
      </w:r>
      <w:r w:rsidR="000A3CE8" w:rsidRPr="00D12215">
        <w:rPr>
          <w:rFonts w:ascii="Arial" w:hAnsi="Arial" w:cs="Arial"/>
          <w:sz w:val="22"/>
          <w:szCs w:val="22"/>
        </w:rPr>
        <w:t xml:space="preserve">is required to provide information to the Commissioner in relation to the transaction under Division 392 of </w:t>
      </w:r>
      <w:r w:rsidR="0082420C">
        <w:rPr>
          <w:rFonts w:ascii="Arial" w:hAnsi="Arial" w:cs="Arial"/>
          <w:sz w:val="22"/>
          <w:szCs w:val="22"/>
        </w:rPr>
        <w:t xml:space="preserve">Schedule 1 to </w:t>
      </w:r>
      <w:r w:rsidR="000A3CE8" w:rsidRPr="00D12215">
        <w:rPr>
          <w:rFonts w:ascii="Arial" w:hAnsi="Arial" w:cs="Arial"/>
          <w:sz w:val="22"/>
          <w:szCs w:val="22"/>
        </w:rPr>
        <w:t xml:space="preserve">the </w:t>
      </w:r>
      <w:r w:rsidR="000A3CE8" w:rsidRPr="00D12215">
        <w:rPr>
          <w:rFonts w:ascii="Arial" w:hAnsi="Arial" w:cs="Arial"/>
          <w:i/>
          <w:sz w:val="22"/>
          <w:szCs w:val="22"/>
        </w:rPr>
        <w:t>Taxation Administration Act 1953</w:t>
      </w:r>
      <w:r w:rsidR="000A3CE8" w:rsidRPr="00D12215">
        <w:rPr>
          <w:rFonts w:ascii="Arial" w:hAnsi="Arial" w:cs="Arial"/>
          <w:sz w:val="22"/>
          <w:szCs w:val="22"/>
        </w:rPr>
        <w:t>.</w:t>
      </w:r>
      <w:r w:rsidR="00B15788" w:rsidRPr="00D12215">
        <w:rPr>
          <w:rFonts w:ascii="Arial" w:hAnsi="Arial" w:cs="Arial"/>
          <w:sz w:val="22"/>
          <w:szCs w:val="22"/>
        </w:rPr>
        <w:t xml:space="preserve">  </w:t>
      </w:r>
    </w:p>
    <w:p w:rsidR="005736EB" w:rsidRPr="003B7033" w:rsidRDefault="005736EB" w:rsidP="005736EB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495A6E" w:rsidRPr="002217FD" w:rsidRDefault="00936327" w:rsidP="002217FD">
      <w:pPr>
        <w:spacing w:after="120"/>
        <w:rPr>
          <w:rFonts w:ascii="Arial" w:hAnsi="Arial" w:cs="Arial"/>
          <w:b/>
        </w:rPr>
      </w:pPr>
      <w:r w:rsidRPr="003B7033">
        <w:rPr>
          <w:rFonts w:ascii="Arial" w:hAnsi="Arial" w:cs="Arial"/>
          <w:b/>
        </w:rPr>
        <w:t>Additional Information</w:t>
      </w:r>
    </w:p>
    <w:p w:rsidR="00936327" w:rsidRPr="003B7033" w:rsidRDefault="00936327" w:rsidP="00936327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B7033">
        <w:rPr>
          <w:rFonts w:ascii="Arial" w:hAnsi="Arial" w:cs="Arial"/>
          <w:sz w:val="22"/>
          <w:szCs w:val="22"/>
        </w:rPr>
        <w:t xml:space="preserve">This instrument does not prevent the reporting of information where not reporting it would impose an increased administrative burden on the reporting entity. </w:t>
      </w:r>
    </w:p>
    <w:p w:rsidR="00E506E7" w:rsidRPr="003B7033" w:rsidRDefault="00E506E7" w:rsidP="00E506E7">
      <w:pPr>
        <w:pStyle w:val="ListParagraph"/>
        <w:rPr>
          <w:rFonts w:ascii="Arial" w:hAnsi="Arial" w:cs="Arial"/>
          <w:b/>
        </w:rPr>
      </w:pPr>
    </w:p>
    <w:p w:rsidR="00304B44" w:rsidRPr="003B7033" w:rsidRDefault="00304B44" w:rsidP="00304B44">
      <w:pPr>
        <w:spacing w:after="120"/>
        <w:rPr>
          <w:rFonts w:ascii="Arial" w:hAnsi="Arial" w:cs="Arial"/>
          <w:b/>
        </w:rPr>
      </w:pPr>
      <w:r w:rsidRPr="003B7033">
        <w:rPr>
          <w:rFonts w:ascii="Arial" w:hAnsi="Arial" w:cs="Arial"/>
          <w:b/>
        </w:rPr>
        <w:t>Definitions</w:t>
      </w:r>
    </w:p>
    <w:p w:rsidR="00304B44" w:rsidRPr="003B7033" w:rsidRDefault="00304B44" w:rsidP="00304B44">
      <w:pPr>
        <w:pStyle w:val="Definition"/>
        <w:ind w:left="720"/>
        <w:rPr>
          <w:rFonts w:ascii="Arial" w:hAnsi="Arial" w:cs="Arial"/>
        </w:rPr>
      </w:pPr>
      <w:r w:rsidRPr="003B7033">
        <w:rPr>
          <w:rFonts w:ascii="Arial" w:hAnsi="Arial" w:cs="Arial"/>
          <w:b/>
          <w:i/>
        </w:rPr>
        <w:t>Australian financial market</w:t>
      </w:r>
      <w:r w:rsidRPr="003B7033">
        <w:rPr>
          <w:rFonts w:ascii="Arial" w:hAnsi="Arial" w:cs="Arial"/>
        </w:rPr>
        <w:t xml:space="preserve"> means a financial market (within the meaning of Chapter 7 of the </w:t>
      </w:r>
      <w:r w:rsidRPr="003B7033">
        <w:rPr>
          <w:rFonts w:ascii="Arial" w:hAnsi="Arial" w:cs="Arial"/>
          <w:i/>
        </w:rPr>
        <w:t>Corporations Act 2001</w:t>
      </w:r>
      <w:r w:rsidRPr="003B7033">
        <w:rPr>
          <w:rFonts w:ascii="Arial" w:hAnsi="Arial" w:cs="Arial"/>
        </w:rPr>
        <w:t xml:space="preserve">) operating under an Australian market licence granted under subsection </w:t>
      </w:r>
      <w:proofErr w:type="gramStart"/>
      <w:r w:rsidRPr="003B7033">
        <w:rPr>
          <w:rFonts w:ascii="Arial" w:hAnsi="Arial" w:cs="Arial"/>
        </w:rPr>
        <w:t>795B(</w:t>
      </w:r>
      <w:proofErr w:type="gramEnd"/>
      <w:r w:rsidRPr="003B7033">
        <w:rPr>
          <w:rFonts w:ascii="Arial" w:hAnsi="Arial" w:cs="Arial"/>
        </w:rPr>
        <w:t>1) of that Act.</w:t>
      </w:r>
    </w:p>
    <w:p w:rsidR="00304B44" w:rsidRPr="003B7033" w:rsidRDefault="00304B44" w:rsidP="00304B44">
      <w:pPr>
        <w:pStyle w:val="Definition"/>
        <w:ind w:left="720"/>
        <w:rPr>
          <w:rFonts w:ascii="Arial" w:hAnsi="Arial" w:cs="Arial"/>
        </w:rPr>
      </w:pPr>
      <w:proofErr w:type="gramStart"/>
      <w:r w:rsidRPr="003B7033">
        <w:rPr>
          <w:rFonts w:ascii="Arial" w:hAnsi="Arial" w:cs="Arial"/>
          <w:b/>
          <w:i/>
        </w:rPr>
        <w:t>market</w:t>
      </w:r>
      <w:proofErr w:type="gramEnd"/>
      <w:r w:rsidRPr="003B7033">
        <w:rPr>
          <w:rFonts w:ascii="Arial" w:hAnsi="Arial" w:cs="Arial"/>
          <w:b/>
          <w:i/>
        </w:rPr>
        <w:t xml:space="preserve"> integrity rules</w:t>
      </w:r>
      <w:r w:rsidRPr="003B7033">
        <w:rPr>
          <w:rFonts w:ascii="Arial" w:hAnsi="Arial" w:cs="Arial"/>
        </w:rPr>
        <w:t xml:space="preserve"> means rules made under section 798G of the </w:t>
      </w:r>
      <w:r w:rsidRPr="003B7033">
        <w:rPr>
          <w:rFonts w:ascii="Arial" w:hAnsi="Arial" w:cs="Arial"/>
          <w:i/>
        </w:rPr>
        <w:t>Corporations Act 2001</w:t>
      </w:r>
      <w:r w:rsidRPr="003B7033">
        <w:rPr>
          <w:rFonts w:ascii="Arial" w:hAnsi="Arial" w:cs="Arial"/>
        </w:rPr>
        <w:t>.</w:t>
      </w:r>
    </w:p>
    <w:sectPr w:rsidR="00304B44" w:rsidRPr="003B7033" w:rsidSect="00C22AC5">
      <w:headerReference w:type="first" r:id="rId9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5C" w:rsidRDefault="009B3D5C">
      <w:r>
        <w:separator/>
      </w:r>
    </w:p>
  </w:endnote>
  <w:endnote w:type="continuationSeparator" w:id="0">
    <w:p w:rsidR="009B3D5C" w:rsidRDefault="009B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5C" w:rsidRDefault="009B3D5C">
      <w:r>
        <w:separator/>
      </w:r>
    </w:p>
  </w:footnote>
  <w:footnote w:type="continuationSeparator" w:id="0">
    <w:p w:rsidR="009B3D5C" w:rsidRDefault="009B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6E1F3C20" wp14:editId="3F52889E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503"/>
    <w:multiLevelType w:val="hybridMultilevel"/>
    <w:tmpl w:val="1D00EB00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580579"/>
    <w:multiLevelType w:val="multilevel"/>
    <w:tmpl w:val="C1AC8E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BD76A2"/>
    <w:multiLevelType w:val="hybridMultilevel"/>
    <w:tmpl w:val="039270E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573C8"/>
    <w:multiLevelType w:val="hybridMultilevel"/>
    <w:tmpl w:val="3B56E6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5">
    <w:nsid w:val="0EBB483B"/>
    <w:multiLevelType w:val="hybridMultilevel"/>
    <w:tmpl w:val="D2E8C294"/>
    <w:lvl w:ilvl="0" w:tplc="A6DCD44A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5" w:hanging="360"/>
      </w:pPr>
    </w:lvl>
    <w:lvl w:ilvl="2" w:tplc="0C09001B" w:tentative="1">
      <w:start w:val="1"/>
      <w:numFmt w:val="lowerRoman"/>
      <w:lvlText w:val="%3."/>
      <w:lvlJc w:val="right"/>
      <w:pPr>
        <w:ind w:left="2355" w:hanging="180"/>
      </w:pPr>
    </w:lvl>
    <w:lvl w:ilvl="3" w:tplc="0C09000F" w:tentative="1">
      <w:start w:val="1"/>
      <w:numFmt w:val="decimal"/>
      <w:lvlText w:val="%4."/>
      <w:lvlJc w:val="left"/>
      <w:pPr>
        <w:ind w:left="3075" w:hanging="360"/>
      </w:pPr>
    </w:lvl>
    <w:lvl w:ilvl="4" w:tplc="0C090019" w:tentative="1">
      <w:start w:val="1"/>
      <w:numFmt w:val="lowerLetter"/>
      <w:lvlText w:val="%5."/>
      <w:lvlJc w:val="left"/>
      <w:pPr>
        <w:ind w:left="3795" w:hanging="360"/>
      </w:pPr>
    </w:lvl>
    <w:lvl w:ilvl="5" w:tplc="0C09001B" w:tentative="1">
      <w:start w:val="1"/>
      <w:numFmt w:val="lowerRoman"/>
      <w:lvlText w:val="%6."/>
      <w:lvlJc w:val="right"/>
      <w:pPr>
        <w:ind w:left="4515" w:hanging="180"/>
      </w:pPr>
    </w:lvl>
    <w:lvl w:ilvl="6" w:tplc="0C09000F" w:tentative="1">
      <w:start w:val="1"/>
      <w:numFmt w:val="decimal"/>
      <w:lvlText w:val="%7."/>
      <w:lvlJc w:val="left"/>
      <w:pPr>
        <w:ind w:left="5235" w:hanging="360"/>
      </w:pPr>
    </w:lvl>
    <w:lvl w:ilvl="7" w:tplc="0C090019" w:tentative="1">
      <w:start w:val="1"/>
      <w:numFmt w:val="lowerLetter"/>
      <w:lvlText w:val="%8."/>
      <w:lvlJc w:val="left"/>
      <w:pPr>
        <w:ind w:left="5955" w:hanging="360"/>
      </w:pPr>
    </w:lvl>
    <w:lvl w:ilvl="8" w:tplc="0C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0F23A68"/>
    <w:multiLevelType w:val="hybridMultilevel"/>
    <w:tmpl w:val="58E0E584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E71A5"/>
    <w:multiLevelType w:val="hybridMultilevel"/>
    <w:tmpl w:val="18A280E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92E68"/>
    <w:multiLevelType w:val="hybridMultilevel"/>
    <w:tmpl w:val="FBDEF5EE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E70D9E"/>
    <w:multiLevelType w:val="multilevel"/>
    <w:tmpl w:val="C1AC8E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A5554B"/>
    <w:multiLevelType w:val="multilevel"/>
    <w:tmpl w:val="9E4E944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5117BA"/>
    <w:multiLevelType w:val="hybridMultilevel"/>
    <w:tmpl w:val="E59AED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D5903F2"/>
    <w:multiLevelType w:val="hybridMultilevel"/>
    <w:tmpl w:val="FBDEF5EE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B745B2"/>
    <w:multiLevelType w:val="hybridMultilevel"/>
    <w:tmpl w:val="014C3E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B02C90"/>
    <w:multiLevelType w:val="hybridMultilevel"/>
    <w:tmpl w:val="991068B8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0E3972"/>
    <w:multiLevelType w:val="hybridMultilevel"/>
    <w:tmpl w:val="F222A3C0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BA61A4"/>
    <w:multiLevelType w:val="hybridMultilevel"/>
    <w:tmpl w:val="592A0A2A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5417B7"/>
    <w:multiLevelType w:val="hybridMultilevel"/>
    <w:tmpl w:val="09D0DC3A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8322B9"/>
    <w:multiLevelType w:val="hybridMultilevel"/>
    <w:tmpl w:val="7D88568C"/>
    <w:lvl w:ilvl="0" w:tplc="3BB29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B59C8"/>
    <w:multiLevelType w:val="hybridMultilevel"/>
    <w:tmpl w:val="9A8A0D2E"/>
    <w:lvl w:ilvl="0" w:tplc="00DE951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00E0CFB"/>
    <w:multiLevelType w:val="hybridMultilevel"/>
    <w:tmpl w:val="9FE48122"/>
    <w:lvl w:ilvl="0" w:tplc="AAF85D0A">
      <w:start w:val="1"/>
      <w:numFmt w:val="decimal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C6670"/>
    <w:multiLevelType w:val="hybridMultilevel"/>
    <w:tmpl w:val="47BED9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62B4A"/>
    <w:multiLevelType w:val="hybridMultilevel"/>
    <w:tmpl w:val="58E0E584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F2995"/>
    <w:multiLevelType w:val="hybridMultilevel"/>
    <w:tmpl w:val="DBAE4498"/>
    <w:lvl w:ilvl="0" w:tplc="C2AC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D3EA1"/>
    <w:multiLevelType w:val="multilevel"/>
    <w:tmpl w:val="C1AC8E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AE4E98"/>
    <w:multiLevelType w:val="hybridMultilevel"/>
    <w:tmpl w:val="A38CC19A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597916"/>
    <w:multiLevelType w:val="hybridMultilevel"/>
    <w:tmpl w:val="E4AE9DE4"/>
    <w:lvl w:ilvl="0" w:tplc="4BB6F536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5" w:hanging="360"/>
      </w:pPr>
    </w:lvl>
    <w:lvl w:ilvl="2" w:tplc="0C09001B" w:tentative="1">
      <w:start w:val="1"/>
      <w:numFmt w:val="lowerRoman"/>
      <w:lvlText w:val="%3."/>
      <w:lvlJc w:val="right"/>
      <w:pPr>
        <w:ind w:left="2775" w:hanging="180"/>
      </w:pPr>
    </w:lvl>
    <w:lvl w:ilvl="3" w:tplc="0C09000F" w:tentative="1">
      <w:start w:val="1"/>
      <w:numFmt w:val="decimal"/>
      <w:lvlText w:val="%4."/>
      <w:lvlJc w:val="left"/>
      <w:pPr>
        <w:ind w:left="3495" w:hanging="360"/>
      </w:pPr>
    </w:lvl>
    <w:lvl w:ilvl="4" w:tplc="0C090019" w:tentative="1">
      <w:start w:val="1"/>
      <w:numFmt w:val="lowerLetter"/>
      <w:lvlText w:val="%5."/>
      <w:lvlJc w:val="left"/>
      <w:pPr>
        <w:ind w:left="4215" w:hanging="360"/>
      </w:pPr>
    </w:lvl>
    <w:lvl w:ilvl="5" w:tplc="0C09001B" w:tentative="1">
      <w:start w:val="1"/>
      <w:numFmt w:val="lowerRoman"/>
      <w:lvlText w:val="%6."/>
      <w:lvlJc w:val="right"/>
      <w:pPr>
        <w:ind w:left="4935" w:hanging="180"/>
      </w:pPr>
    </w:lvl>
    <w:lvl w:ilvl="6" w:tplc="0C09000F" w:tentative="1">
      <w:start w:val="1"/>
      <w:numFmt w:val="decimal"/>
      <w:lvlText w:val="%7."/>
      <w:lvlJc w:val="left"/>
      <w:pPr>
        <w:ind w:left="5655" w:hanging="360"/>
      </w:pPr>
    </w:lvl>
    <w:lvl w:ilvl="7" w:tplc="0C090019" w:tentative="1">
      <w:start w:val="1"/>
      <w:numFmt w:val="lowerLetter"/>
      <w:lvlText w:val="%8."/>
      <w:lvlJc w:val="left"/>
      <w:pPr>
        <w:ind w:left="6375" w:hanging="360"/>
      </w:pPr>
    </w:lvl>
    <w:lvl w:ilvl="8" w:tplc="0C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0">
    <w:nsid w:val="5B9E1689"/>
    <w:multiLevelType w:val="hybridMultilevel"/>
    <w:tmpl w:val="507AE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47D34"/>
    <w:multiLevelType w:val="hybridMultilevel"/>
    <w:tmpl w:val="0674E8B4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F039F1"/>
    <w:multiLevelType w:val="hybridMultilevel"/>
    <w:tmpl w:val="FBDEF5EE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E56CC2"/>
    <w:multiLevelType w:val="hybridMultilevel"/>
    <w:tmpl w:val="4A16C2D4"/>
    <w:lvl w:ilvl="0" w:tplc="3BB29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E72320"/>
    <w:multiLevelType w:val="hybridMultilevel"/>
    <w:tmpl w:val="FBDEF5E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74195"/>
    <w:multiLevelType w:val="hybridMultilevel"/>
    <w:tmpl w:val="869A3646"/>
    <w:lvl w:ilvl="0" w:tplc="3BB29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F42C5"/>
    <w:multiLevelType w:val="multilevel"/>
    <w:tmpl w:val="7A58F4C8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3525DD1"/>
    <w:multiLevelType w:val="multilevel"/>
    <w:tmpl w:val="C1AC8E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73B549F"/>
    <w:multiLevelType w:val="hybridMultilevel"/>
    <w:tmpl w:val="64349984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7C2612E6"/>
    <w:multiLevelType w:val="hybridMultilevel"/>
    <w:tmpl w:val="5752675A"/>
    <w:lvl w:ilvl="0" w:tplc="C2ACD9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F24A4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5"/>
  </w:num>
  <w:num w:numId="3">
    <w:abstractNumId w:val="39"/>
  </w:num>
  <w:num w:numId="4">
    <w:abstractNumId w:val="13"/>
  </w:num>
  <w:num w:numId="5">
    <w:abstractNumId w:val="14"/>
  </w:num>
  <w:num w:numId="6">
    <w:abstractNumId w:val="8"/>
  </w:num>
  <w:num w:numId="7">
    <w:abstractNumId w:val="30"/>
  </w:num>
  <w:num w:numId="8">
    <w:abstractNumId w:val="24"/>
  </w:num>
  <w:num w:numId="9">
    <w:abstractNumId w:val="16"/>
  </w:num>
  <w:num w:numId="10">
    <w:abstractNumId w:val="12"/>
  </w:num>
  <w:num w:numId="11">
    <w:abstractNumId w:val="6"/>
  </w:num>
  <w:num w:numId="12">
    <w:abstractNumId w:val="36"/>
  </w:num>
  <w:num w:numId="13">
    <w:abstractNumId w:val="3"/>
  </w:num>
  <w:num w:numId="14">
    <w:abstractNumId w:val="35"/>
  </w:num>
  <w:num w:numId="15">
    <w:abstractNumId w:val="21"/>
  </w:num>
  <w:num w:numId="16">
    <w:abstractNumId w:val="23"/>
  </w:num>
  <w:num w:numId="17">
    <w:abstractNumId w:val="5"/>
  </w:num>
  <w:num w:numId="18">
    <w:abstractNumId w:val="34"/>
  </w:num>
  <w:num w:numId="19">
    <w:abstractNumId w:val="33"/>
  </w:num>
  <w:num w:numId="20">
    <w:abstractNumId w:val="29"/>
  </w:num>
  <w:num w:numId="21">
    <w:abstractNumId w:val="2"/>
  </w:num>
  <w:num w:numId="22">
    <w:abstractNumId w:val="22"/>
  </w:num>
  <w:num w:numId="23">
    <w:abstractNumId w:val="7"/>
  </w:num>
  <w:num w:numId="24">
    <w:abstractNumId w:val="31"/>
  </w:num>
  <w:num w:numId="25">
    <w:abstractNumId w:val="40"/>
  </w:num>
  <w:num w:numId="26">
    <w:abstractNumId w:val="38"/>
  </w:num>
  <w:num w:numId="27">
    <w:abstractNumId w:val="20"/>
  </w:num>
  <w:num w:numId="28">
    <w:abstractNumId w:val="17"/>
  </w:num>
  <w:num w:numId="29">
    <w:abstractNumId w:val="37"/>
  </w:num>
  <w:num w:numId="30">
    <w:abstractNumId w:val="19"/>
  </w:num>
  <w:num w:numId="31">
    <w:abstractNumId w:val="41"/>
  </w:num>
  <w:num w:numId="32">
    <w:abstractNumId w:val="1"/>
  </w:num>
  <w:num w:numId="33">
    <w:abstractNumId w:val="0"/>
  </w:num>
  <w:num w:numId="34">
    <w:abstractNumId w:val="27"/>
  </w:num>
  <w:num w:numId="35">
    <w:abstractNumId w:val="28"/>
  </w:num>
  <w:num w:numId="36">
    <w:abstractNumId w:val="10"/>
  </w:num>
  <w:num w:numId="37">
    <w:abstractNumId w:val="26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5"/>
  </w:num>
  <w:num w:numId="42">
    <w:abstractNumId w:val="3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05BF"/>
    <w:rsid w:val="00022C8A"/>
    <w:rsid w:val="00022FA9"/>
    <w:rsid w:val="0002510A"/>
    <w:rsid w:val="00026BC1"/>
    <w:rsid w:val="000271FA"/>
    <w:rsid w:val="0003261F"/>
    <w:rsid w:val="00034883"/>
    <w:rsid w:val="00035397"/>
    <w:rsid w:val="00036F54"/>
    <w:rsid w:val="00044893"/>
    <w:rsid w:val="00045F14"/>
    <w:rsid w:val="00050AD3"/>
    <w:rsid w:val="00052566"/>
    <w:rsid w:val="00053761"/>
    <w:rsid w:val="00053842"/>
    <w:rsid w:val="00054D86"/>
    <w:rsid w:val="00061054"/>
    <w:rsid w:val="0006112D"/>
    <w:rsid w:val="00061910"/>
    <w:rsid w:val="00062303"/>
    <w:rsid w:val="0006407C"/>
    <w:rsid w:val="00072E3D"/>
    <w:rsid w:val="00073946"/>
    <w:rsid w:val="0007447B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A86"/>
    <w:rsid w:val="000A0B93"/>
    <w:rsid w:val="000A1078"/>
    <w:rsid w:val="000A3297"/>
    <w:rsid w:val="000A3CE8"/>
    <w:rsid w:val="000A6CE4"/>
    <w:rsid w:val="000A70C6"/>
    <w:rsid w:val="000B2C32"/>
    <w:rsid w:val="000B2DD7"/>
    <w:rsid w:val="000C3106"/>
    <w:rsid w:val="000D13BC"/>
    <w:rsid w:val="000D387C"/>
    <w:rsid w:val="000D3CC6"/>
    <w:rsid w:val="000D40A4"/>
    <w:rsid w:val="000D6A3C"/>
    <w:rsid w:val="000D6E5B"/>
    <w:rsid w:val="000E0270"/>
    <w:rsid w:val="000E1692"/>
    <w:rsid w:val="000E2EB8"/>
    <w:rsid w:val="000F3E93"/>
    <w:rsid w:val="000F52DE"/>
    <w:rsid w:val="00101D08"/>
    <w:rsid w:val="001051FA"/>
    <w:rsid w:val="00106686"/>
    <w:rsid w:val="00106D71"/>
    <w:rsid w:val="001073BA"/>
    <w:rsid w:val="00110ACA"/>
    <w:rsid w:val="00110E46"/>
    <w:rsid w:val="00110F37"/>
    <w:rsid w:val="00114408"/>
    <w:rsid w:val="00115112"/>
    <w:rsid w:val="00116B15"/>
    <w:rsid w:val="001243A8"/>
    <w:rsid w:val="00124B73"/>
    <w:rsid w:val="00125D97"/>
    <w:rsid w:val="00126EED"/>
    <w:rsid w:val="00130081"/>
    <w:rsid w:val="001306B1"/>
    <w:rsid w:val="00131447"/>
    <w:rsid w:val="0013333D"/>
    <w:rsid w:val="00134D4D"/>
    <w:rsid w:val="001361C6"/>
    <w:rsid w:val="00150830"/>
    <w:rsid w:val="00154159"/>
    <w:rsid w:val="00155E7A"/>
    <w:rsid w:val="00156D4B"/>
    <w:rsid w:val="00157554"/>
    <w:rsid w:val="001605B9"/>
    <w:rsid w:val="00161464"/>
    <w:rsid w:val="00163373"/>
    <w:rsid w:val="00165CC9"/>
    <w:rsid w:val="00165DC1"/>
    <w:rsid w:val="00167F6B"/>
    <w:rsid w:val="0017078D"/>
    <w:rsid w:val="00172075"/>
    <w:rsid w:val="00173050"/>
    <w:rsid w:val="00175FFF"/>
    <w:rsid w:val="00176815"/>
    <w:rsid w:val="00181212"/>
    <w:rsid w:val="00184795"/>
    <w:rsid w:val="001875E3"/>
    <w:rsid w:val="00187C71"/>
    <w:rsid w:val="001958EE"/>
    <w:rsid w:val="00197136"/>
    <w:rsid w:val="001A09BD"/>
    <w:rsid w:val="001A271F"/>
    <w:rsid w:val="001A34E7"/>
    <w:rsid w:val="001A4A8E"/>
    <w:rsid w:val="001A5431"/>
    <w:rsid w:val="001A67BD"/>
    <w:rsid w:val="001B0FC5"/>
    <w:rsid w:val="001B1C8D"/>
    <w:rsid w:val="001B3156"/>
    <w:rsid w:val="001B7D5B"/>
    <w:rsid w:val="001C0007"/>
    <w:rsid w:val="001C09BD"/>
    <w:rsid w:val="001C4F73"/>
    <w:rsid w:val="001C6316"/>
    <w:rsid w:val="001C6C9F"/>
    <w:rsid w:val="001C7B01"/>
    <w:rsid w:val="001D0C43"/>
    <w:rsid w:val="001D1628"/>
    <w:rsid w:val="001D170B"/>
    <w:rsid w:val="001D4C15"/>
    <w:rsid w:val="001E1F9E"/>
    <w:rsid w:val="001E32EA"/>
    <w:rsid w:val="001E4F85"/>
    <w:rsid w:val="001E5A7D"/>
    <w:rsid w:val="001E6DB9"/>
    <w:rsid w:val="001F2A63"/>
    <w:rsid w:val="001F30CF"/>
    <w:rsid w:val="001F4720"/>
    <w:rsid w:val="001F6060"/>
    <w:rsid w:val="00200593"/>
    <w:rsid w:val="00200CD4"/>
    <w:rsid w:val="002025B9"/>
    <w:rsid w:val="00203F0E"/>
    <w:rsid w:val="00204EFB"/>
    <w:rsid w:val="00207F01"/>
    <w:rsid w:val="002112A9"/>
    <w:rsid w:val="0021140B"/>
    <w:rsid w:val="0021318A"/>
    <w:rsid w:val="00215A42"/>
    <w:rsid w:val="00216C38"/>
    <w:rsid w:val="00220A6F"/>
    <w:rsid w:val="002213F3"/>
    <w:rsid w:val="002217FD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18DF"/>
    <w:rsid w:val="00251D8C"/>
    <w:rsid w:val="00251F48"/>
    <w:rsid w:val="00252FCF"/>
    <w:rsid w:val="00255AB5"/>
    <w:rsid w:val="00256024"/>
    <w:rsid w:val="00270137"/>
    <w:rsid w:val="00270954"/>
    <w:rsid w:val="00274BBB"/>
    <w:rsid w:val="00274BCD"/>
    <w:rsid w:val="002800AD"/>
    <w:rsid w:val="00285DBF"/>
    <w:rsid w:val="00286620"/>
    <w:rsid w:val="00292E75"/>
    <w:rsid w:val="0029332B"/>
    <w:rsid w:val="00293F26"/>
    <w:rsid w:val="002944AD"/>
    <w:rsid w:val="002A1515"/>
    <w:rsid w:val="002A2CD1"/>
    <w:rsid w:val="002A4763"/>
    <w:rsid w:val="002A59C0"/>
    <w:rsid w:val="002A6D63"/>
    <w:rsid w:val="002A7FB3"/>
    <w:rsid w:val="002B014D"/>
    <w:rsid w:val="002B0B63"/>
    <w:rsid w:val="002B1218"/>
    <w:rsid w:val="002B418F"/>
    <w:rsid w:val="002B5B18"/>
    <w:rsid w:val="002B5B41"/>
    <w:rsid w:val="002C1214"/>
    <w:rsid w:val="002C1E82"/>
    <w:rsid w:val="002C3BA8"/>
    <w:rsid w:val="002C5784"/>
    <w:rsid w:val="002C64C3"/>
    <w:rsid w:val="002C7A81"/>
    <w:rsid w:val="002D066A"/>
    <w:rsid w:val="002D144F"/>
    <w:rsid w:val="002D42BA"/>
    <w:rsid w:val="002D6902"/>
    <w:rsid w:val="002D7B6D"/>
    <w:rsid w:val="002D7DD0"/>
    <w:rsid w:val="002F18CB"/>
    <w:rsid w:val="002F3447"/>
    <w:rsid w:val="00301CB0"/>
    <w:rsid w:val="00303F72"/>
    <w:rsid w:val="00304B44"/>
    <w:rsid w:val="003107EF"/>
    <w:rsid w:val="00312725"/>
    <w:rsid w:val="00314A4E"/>
    <w:rsid w:val="003150E0"/>
    <w:rsid w:val="0032158A"/>
    <w:rsid w:val="003229FB"/>
    <w:rsid w:val="00322E62"/>
    <w:rsid w:val="003340B9"/>
    <w:rsid w:val="0033478D"/>
    <w:rsid w:val="0033482D"/>
    <w:rsid w:val="00336D80"/>
    <w:rsid w:val="00337DA3"/>
    <w:rsid w:val="00340433"/>
    <w:rsid w:val="00342135"/>
    <w:rsid w:val="0034580A"/>
    <w:rsid w:val="003462FD"/>
    <w:rsid w:val="00347B2A"/>
    <w:rsid w:val="00351798"/>
    <w:rsid w:val="00353A7D"/>
    <w:rsid w:val="00354394"/>
    <w:rsid w:val="00354C19"/>
    <w:rsid w:val="00361A02"/>
    <w:rsid w:val="00362317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3D6E"/>
    <w:rsid w:val="003945CB"/>
    <w:rsid w:val="00394845"/>
    <w:rsid w:val="0039696D"/>
    <w:rsid w:val="00397383"/>
    <w:rsid w:val="003A067D"/>
    <w:rsid w:val="003A1C6C"/>
    <w:rsid w:val="003A58BC"/>
    <w:rsid w:val="003A5A04"/>
    <w:rsid w:val="003A64FC"/>
    <w:rsid w:val="003B123A"/>
    <w:rsid w:val="003B2434"/>
    <w:rsid w:val="003B5EDB"/>
    <w:rsid w:val="003B6971"/>
    <w:rsid w:val="003B6B0B"/>
    <w:rsid w:val="003B7033"/>
    <w:rsid w:val="003C0157"/>
    <w:rsid w:val="003C564E"/>
    <w:rsid w:val="003C5C78"/>
    <w:rsid w:val="003C64E8"/>
    <w:rsid w:val="003C6723"/>
    <w:rsid w:val="003C6A14"/>
    <w:rsid w:val="003C7C74"/>
    <w:rsid w:val="003D3335"/>
    <w:rsid w:val="003D354B"/>
    <w:rsid w:val="003D5A34"/>
    <w:rsid w:val="003E3E74"/>
    <w:rsid w:val="003E4688"/>
    <w:rsid w:val="003E52ED"/>
    <w:rsid w:val="003E7178"/>
    <w:rsid w:val="003F0789"/>
    <w:rsid w:val="003F0C53"/>
    <w:rsid w:val="003F71AF"/>
    <w:rsid w:val="004007F2"/>
    <w:rsid w:val="00411530"/>
    <w:rsid w:val="0041162C"/>
    <w:rsid w:val="00411CA6"/>
    <w:rsid w:val="00412B77"/>
    <w:rsid w:val="00414405"/>
    <w:rsid w:val="0042007E"/>
    <w:rsid w:val="004240BF"/>
    <w:rsid w:val="00424F2B"/>
    <w:rsid w:val="00426390"/>
    <w:rsid w:val="00427B6F"/>
    <w:rsid w:val="0043366F"/>
    <w:rsid w:val="004339E2"/>
    <w:rsid w:val="004348E0"/>
    <w:rsid w:val="00436E40"/>
    <w:rsid w:val="00437B4E"/>
    <w:rsid w:val="00441AC4"/>
    <w:rsid w:val="00442C2D"/>
    <w:rsid w:val="00446E2A"/>
    <w:rsid w:val="00447D82"/>
    <w:rsid w:val="00451EE1"/>
    <w:rsid w:val="00452C78"/>
    <w:rsid w:val="004539BE"/>
    <w:rsid w:val="00453A50"/>
    <w:rsid w:val="00453FB4"/>
    <w:rsid w:val="0045428E"/>
    <w:rsid w:val="00461FBC"/>
    <w:rsid w:val="00466FCB"/>
    <w:rsid w:val="00467DC2"/>
    <w:rsid w:val="00472C7A"/>
    <w:rsid w:val="0047335D"/>
    <w:rsid w:val="004745E2"/>
    <w:rsid w:val="00474D0E"/>
    <w:rsid w:val="00475207"/>
    <w:rsid w:val="00475A2F"/>
    <w:rsid w:val="00480A1F"/>
    <w:rsid w:val="00484715"/>
    <w:rsid w:val="00484C55"/>
    <w:rsid w:val="004870DE"/>
    <w:rsid w:val="0048783D"/>
    <w:rsid w:val="00490C14"/>
    <w:rsid w:val="00493387"/>
    <w:rsid w:val="00495A6E"/>
    <w:rsid w:val="004975A9"/>
    <w:rsid w:val="004A30EE"/>
    <w:rsid w:val="004A3AB0"/>
    <w:rsid w:val="004B0651"/>
    <w:rsid w:val="004B1977"/>
    <w:rsid w:val="004B4013"/>
    <w:rsid w:val="004B424A"/>
    <w:rsid w:val="004B4F84"/>
    <w:rsid w:val="004B7906"/>
    <w:rsid w:val="004C1BDB"/>
    <w:rsid w:val="004C34E1"/>
    <w:rsid w:val="004C3B01"/>
    <w:rsid w:val="004C68AA"/>
    <w:rsid w:val="004D0B9D"/>
    <w:rsid w:val="004D22B9"/>
    <w:rsid w:val="004D5A2F"/>
    <w:rsid w:val="004E04F8"/>
    <w:rsid w:val="004E2A09"/>
    <w:rsid w:val="004E3A27"/>
    <w:rsid w:val="004E4117"/>
    <w:rsid w:val="004E660F"/>
    <w:rsid w:val="004F2072"/>
    <w:rsid w:val="004F6872"/>
    <w:rsid w:val="004F74BC"/>
    <w:rsid w:val="00501399"/>
    <w:rsid w:val="005045A0"/>
    <w:rsid w:val="0050473D"/>
    <w:rsid w:val="00506840"/>
    <w:rsid w:val="00507465"/>
    <w:rsid w:val="00507C1E"/>
    <w:rsid w:val="00510446"/>
    <w:rsid w:val="00510B32"/>
    <w:rsid w:val="00510E8B"/>
    <w:rsid w:val="005135D3"/>
    <w:rsid w:val="00513891"/>
    <w:rsid w:val="00513A8B"/>
    <w:rsid w:val="00514B86"/>
    <w:rsid w:val="00515359"/>
    <w:rsid w:val="00515786"/>
    <w:rsid w:val="00523E86"/>
    <w:rsid w:val="005251FD"/>
    <w:rsid w:val="005272E2"/>
    <w:rsid w:val="00527EA5"/>
    <w:rsid w:val="00527EC7"/>
    <w:rsid w:val="005312F5"/>
    <w:rsid w:val="00531C9B"/>
    <w:rsid w:val="00532AC5"/>
    <w:rsid w:val="005361C9"/>
    <w:rsid w:val="005364C0"/>
    <w:rsid w:val="00537D5D"/>
    <w:rsid w:val="00544F92"/>
    <w:rsid w:val="00545171"/>
    <w:rsid w:val="00546170"/>
    <w:rsid w:val="0054711F"/>
    <w:rsid w:val="0055072D"/>
    <w:rsid w:val="00552490"/>
    <w:rsid w:val="005533F6"/>
    <w:rsid w:val="00553F79"/>
    <w:rsid w:val="00554CFA"/>
    <w:rsid w:val="0056163C"/>
    <w:rsid w:val="00564D84"/>
    <w:rsid w:val="00567854"/>
    <w:rsid w:val="00570631"/>
    <w:rsid w:val="005736EB"/>
    <w:rsid w:val="0057609B"/>
    <w:rsid w:val="00582467"/>
    <w:rsid w:val="005839AF"/>
    <w:rsid w:val="005848C1"/>
    <w:rsid w:val="005849D8"/>
    <w:rsid w:val="00585124"/>
    <w:rsid w:val="0058722D"/>
    <w:rsid w:val="005903F3"/>
    <w:rsid w:val="005A1D09"/>
    <w:rsid w:val="005A3791"/>
    <w:rsid w:val="005A7FF5"/>
    <w:rsid w:val="005B0F08"/>
    <w:rsid w:val="005B110F"/>
    <w:rsid w:val="005B118C"/>
    <w:rsid w:val="005B194E"/>
    <w:rsid w:val="005B23C4"/>
    <w:rsid w:val="005B331E"/>
    <w:rsid w:val="005B444C"/>
    <w:rsid w:val="005B4F0F"/>
    <w:rsid w:val="005B51FF"/>
    <w:rsid w:val="005B520D"/>
    <w:rsid w:val="005B556C"/>
    <w:rsid w:val="005B6BBF"/>
    <w:rsid w:val="005C0A15"/>
    <w:rsid w:val="005C13A2"/>
    <w:rsid w:val="005C5D9A"/>
    <w:rsid w:val="005D120B"/>
    <w:rsid w:val="005D2382"/>
    <w:rsid w:val="005D415F"/>
    <w:rsid w:val="005D55A1"/>
    <w:rsid w:val="005D7217"/>
    <w:rsid w:val="005D7E95"/>
    <w:rsid w:val="005E214D"/>
    <w:rsid w:val="005E40D4"/>
    <w:rsid w:val="005E47B4"/>
    <w:rsid w:val="005E49E3"/>
    <w:rsid w:val="005E6468"/>
    <w:rsid w:val="005E6E25"/>
    <w:rsid w:val="005E75A3"/>
    <w:rsid w:val="005F0683"/>
    <w:rsid w:val="005F0688"/>
    <w:rsid w:val="005F0EBD"/>
    <w:rsid w:val="005F1A16"/>
    <w:rsid w:val="005F2226"/>
    <w:rsid w:val="005F223B"/>
    <w:rsid w:val="005F26B6"/>
    <w:rsid w:val="005F5CFA"/>
    <w:rsid w:val="005F7A29"/>
    <w:rsid w:val="006000B3"/>
    <w:rsid w:val="006001AD"/>
    <w:rsid w:val="006005F4"/>
    <w:rsid w:val="00600A5F"/>
    <w:rsid w:val="006011B8"/>
    <w:rsid w:val="00612328"/>
    <w:rsid w:val="006127B8"/>
    <w:rsid w:val="00613DA2"/>
    <w:rsid w:val="00621779"/>
    <w:rsid w:val="00622FAC"/>
    <w:rsid w:val="006230F5"/>
    <w:rsid w:val="00627741"/>
    <w:rsid w:val="00633E14"/>
    <w:rsid w:val="00634A7E"/>
    <w:rsid w:val="0063701F"/>
    <w:rsid w:val="00643B2F"/>
    <w:rsid w:val="00644EDE"/>
    <w:rsid w:val="0064758C"/>
    <w:rsid w:val="00650FDC"/>
    <w:rsid w:val="006572B1"/>
    <w:rsid w:val="00657558"/>
    <w:rsid w:val="006577D8"/>
    <w:rsid w:val="00665242"/>
    <w:rsid w:val="00665F46"/>
    <w:rsid w:val="00666A13"/>
    <w:rsid w:val="00666AA9"/>
    <w:rsid w:val="006679AD"/>
    <w:rsid w:val="00667B50"/>
    <w:rsid w:val="00673BA4"/>
    <w:rsid w:val="00673C52"/>
    <w:rsid w:val="0068234C"/>
    <w:rsid w:val="00683881"/>
    <w:rsid w:val="00690688"/>
    <w:rsid w:val="006910C8"/>
    <w:rsid w:val="006919FF"/>
    <w:rsid w:val="0069258C"/>
    <w:rsid w:val="00696C1C"/>
    <w:rsid w:val="00696C29"/>
    <w:rsid w:val="006A18F3"/>
    <w:rsid w:val="006B38B0"/>
    <w:rsid w:val="006B76E1"/>
    <w:rsid w:val="006C008D"/>
    <w:rsid w:val="006C285A"/>
    <w:rsid w:val="006C344E"/>
    <w:rsid w:val="006C45A8"/>
    <w:rsid w:val="006D4C4B"/>
    <w:rsid w:val="006D6735"/>
    <w:rsid w:val="006D7301"/>
    <w:rsid w:val="006E1A16"/>
    <w:rsid w:val="006E27F8"/>
    <w:rsid w:val="006E2B6D"/>
    <w:rsid w:val="006E3DDC"/>
    <w:rsid w:val="006E6EF2"/>
    <w:rsid w:val="006F00D4"/>
    <w:rsid w:val="006F0AC8"/>
    <w:rsid w:val="006F3470"/>
    <w:rsid w:val="006F3F34"/>
    <w:rsid w:val="006F44E4"/>
    <w:rsid w:val="006F4E8C"/>
    <w:rsid w:val="006F5753"/>
    <w:rsid w:val="006F5A53"/>
    <w:rsid w:val="00703C5E"/>
    <w:rsid w:val="007047B7"/>
    <w:rsid w:val="00704877"/>
    <w:rsid w:val="0070498F"/>
    <w:rsid w:val="00705A23"/>
    <w:rsid w:val="00706822"/>
    <w:rsid w:val="00706ACB"/>
    <w:rsid w:val="00711825"/>
    <w:rsid w:val="0071393F"/>
    <w:rsid w:val="00713A82"/>
    <w:rsid w:val="007153AD"/>
    <w:rsid w:val="007271D6"/>
    <w:rsid w:val="0072721F"/>
    <w:rsid w:val="00732F35"/>
    <w:rsid w:val="0074021C"/>
    <w:rsid w:val="007403C0"/>
    <w:rsid w:val="00740968"/>
    <w:rsid w:val="00741721"/>
    <w:rsid w:val="00744B78"/>
    <w:rsid w:val="00745D93"/>
    <w:rsid w:val="00746061"/>
    <w:rsid w:val="007478FC"/>
    <w:rsid w:val="00753596"/>
    <w:rsid w:val="00753CE8"/>
    <w:rsid w:val="00763575"/>
    <w:rsid w:val="0076476D"/>
    <w:rsid w:val="007652A2"/>
    <w:rsid w:val="00765CA6"/>
    <w:rsid w:val="0076634B"/>
    <w:rsid w:val="00771758"/>
    <w:rsid w:val="0077436F"/>
    <w:rsid w:val="0077455F"/>
    <w:rsid w:val="00774C98"/>
    <w:rsid w:val="00776EC3"/>
    <w:rsid w:val="00782943"/>
    <w:rsid w:val="007848AB"/>
    <w:rsid w:val="00784A59"/>
    <w:rsid w:val="007853B5"/>
    <w:rsid w:val="007864B5"/>
    <w:rsid w:val="00792F7A"/>
    <w:rsid w:val="00795DAE"/>
    <w:rsid w:val="00797491"/>
    <w:rsid w:val="00797788"/>
    <w:rsid w:val="007A176E"/>
    <w:rsid w:val="007A190A"/>
    <w:rsid w:val="007A5ABF"/>
    <w:rsid w:val="007A6B53"/>
    <w:rsid w:val="007A6D51"/>
    <w:rsid w:val="007A7427"/>
    <w:rsid w:val="007B0972"/>
    <w:rsid w:val="007B0DF6"/>
    <w:rsid w:val="007B2B77"/>
    <w:rsid w:val="007B6064"/>
    <w:rsid w:val="007C008F"/>
    <w:rsid w:val="007C0E86"/>
    <w:rsid w:val="007C5463"/>
    <w:rsid w:val="007C70AF"/>
    <w:rsid w:val="007D05B9"/>
    <w:rsid w:val="007D143D"/>
    <w:rsid w:val="007D3B7A"/>
    <w:rsid w:val="007E6004"/>
    <w:rsid w:val="007E6372"/>
    <w:rsid w:val="007F04BE"/>
    <w:rsid w:val="007F2B91"/>
    <w:rsid w:val="007F6FDE"/>
    <w:rsid w:val="00802B85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2E1C"/>
    <w:rsid w:val="00823CEB"/>
    <w:rsid w:val="0082420C"/>
    <w:rsid w:val="008256D3"/>
    <w:rsid w:val="00825F9C"/>
    <w:rsid w:val="00826833"/>
    <w:rsid w:val="008322A4"/>
    <w:rsid w:val="00841E3C"/>
    <w:rsid w:val="008430FE"/>
    <w:rsid w:val="00843877"/>
    <w:rsid w:val="008444AF"/>
    <w:rsid w:val="00844FBE"/>
    <w:rsid w:val="00851389"/>
    <w:rsid w:val="00856F7C"/>
    <w:rsid w:val="008571FF"/>
    <w:rsid w:val="00857716"/>
    <w:rsid w:val="0086040C"/>
    <w:rsid w:val="008615C0"/>
    <w:rsid w:val="008626D0"/>
    <w:rsid w:val="00862C46"/>
    <w:rsid w:val="00864E5E"/>
    <w:rsid w:val="00866732"/>
    <w:rsid w:val="008668E1"/>
    <w:rsid w:val="00866BB5"/>
    <w:rsid w:val="0086713F"/>
    <w:rsid w:val="0087011D"/>
    <w:rsid w:val="00870155"/>
    <w:rsid w:val="0087017A"/>
    <w:rsid w:val="00872F85"/>
    <w:rsid w:val="00874B25"/>
    <w:rsid w:val="00876316"/>
    <w:rsid w:val="00877DC5"/>
    <w:rsid w:val="00880A93"/>
    <w:rsid w:val="00886038"/>
    <w:rsid w:val="008906E9"/>
    <w:rsid w:val="008909A9"/>
    <w:rsid w:val="0089182B"/>
    <w:rsid w:val="00894FFA"/>
    <w:rsid w:val="008962B4"/>
    <w:rsid w:val="00896CED"/>
    <w:rsid w:val="008A55B5"/>
    <w:rsid w:val="008A5DEF"/>
    <w:rsid w:val="008B0F40"/>
    <w:rsid w:val="008B17C7"/>
    <w:rsid w:val="008B283D"/>
    <w:rsid w:val="008B32F6"/>
    <w:rsid w:val="008B47E0"/>
    <w:rsid w:val="008B5DB9"/>
    <w:rsid w:val="008D27B9"/>
    <w:rsid w:val="008D2F8A"/>
    <w:rsid w:val="008E4E12"/>
    <w:rsid w:val="008E7713"/>
    <w:rsid w:val="008E7EF4"/>
    <w:rsid w:val="008F40EC"/>
    <w:rsid w:val="008F4D63"/>
    <w:rsid w:val="008F6245"/>
    <w:rsid w:val="00906516"/>
    <w:rsid w:val="009079A5"/>
    <w:rsid w:val="009105C1"/>
    <w:rsid w:val="00911F3A"/>
    <w:rsid w:val="00912F99"/>
    <w:rsid w:val="0091304C"/>
    <w:rsid w:val="00915BA5"/>
    <w:rsid w:val="00917013"/>
    <w:rsid w:val="00922374"/>
    <w:rsid w:val="009256AB"/>
    <w:rsid w:val="00930EC8"/>
    <w:rsid w:val="0093325B"/>
    <w:rsid w:val="00933619"/>
    <w:rsid w:val="00936327"/>
    <w:rsid w:val="00937454"/>
    <w:rsid w:val="009406E7"/>
    <w:rsid w:val="00941A33"/>
    <w:rsid w:val="00941D54"/>
    <w:rsid w:val="009461C8"/>
    <w:rsid w:val="00950E56"/>
    <w:rsid w:val="00951288"/>
    <w:rsid w:val="00954ADE"/>
    <w:rsid w:val="00960417"/>
    <w:rsid w:val="00960EA0"/>
    <w:rsid w:val="00962392"/>
    <w:rsid w:val="009647D1"/>
    <w:rsid w:val="00964BBB"/>
    <w:rsid w:val="0096645F"/>
    <w:rsid w:val="009665E1"/>
    <w:rsid w:val="0097053C"/>
    <w:rsid w:val="00976E43"/>
    <w:rsid w:val="00985810"/>
    <w:rsid w:val="00991819"/>
    <w:rsid w:val="009918FB"/>
    <w:rsid w:val="00992067"/>
    <w:rsid w:val="00994048"/>
    <w:rsid w:val="00994E47"/>
    <w:rsid w:val="0099547A"/>
    <w:rsid w:val="009A0199"/>
    <w:rsid w:val="009A2374"/>
    <w:rsid w:val="009A287E"/>
    <w:rsid w:val="009A423F"/>
    <w:rsid w:val="009A500F"/>
    <w:rsid w:val="009A5297"/>
    <w:rsid w:val="009B01E8"/>
    <w:rsid w:val="009B1BA0"/>
    <w:rsid w:val="009B3D5C"/>
    <w:rsid w:val="009B661B"/>
    <w:rsid w:val="009C073F"/>
    <w:rsid w:val="009C1634"/>
    <w:rsid w:val="009C20DD"/>
    <w:rsid w:val="009C4448"/>
    <w:rsid w:val="009C547B"/>
    <w:rsid w:val="009C5AB4"/>
    <w:rsid w:val="009C5BD3"/>
    <w:rsid w:val="009D0B21"/>
    <w:rsid w:val="009D3BCB"/>
    <w:rsid w:val="009E425E"/>
    <w:rsid w:val="009F016B"/>
    <w:rsid w:val="009F1842"/>
    <w:rsid w:val="009F2D55"/>
    <w:rsid w:val="009F3B86"/>
    <w:rsid w:val="009F442E"/>
    <w:rsid w:val="009F4AC1"/>
    <w:rsid w:val="009F7328"/>
    <w:rsid w:val="00A00A3E"/>
    <w:rsid w:val="00A06441"/>
    <w:rsid w:val="00A07DDD"/>
    <w:rsid w:val="00A10060"/>
    <w:rsid w:val="00A1015D"/>
    <w:rsid w:val="00A11638"/>
    <w:rsid w:val="00A12200"/>
    <w:rsid w:val="00A136FE"/>
    <w:rsid w:val="00A16341"/>
    <w:rsid w:val="00A1744D"/>
    <w:rsid w:val="00A22BDD"/>
    <w:rsid w:val="00A23A72"/>
    <w:rsid w:val="00A25AED"/>
    <w:rsid w:val="00A262DA"/>
    <w:rsid w:val="00A27A0F"/>
    <w:rsid w:val="00A45272"/>
    <w:rsid w:val="00A4593B"/>
    <w:rsid w:val="00A46445"/>
    <w:rsid w:val="00A46C70"/>
    <w:rsid w:val="00A47300"/>
    <w:rsid w:val="00A51360"/>
    <w:rsid w:val="00A54412"/>
    <w:rsid w:val="00A5679B"/>
    <w:rsid w:val="00A6788E"/>
    <w:rsid w:val="00A716D3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94"/>
    <w:rsid w:val="00A971F3"/>
    <w:rsid w:val="00A974AA"/>
    <w:rsid w:val="00A97580"/>
    <w:rsid w:val="00AA2F73"/>
    <w:rsid w:val="00AA7AF9"/>
    <w:rsid w:val="00AA7B18"/>
    <w:rsid w:val="00AB05F3"/>
    <w:rsid w:val="00AC449B"/>
    <w:rsid w:val="00AC5A7A"/>
    <w:rsid w:val="00AC5E42"/>
    <w:rsid w:val="00AC60C6"/>
    <w:rsid w:val="00AC7C1E"/>
    <w:rsid w:val="00AD1237"/>
    <w:rsid w:val="00AD7346"/>
    <w:rsid w:val="00AE10B0"/>
    <w:rsid w:val="00AE12C7"/>
    <w:rsid w:val="00AE266D"/>
    <w:rsid w:val="00AE2B6B"/>
    <w:rsid w:val="00AE2E75"/>
    <w:rsid w:val="00AE31AF"/>
    <w:rsid w:val="00AE442E"/>
    <w:rsid w:val="00AE65E4"/>
    <w:rsid w:val="00AE7FDD"/>
    <w:rsid w:val="00AF5E7A"/>
    <w:rsid w:val="00AF64D8"/>
    <w:rsid w:val="00B012C9"/>
    <w:rsid w:val="00B125A6"/>
    <w:rsid w:val="00B15788"/>
    <w:rsid w:val="00B16DE2"/>
    <w:rsid w:val="00B17AF3"/>
    <w:rsid w:val="00B17EBE"/>
    <w:rsid w:val="00B2143E"/>
    <w:rsid w:val="00B2146A"/>
    <w:rsid w:val="00B2235F"/>
    <w:rsid w:val="00B239FE"/>
    <w:rsid w:val="00B24C21"/>
    <w:rsid w:val="00B250FB"/>
    <w:rsid w:val="00B262B2"/>
    <w:rsid w:val="00B31757"/>
    <w:rsid w:val="00B32BCD"/>
    <w:rsid w:val="00B35815"/>
    <w:rsid w:val="00B371C4"/>
    <w:rsid w:val="00B4057E"/>
    <w:rsid w:val="00B41085"/>
    <w:rsid w:val="00B46090"/>
    <w:rsid w:val="00B501D6"/>
    <w:rsid w:val="00B518BE"/>
    <w:rsid w:val="00B56435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0656"/>
    <w:rsid w:val="00B93E7D"/>
    <w:rsid w:val="00B9457F"/>
    <w:rsid w:val="00B95F12"/>
    <w:rsid w:val="00BB0565"/>
    <w:rsid w:val="00BB49A2"/>
    <w:rsid w:val="00BB5BFA"/>
    <w:rsid w:val="00BB6DC3"/>
    <w:rsid w:val="00BB6FB8"/>
    <w:rsid w:val="00BC05A7"/>
    <w:rsid w:val="00BC0F5E"/>
    <w:rsid w:val="00BC2526"/>
    <w:rsid w:val="00BC5CFD"/>
    <w:rsid w:val="00BC6E02"/>
    <w:rsid w:val="00BC7610"/>
    <w:rsid w:val="00BD2E15"/>
    <w:rsid w:val="00BD4C6F"/>
    <w:rsid w:val="00BE00E1"/>
    <w:rsid w:val="00BE101F"/>
    <w:rsid w:val="00BE1308"/>
    <w:rsid w:val="00BE2474"/>
    <w:rsid w:val="00BF1798"/>
    <w:rsid w:val="00BF28F5"/>
    <w:rsid w:val="00BF2C4D"/>
    <w:rsid w:val="00BF3189"/>
    <w:rsid w:val="00BF3DB1"/>
    <w:rsid w:val="00BF696D"/>
    <w:rsid w:val="00BF6C55"/>
    <w:rsid w:val="00BF7305"/>
    <w:rsid w:val="00C00949"/>
    <w:rsid w:val="00C01C90"/>
    <w:rsid w:val="00C03732"/>
    <w:rsid w:val="00C0586C"/>
    <w:rsid w:val="00C059EB"/>
    <w:rsid w:val="00C05AF7"/>
    <w:rsid w:val="00C064D4"/>
    <w:rsid w:val="00C06C2C"/>
    <w:rsid w:val="00C10277"/>
    <w:rsid w:val="00C11783"/>
    <w:rsid w:val="00C11A89"/>
    <w:rsid w:val="00C12A1A"/>
    <w:rsid w:val="00C16D07"/>
    <w:rsid w:val="00C20B8E"/>
    <w:rsid w:val="00C22AC5"/>
    <w:rsid w:val="00C26A7F"/>
    <w:rsid w:val="00C27024"/>
    <w:rsid w:val="00C27BBB"/>
    <w:rsid w:val="00C30DE7"/>
    <w:rsid w:val="00C339D8"/>
    <w:rsid w:val="00C34FED"/>
    <w:rsid w:val="00C376F7"/>
    <w:rsid w:val="00C37BFD"/>
    <w:rsid w:val="00C37FDC"/>
    <w:rsid w:val="00C44870"/>
    <w:rsid w:val="00C50AA2"/>
    <w:rsid w:val="00C52E83"/>
    <w:rsid w:val="00C5538B"/>
    <w:rsid w:val="00C559E6"/>
    <w:rsid w:val="00C55F74"/>
    <w:rsid w:val="00C70C26"/>
    <w:rsid w:val="00C717BF"/>
    <w:rsid w:val="00C7339E"/>
    <w:rsid w:val="00C74B8C"/>
    <w:rsid w:val="00C770F6"/>
    <w:rsid w:val="00C80EF7"/>
    <w:rsid w:val="00C814C2"/>
    <w:rsid w:val="00C906B0"/>
    <w:rsid w:val="00C93D93"/>
    <w:rsid w:val="00C93DC7"/>
    <w:rsid w:val="00C940BB"/>
    <w:rsid w:val="00C94FA8"/>
    <w:rsid w:val="00CA247C"/>
    <w:rsid w:val="00CB1C42"/>
    <w:rsid w:val="00CB1F17"/>
    <w:rsid w:val="00CC0732"/>
    <w:rsid w:val="00CC2EFC"/>
    <w:rsid w:val="00CC2F04"/>
    <w:rsid w:val="00CC3A20"/>
    <w:rsid w:val="00CC524D"/>
    <w:rsid w:val="00CD3F00"/>
    <w:rsid w:val="00CD6869"/>
    <w:rsid w:val="00CD77B9"/>
    <w:rsid w:val="00CD7FB1"/>
    <w:rsid w:val="00CE0BB5"/>
    <w:rsid w:val="00CE4DCC"/>
    <w:rsid w:val="00CE6CFF"/>
    <w:rsid w:val="00CE6FE4"/>
    <w:rsid w:val="00CE7267"/>
    <w:rsid w:val="00CE7AC1"/>
    <w:rsid w:val="00CF17F8"/>
    <w:rsid w:val="00CF249D"/>
    <w:rsid w:val="00D01638"/>
    <w:rsid w:val="00D05351"/>
    <w:rsid w:val="00D0547D"/>
    <w:rsid w:val="00D07216"/>
    <w:rsid w:val="00D11652"/>
    <w:rsid w:val="00D12215"/>
    <w:rsid w:val="00D13CAD"/>
    <w:rsid w:val="00D20C3F"/>
    <w:rsid w:val="00D2224B"/>
    <w:rsid w:val="00D24D56"/>
    <w:rsid w:val="00D25C53"/>
    <w:rsid w:val="00D30875"/>
    <w:rsid w:val="00D329F5"/>
    <w:rsid w:val="00D33BAC"/>
    <w:rsid w:val="00D34E3D"/>
    <w:rsid w:val="00D372FB"/>
    <w:rsid w:val="00D43DEF"/>
    <w:rsid w:val="00D45696"/>
    <w:rsid w:val="00D4641D"/>
    <w:rsid w:val="00D466F0"/>
    <w:rsid w:val="00D46919"/>
    <w:rsid w:val="00D509DF"/>
    <w:rsid w:val="00D51678"/>
    <w:rsid w:val="00D526CE"/>
    <w:rsid w:val="00D6391F"/>
    <w:rsid w:val="00D6438C"/>
    <w:rsid w:val="00D655A4"/>
    <w:rsid w:val="00D66BC7"/>
    <w:rsid w:val="00D67554"/>
    <w:rsid w:val="00D675E1"/>
    <w:rsid w:val="00D709F0"/>
    <w:rsid w:val="00D715C8"/>
    <w:rsid w:val="00D720D2"/>
    <w:rsid w:val="00D72A85"/>
    <w:rsid w:val="00D734B3"/>
    <w:rsid w:val="00D73706"/>
    <w:rsid w:val="00D81286"/>
    <w:rsid w:val="00D87EA8"/>
    <w:rsid w:val="00D977E8"/>
    <w:rsid w:val="00DA141D"/>
    <w:rsid w:val="00DA1B8E"/>
    <w:rsid w:val="00DA48EF"/>
    <w:rsid w:val="00DA4F60"/>
    <w:rsid w:val="00DA56F1"/>
    <w:rsid w:val="00DA60C0"/>
    <w:rsid w:val="00DB151E"/>
    <w:rsid w:val="00DB25FA"/>
    <w:rsid w:val="00DB2781"/>
    <w:rsid w:val="00DC66CC"/>
    <w:rsid w:val="00DD3766"/>
    <w:rsid w:val="00DD3997"/>
    <w:rsid w:val="00DD3DBC"/>
    <w:rsid w:val="00DD6050"/>
    <w:rsid w:val="00DD6FAA"/>
    <w:rsid w:val="00DD7C37"/>
    <w:rsid w:val="00DE0375"/>
    <w:rsid w:val="00DE13F1"/>
    <w:rsid w:val="00DE154B"/>
    <w:rsid w:val="00DE16E7"/>
    <w:rsid w:val="00DE6889"/>
    <w:rsid w:val="00DE697C"/>
    <w:rsid w:val="00DE73D9"/>
    <w:rsid w:val="00DE75F7"/>
    <w:rsid w:val="00DE7704"/>
    <w:rsid w:val="00DF03A8"/>
    <w:rsid w:val="00DF0AC8"/>
    <w:rsid w:val="00DF3A95"/>
    <w:rsid w:val="00DF4958"/>
    <w:rsid w:val="00DF4EC9"/>
    <w:rsid w:val="00DF56F9"/>
    <w:rsid w:val="00DF60F2"/>
    <w:rsid w:val="00DF663F"/>
    <w:rsid w:val="00E01F5A"/>
    <w:rsid w:val="00E0250D"/>
    <w:rsid w:val="00E03E8C"/>
    <w:rsid w:val="00E0571A"/>
    <w:rsid w:val="00E05893"/>
    <w:rsid w:val="00E07DB3"/>
    <w:rsid w:val="00E119BD"/>
    <w:rsid w:val="00E124C3"/>
    <w:rsid w:val="00E12B7B"/>
    <w:rsid w:val="00E13A85"/>
    <w:rsid w:val="00E14124"/>
    <w:rsid w:val="00E15B1B"/>
    <w:rsid w:val="00E27F1F"/>
    <w:rsid w:val="00E3200A"/>
    <w:rsid w:val="00E33BF2"/>
    <w:rsid w:val="00E35F55"/>
    <w:rsid w:val="00E37101"/>
    <w:rsid w:val="00E4484F"/>
    <w:rsid w:val="00E44E53"/>
    <w:rsid w:val="00E45D2A"/>
    <w:rsid w:val="00E47037"/>
    <w:rsid w:val="00E506E7"/>
    <w:rsid w:val="00E50922"/>
    <w:rsid w:val="00E567BB"/>
    <w:rsid w:val="00E602E9"/>
    <w:rsid w:val="00E60F52"/>
    <w:rsid w:val="00E62BC8"/>
    <w:rsid w:val="00E63FA0"/>
    <w:rsid w:val="00E64C20"/>
    <w:rsid w:val="00E726CD"/>
    <w:rsid w:val="00E7461B"/>
    <w:rsid w:val="00E77941"/>
    <w:rsid w:val="00E843CC"/>
    <w:rsid w:val="00E84870"/>
    <w:rsid w:val="00E85E06"/>
    <w:rsid w:val="00E86D82"/>
    <w:rsid w:val="00E86E8A"/>
    <w:rsid w:val="00E9016A"/>
    <w:rsid w:val="00E90397"/>
    <w:rsid w:val="00E9045E"/>
    <w:rsid w:val="00E90FA0"/>
    <w:rsid w:val="00E92EFF"/>
    <w:rsid w:val="00E94CEB"/>
    <w:rsid w:val="00EA367F"/>
    <w:rsid w:val="00EA450D"/>
    <w:rsid w:val="00EA61A2"/>
    <w:rsid w:val="00EA6978"/>
    <w:rsid w:val="00EA7646"/>
    <w:rsid w:val="00EB16F9"/>
    <w:rsid w:val="00EB1AAB"/>
    <w:rsid w:val="00EB4D2E"/>
    <w:rsid w:val="00EB7AAF"/>
    <w:rsid w:val="00EC4311"/>
    <w:rsid w:val="00EC6129"/>
    <w:rsid w:val="00ED2E76"/>
    <w:rsid w:val="00EE2AA7"/>
    <w:rsid w:val="00EE67AD"/>
    <w:rsid w:val="00EF0F5B"/>
    <w:rsid w:val="00EF18FD"/>
    <w:rsid w:val="00EF1F54"/>
    <w:rsid w:val="00EF2771"/>
    <w:rsid w:val="00EF4027"/>
    <w:rsid w:val="00EF6B56"/>
    <w:rsid w:val="00EF6E31"/>
    <w:rsid w:val="00EF74F9"/>
    <w:rsid w:val="00F04627"/>
    <w:rsid w:val="00F06073"/>
    <w:rsid w:val="00F07673"/>
    <w:rsid w:val="00F233B1"/>
    <w:rsid w:val="00F23501"/>
    <w:rsid w:val="00F2489A"/>
    <w:rsid w:val="00F25005"/>
    <w:rsid w:val="00F252F6"/>
    <w:rsid w:val="00F25FA9"/>
    <w:rsid w:val="00F30A9A"/>
    <w:rsid w:val="00F33D67"/>
    <w:rsid w:val="00F35DAB"/>
    <w:rsid w:val="00F443AD"/>
    <w:rsid w:val="00F446BD"/>
    <w:rsid w:val="00F44AF7"/>
    <w:rsid w:val="00F44BAB"/>
    <w:rsid w:val="00F4596B"/>
    <w:rsid w:val="00F5040D"/>
    <w:rsid w:val="00F50DD0"/>
    <w:rsid w:val="00F51382"/>
    <w:rsid w:val="00F52270"/>
    <w:rsid w:val="00F5349E"/>
    <w:rsid w:val="00F536A1"/>
    <w:rsid w:val="00F544CD"/>
    <w:rsid w:val="00F57219"/>
    <w:rsid w:val="00F5726E"/>
    <w:rsid w:val="00F615E5"/>
    <w:rsid w:val="00F6226D"/>
    <w:rsid w:val="00F65AB3"/>
    <w:rsid w:val="00F74767"/>
    <w:rsid w:val="00F74AB0"/>
    <w:rsid w:val="00F75FD3"/>
    <w:rsid w:val="00F76254"/>
    <w:rsid w:val="00F816AE"/>
    <w:rsid w:val="00F85EE8"/>
    <w:rsid w:val="00F86555"/>
    <w:rsid w:val="00F87B6A"/>
    <w:rsid w:val="00F97997"/>
    <w:rsid w:val="00F97FDF"/>
    <w:rsid w:val="00FA0610"/>
    <w:rsid w:val="00FA4F75"/>
    <w:rsid w:val="00FA59BF"/>
    <w:rsid w:val="00FA7A50"/>
    <w:rsid w:val="00FB0005"/>
    <w:rsid w:val="00FB1FB8"/>
    <w:rsid w:val="00FB5463"/>
    <w:rsid w:val="00FB7367"/>
    <w:rsid w:val="00FC1B4E"/>
    <w:rsid w:val="00FC1C66"/>
    <w:rsid w:val="00FC3D7F"/>
    <w:rsid w:val="00FC442A"/>
    <w:rsid w:val="00FC49BE"/>
    <w:rsid w:val="00FC5942"/>
    <w:rsid w:val="00FC6B03"/>
    <w:rsid w:val="00FC7296"/>
    <w:rsid w:val="00FD1AEF"/>
    <w:rsid w:val="00FD3DB8"/>
    <w:rsid w:val="00FD5FAA"/>
    <w:rsid w:val="00FD68E8"/>
    <w:rsid w:val="00FE0FE1"/>
    <w:rsid w:val="00FE24B1"/>
    <w:rsid w:val="00FE2D5F"/>
    <w:rsid w:val="00FE360E"/>
    <w:rsid w:val="00FE443B"/>
    <w:rsid w:val="00FE5A86"/>
    <w:rsid w:val="00FE7AB8"/>
    <w:rsid w:val="00FE7B6F"/>
    <w:rsid w:val="00FF1045"/>
    <w:rsid w:val="00FF11FB"/>
    <w:rsid w:val="00FF18EB"/>
    <w:rsid w:val="00FF4CA3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5B194E"/>
    <w:pPr>
      <w:ind w:left="720"/>
      <w:contextualSpacing/>
    </w:pPr>
  </w:style>
  <w:style w:type="paragraph" w:styleId="Revision">
    <w:name w:val="Revision"/>
    <w:hidden/>
    <w:uiPriority w:val="99"/>
    <w:semiHidden/>
    <w:rsid w:val="00DE697C"/>
    <w:rPr>
      <w:sz w:val="24"/>
      <w:szCs w:val="24"/>
    </w:rPr>
  </w:style>
  <w:style w:type="paragraph" w:customStyle="1" w:styleId="Definition">
    <w:name w:val="Definition"/>
    <w:aliases w:val="dd"/>
    <w:basedOn w:val="Normal"/>
    <w:rsid w:val="00DC66CC"/>
    <w:pPr>
      <w:spacing w:before="180"/>
      <w:ind w:left="1134"/>
    </w:pPr>
    <w:rPr>
      <w:sz w:val="22"/>
      <w:szCs w:val="20"/>
    </w:rPr>
  </w:style>
  <w:style w:type="character" w:styleId="FollowedHyperlink">
    <w:name w:val="FollowedHyperlink"/>
    <w:basedOn w:val="DefaultParagraphFont"/>
    <w:rsid w:val="00DB151E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B1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5B194E"/>
    <w:pPr>
      <w:ind w:left="720"/>
      <w:contextualSpacing/>
    </w:pPr>
  </w:style>
  <w:style w:type="paragraph" w:styleId="Revision">
    <w:name w:val="Revision"/>
    <w:hidden/>
    <w:uiPriority w:val="99"/>
    <w:semiHidden/>
    <w:rsid w:val="00DE697C"/>
    <w:rPr>
      <w:sz w:val="24"/>
      <w:szCs w:val="24"/>
    </w:rPr>
  </w:style>
  <w:style w:type="paragraph" w:customStyle="1" w:styleId="Definition">
    <w:name w:val="Definition"/>
    <w:aliases w:val="dd"/>
    <w:basedOn w:val="Normal"/>
    <w:rsid w:val="00DC66CC"/>
    <w:pPr>
      <w:spacing w:before="180"/>
      <w:ind w:left="1134"/>
    </w:pPr>
    <w:rPr>
      <w:sz w:val="22"/>
      <w:szCs w:val="20"/>
    </w:rPr>
  </w:style>
  <w:style w:type="character" w:styleId="FollowedHyperlink">
    <w:name w:val="FollowedHyperlink"/>
    <w:basedOn w:val="DefaultParagraphFont"/>
    <w:rsid w:val="00DB151E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B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F297-6B25-429D-9869-9FEBBC7E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Pilkington, Christina</dc:creator>
  <cp:lastModifiedBy>Carter, Naomi</cp:lastModifiedBy>
  <cp:revision>2</cp:revision>
  <cp:lastPrinted>2016-05-02T04:50:00Z</cp:lastPrinted>
  <dcterms:created xsi:type="dcterms:W3CDTF">2016-05-04T05:55:00Z</dcterms:created>
  <dcterms:modified xsi:type="dcterms:W3CDTF">2016-05-04T05:55:00Z</dcterms:modified>
</cp:coreProperties>
</file>