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7AE89" w14:textId="77777777" w:rsidR="00A03015" w:rsidRPr="002531DC" w:rsidRDefault="00A03015" w:rsidP="00F60C95">
      <w:pPr>
        <w:ind w:firstLine="720"/>
        <w:rPr>
          <w:sz w:val="28"/>
        </w:rPr>
      </w:pPr>
      <w:r w:rsidRPr="002531DC">
        <w:rPr>
          <w:noProof/>
          <w:lang w:eastAsia="en-AU"/>
        </w:rPr>
        <w:drawing>
          <wp:inline distT="0" distB="0" distL="0" distR="0" wp14:anchorId="791B0C55" wp14:editId="1DB51470">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55F74EA" w14:textId="77777777" w:rsidR="00A03015" w:rsidRPr="002531DC" w:rsidRDefault="00A03015" w:rsidP="00A03015">
      <w:pPr>
        <w:rPr>
          <w:sz w:val="19"/>
        </w:rPr>
      </w:pPr>
    </w:p>
    <w:p w14:paraId="6A152938" w14:textId="77777777" w:rsidR="00A03015" w:rsidRPr="002531DC" w:rsidRDefault="00A03015" w:rsidP="00A03015">
      <w:pPr>
        <w:rPr>
          <w:sz w:val="19"/>
        </w:rPr>
      </w:pPr>
      <w:bookmarkStart w:id="0" w:name="ConfidenceBlock"/>
      <w:bookmarkEnd w:id="0"/>
    </w:p>
    <w:p w14:paraId="48DB3F0E" w14:textId="30633C0B" w:rsidR="00A03015" w:rsidRPr="002531DC" w:rsidRDefault="00A03015" w:rsidP="00A03015">
      <w:pPr>
        <w:pStyle w:val="ShortT"/>
      </w:pPr>
      <w:r>
        <w:t xml:space="preserve">Private Ancillary Fund and Public Ancillary Fund Amendment Guidelines </w:t>
      </w:r>
      <w:r w:rsidRPr="00C25520">
        <w:t>201</w:t>
      </w:r>
      <w:r w:rsidR="001B3C80" w:rsidRPr="00C25520">
        <w:t>6</w:t>
      </w:r>
    </w:p>
    <w:p w14:paraId="1E0EE3A4" w14:textId="383BB949" w:rsidR="00A03015" w:rsidRPr="0019207C" w:rsidRDefault="00A03015" w:rsidP="00A03015">
      <w:pPr>
        <w:pStyle w:val="SignCoverPageStart"/>
        <w:rPr>
          <w:sz w:val="24"/>
        </w:rPr>
      </w:pPr>
      <w:r w:rsidRPr="0019207C">
        <w:rPr>
          <w:sz w:val="24"/>
        </w:rPr>
        <w:t xml:space="preserve">I, </w:t>
      </w:r>
      <w:r w:rsidR="00BD3B7C">
        <w:rPr>
          <w:sz w:val="24"/>
        </w:rPr>
        <w:t>Kelly O’Dwyer</w:t>
      </w:r>
      <w:r w:rsidRPr="0019207C">
        <w:rPr>
          <w:sz w:val="24"/>
        </w:rPr>
        <w:t xml:space="preserve">, </w:t>
      </w:r>
      <w:r>
        <w:rPr>
          <w:sz w:val="24"/>
        </w:rPr>
        <w:t>Assistant Treasurer</w:t>
      </w:r>
      <w:r w:rsidRPr="0019207C">
        <w:rPr>
          <w:sz w:val="24"/>
        </w:rPr>
        <w:t xml:space="preserve">, make the following </w:t>
      </w:r>
      <w:r>
        <w:rPr>
          <w:sz w:val="24"/>
        </w:rPr>
        <w:t>Guidelines under</w:t>
      </w:r>
      <w:r w:rsidRPr="0019207C">
        <w:rPr>
          <w:sz w:val="24"/>
        </w:rPr>
        <w:t xml:space="preserve"> </w:t>
      </w:r>
      <w:r>
        <w:rPr>
          <w:sz w:val="24"/>
        </w:rPr>
        <w:t xml:space="preserve">sections 426-103 and 426-110 in Schedule 1 to </w:t>
      </w:r>
      <w:r w:rsidRPr="0019207C">
        <w:rPr>
          <w:sz w:val="24"/>
        </w:rPr>
        <w:t xml:space="preserve">the </w:t>
      </w:r>
      <w:r>
        <w:rPr>
          <w:i/>
          <w:sz w:val="24"/>
        </w:rPr>
        <w:t>Taxation Administration Act 1953</w:t>
      </w:r>
      <w:r w:rsidRPr="0019207C">
        <w:rPr>
          <w:sz w:val="24"/>
        </w:rPr>
        <w:t>.</w:t>
      </w:r>
    </w:p>
    <w:p w14:paraId="3C3FBF1A" w14:textId="1CE7C96B" w:rsidR="00A03015" w:rsidRPr="0019207C" w:rsidRDefault="00A03015" w:rsidP="00A03015">
      <w:pPr>
        <w:keepNext/>
        <w:spacing w:before="300" w:line="240" w:lineRule="atLeast"/>
        <w:ind w:right="397"/>
        <w:jc w:val="both"/>
        <w:rPr>
          <w:sz w:val="24"/>
        </w:rPr>
      </w:pPr>
      <w:r>
        <w:rPr>
          <w:sz w:val="24"/>
        </w:rPr>
        <w:t xml:space="preserve">Dated: </w:t>
      </w:r>
      <w:r w:rsidR="00C41B06">
        <w:rPr>
          <w:sz w:val="24"/>
        </w:rPr>
        <w:t>29 April 2016</w:t>
      </w:r>
      <w:r>
        <w:rPr>
          <w:sz w:val="24"/>
        </w:rPr>
        <w:t xml:space="preserve"> </w:t>
      </w:r>
    </w:p>
    <w:p w14:paraId="74932EF2" w14:textId="77777777" w:rsidR="00A03015" w:rsidRDefault="00A03015" w:rsidP="00A03015">
      <w:pPr>
        <w:keepNext/>
        <w:tabs>
          <w:tab w:val="left" w:pos="4583"/>
        </w:tabs>
        <w:spacing w:before="300" w:line="240" w:lineRule="atLeast"/>
        <w:ind w:right="397"/>
        <w:jc w:val="both"/>
      </w:pPr>
      <w:r>
        <w:tab/>
      </w:r>
    </w:p>
    <w:p w14:paraId="4D7CE656" w14:textId="4E781E30" w:rsidR="00A03015" w:rsidRPr="008D2B91" w:rsidRDefault="00A03015" w:rsidP="00A03015">
      <w:pPr>
        <w:keepNext/>
        <w:spacing w:before="300" w:line="240" w:lineRule="atLeast"/>
        <w:ind w:right="397"/>
        <w:jc w:val="both"/>
        <w:rPr>
          <w:b/>
        </w:rPr>
      </w:pPr>
    </w:p>
    <w:p w14:paraId="4B9D44C9" w14:textId="77777777" w:rsidR="00A03015" w:rsidRPr="002531DC" w:rsidRDefault="00A03015" w:rsidP="00A03015">
      <w:pPr>
        <w:keepNext/>
        <w:spacing w:before="300" w:line="240" w:lineRule="atLeast"/>
        <w:ind w:right="397"/>
        <w:jc w:val="both"/>
      </w:pPr>
    </w:p>
    <w:p w14:paraId="6B64C129" w14:textId="2E17AC92" w:rsidR="00A03015" w:rsidRDefault="00BD3B7C" w:rsidP="00A03015">
      <w:pPr>
        <w:pStyle w:val="SignCoverPageEnd"/>
      </w:pPr>
      <w:r>
        <w:t>Kelly O’Dwyer</w:t>
      </w:r>
      <w:r w:rsidR="00A03015">
        <w:tab/>
      </w:r>
      <w:r w:rsidR="00A03015" w:rsidRPr="00CD05B9">
        <w:t xml:space="preserve"> </w:t>
      </w:r>
    </w:p>
    <w:p w14:paraId="1353428D" w14:textId="77777777" w:rsidR="00A03015" w:rsidRDefault="00A03015" w:rsidP="00A03015">
      <w:pPr>
        <w:pStyle w:val="SignCoverPageEnd"/>
      </w:pPr>
      <w:r>
        <w:t>Assistant Treasurer</w:t>
      </w:r>
    </w:p>
    <w:p w14:paraId="7C2CCA0D" w14:textId="77777777" w:rsidR="00A03015" w:rsidRPr="002531DC" w:rsidRDefault="00A03015" w:rsidP="00A03015"/>
    <w:p w14:paraId="5D5042B7" w14:textId="77777777" w:rsidR="00A03015" w:rsidRPr="002531DC" w:rsidRDefault="00A03015" w:rsidP="00A03015">
      <w:pPr>
        <w:pStyle w:val="Header"/>
        <w:tabs>
          <w:tab w:val="clear" w:pos="4150"/>
          <w:tab w:val="clear" w:pos="8307"/>
        </w:tabs>
      </w:pPr>
      <w:r w:rsidRPr="002531DC">
        <w:rPr>
          <w:rStyle w:val="CharChapNo"/>
        </w:rPr>
        <w:t xml:space="preserve"> </w:t>
      </w:r>
      <w:r w:rsidRPr="002531DC">
        <w:rPr>
          <w:rStyle w:val="CharChapText"/>
        </w:rPr>
        <w:t xml:space="preserve"> </w:t>
      </w:r>
    </w:p>
    <w:p w14:paraId="6B1C5932" w14:textId="77777777" w:rsidR="00A03015" w:rsidRPr="002531DC" w:rsidRDefault="00A03015" w:rsidP="00A03015">
      <w:pPr>
        <w:pStyle w:val="Header"/>
        <w:tabs>
          <w:tab w:val="clear" w:pos="4150"/>
          <w:tab w:val="clear" w:pos="8307"/>
        </w:tabs>
      </w:pPr>
      <w:r w:rsidRPr="002531DC">
        <w:rPr>
          <w:rStyle w:val="CharPartNo"/>
        </w:rPr>
        <w:t xml:space="preserve"> </w:t>
      </w:r>
      <w:r w:rsidRPr="002531DC">
        <w:rPr>
          <w:rStyle w:val="CharPartText"/>
        </w:rPr>
        <w:t xml:space="preserve"> </w:t>
      </w:r>
    </w:p>
    <w:p w14:paraId="3996B087" w14:textId="77777777" w:rsidR="00A03015" w:rsidRPr="002531DC" w:rsidRDefault="00A03015" w:rsidP="00A03015">
      <w:pPr>
        <w:pStyle w:val="Header"/>
        <w:tabs>
          <w:tab w:val="clear" w:pos="4150"/>
          <w:tab w:val="clear" w:pos="8307"/>
        </w:tabs>
      </w:pPr>
      <w:r w:rsidRPr="002531DC">
        <w:rPr>
          <w:rStyle w:val="CharDivNo"/>
        </w:rPr>
        <w:t xml:space="preserve"> </w:t>
      </w:r>
      <w:r w:rsidRPr="002531DC">
        <w:rPr>
          <w:rStyle w:val="CharDivText"/>
        </w:rPr>
        <w:t xml:space="preserve"> </w:t>
      </w:r>
    </w:p>
    <w:p w14:paraId="64FEEAF4" w14:textId="77777777" w:rsidR="00A03015" w:rsidRPr="002531DC" w:rsidRDefault="00A03015" w:rsidP="00A03015">
      <w:pPr>
        <w:sectPr w:rsidR="00A03015" w:rsidRPr="002531DC" w:rsidSect="000E14B4">
          <w:footerReference w:type="even" r:id="rId15"/>
          <w:footerReference w:type="default" r:id="rId16"/>
          <w:pgSz w:w="11907" w:h="16839"/>
          <w:pgMar w:top="1440" w:right="1797" w:bottom="1440" w:left="1797" w:header="720" w:footer="709" w:gutter="0"/>
          <w:cols w:space="708"/>
          <w:docGrid w:linePitch="360"/>
        </w:sectPr>
      </w:pPr>
    </w:p>
    <w:p w14:paraId="22889086" w14:textId="77777777" w:rsidR="00A03015" w:rsidRPr="00F82257" w:rsidRDefault="00A03015" w:rsidP="00A03015">
      <w:pPr>
        <w:rPr>
          <w:rFonts w:ascii="Arial" w:hAnsi="Arial" w:cs="Arial"/>
          <w:sz w:val="36"/>
        </w:rPr>
      </w:pPr>
      <w:r w:rsidRPr="00F82257">
        <w:rPr>
          <w:rFonts w:ascii="Arial" w:hAnsi="Arial" w:cs="Arial"/>
          <w:sz w:val="36"/>
        </w:rPr>
        <w:lastRenderedPageBreak/>
        <w:t>Contents</w:t>
      </w:r>
    </w:p>
    <w:bookmarkStart w:id="1" w:name="BKCheck15B_2"/>
    <w:bookmarkEnd w:id="1"/>
    <w:p w14:paraId="6C1D1E26" w14:textId="77777777" w:rsidR="00A03015" w:rsidRPr="00F82257" w:rsidRDefault="00A03015" w:rsidP="00A03015">
      <w:pPr>
        <w:pStyle w:val="TOC8"/>
        <w:rPr>
          <w:rFonts w:ascii="Arial" w:eastAsiaTheme="minorEastAsia" w:hAnsi="Arial" w:cs="Arial"/>
          <w:noProof/>
          <w:kern w:val="0"/>
          <w:sz w:val="22"/>
          <w:szCs w:val="22"/>
        </w:rPr>
      </w:pPr>
      <w:r w:rsidRPr="00F82257">
        <w:rPr>
          <w:rFonts w:ascii="Arial" w:hAnsi="Arial" w:cs="Arial"/>
          <w:sz w:val="36"/>
        </w:rPr>
        <w:fldChar w:fldCharType="begin"/>
      </w:r>
      <w:r w:rsidRPr="00F82257">
        <w:rPr>
          <w:rFonts w:ascii="Arial" w:hAnsi="Arial" w:cs="Arial"/>
          <w:sz w:val="36"/>
        </w:rPr>
        <w:instrText xml:space="preserve"> TOC \o "1-9" </w:instrText>
      </w:r>
      <w:r w:rsidRPr="00F82257">
        <w:rPr>
          <w:rFonts w:ascii="Arial" w:hAnsi="Arial" w:cs="Arial"/>
          <w:sz w:val="36"/>
        </w:rPr>
        <w:fldChar w:fldCharType="separate"/>
      </w:r>
      <w:r w:rsidRPr="00F82257">
        <w:rPr>
          <w:rFonts w:ascii="Arial" w:hAnsi="Arial" w:cs="Arial"/>
          <w:noProof/>
        </w:rPr>
        <w:t>1  Name of Guidelines</w:t>
      </w:r>
      <w:r w:rsidRPr="00F82257">
        <w:rPr>
          <w:rFonts w:ascii="Arial" w:hAnsi="Arial" w:cs="Arial"/>
          <w:noProof/>
        </w:rPr>
        <w:tab/>
      </w:r>
      <w:r w:rsidRPr="00F82257">
        <w:rPr>
          <w:rFonts w:ascii="Arial" w:hAnsi="Arial" w:cs="Arial"/>
          <w:noProof/>
        </w:rPr>
        <w:fldChar w:fldCharType="begin"/>
      </w:r>
      <w:r w:rsidRPr="00F82257">
        <w:rPr>
          <w:rFonts w:ascii="Arial" w:hAnsi="Arial" w:cs="Arial"/>
          <w:noProof/>
        </w:rPr>
        <w:instrText xml:space="preserve"> PAGEREF _Toc392252346 \h </w:instrText>
      </w:r>
      <w:r w:rsidRPr="00F82257">
        <w:rPr>
          <w:rFonts w:ascii="Arial" w:hAnsi="Arial" w:cs="Arial"/>
          <w:noProof/>
        </w:rPr>
      </w:r>
      <w:r w:rsidRPr="00F82257">
        <w:rPr>
          <w:rFonts w:ascii="Arial" w:hAnsi="Arial" w:cs="Arial"/>
          <w:noProof/>
        </w:rPr>
        <w:fldChar w:fldCharType="separate"/>
      </w:r>
      <w:r w:rsidR="004F4033">
        <w:rPr>
          <w:rFonts w:ascii="Arial" w:hAnsi="Arial" w:cs="Arial"/>
          <w:noProof/>
        </w:rPr>
        <w:t>1</w:t>
      </w:r>
      <w:r w:rsidRPr="00F82257">
        <w:rPr>
          <w:rFonts w:ascii="Arial" w:hAnsi="Arial" w:cs="Arial"/>
          <w:noProof/>
        </w:rPr>
        <w:fldChar w:fldCharType="end"/>
      </w:r>
    </w:p>
    <w:p w14:paraId="341A7DDC" w14:textId="77777777" w:rsidR="00A03015" w:rsidRPr="00F82257" w:rsidRDefault="00A03015" w:rsidP="00A03015">
      <w:pPr>
        <w:pStyle w:val="TOC8"/>
        <w:rPr>
          <w:rFonts w:ascii="Arial" w:eastAsiaTheme="minorEastAsia" w:hAnsi="Arial" w:cs="Arial"/>
          <w:noProof/>
          <w:kern w:val="0"/>
          <w:sz w:val="22"/>
          <w:szCs w:val="22"/>
        </w:rPr>
      </w:pPr>
      <w:r w:rsidRPr="00F82257">
        <w:rPr>
          <w:rFonts w:ascii="Arial" w:hAnsi="Arial" w:cs="Arial"/>
          <w:noProof/>
        </w:rPr>
        <w:t>2  Commencement</w:t>
      </w:r>
      <w:r w:rsidRPr="00F82257">
        <w:rPr>
          <w:rFonts w:ascii="Arial" w:hAnsi="Arial" w:cs="Arial"/>
          <w:noProof/>
        </w:rPr>
        <w:tab/>
      </w:r>
      <w:r w:rsidRPr="00F82257">
        <w:rPr>
          <w:rFonts w:ascii="Arial" w:hAnsi="Arial" w:cs="Arial"/>
          <w:noProof/>
        </w:rPr>
        <w:fldChar w:fldCharType="begin"/>
      </w:r>
      <w:r w:rsidRPr="00F82257">
        <w:rPr>
          <w:rFonts w:ascii="Arial" w:hAnsi="Arial" w:cs="Arial"/>
          <w:noProof/>
        </w:rPr>
        <w:instrText xml:space="preserve"> PAGEREF _Toc392252347 \h </w:instrText>
      </w:r>
      <w:r w:rsidRPr="00F82257">
        <w:rPr>
          <w:rFonts w:ascii="Arial" w:hAnsi="Arial" w:cs="Arial"/>
          <w:noProof/>
        </w:rPr>
      </w:r>
      <w:r w:rsidRPr="00F82257">
        <w:rPr>
          <w:rFonts w:ascii="Arial" w:hAnsi="Arial" w:cs="Arial"/>
          <w:noProof/>
        </w:rPr>
        <w:fldChar w:fldCharType="separate"/>
      </w:r>
      <w:r w:rsidR="004F4033">
        <w:rPr>
          <w:rFonts w:ascii="Arial" w:hAnsi="Arial" w:cs="Arial"/>
          <w:noProof/>
        </w:rPr>
        <w:t>1</w:t>
      </w:r>
      <w:r w:rsidRPr="00F82257">
        <w:rPr>
          <w:rFonts w:ascii="Arial" w:hAnsi="Arial" w:cs="Arial"/>
          <w:noProof/>
        </w:rPr>
        <w:fldChar w:fldCharType="end"/>
      </w:r>
    </w:p>
    <w:p w14:paraId="775B2388" w14:textId="77777777" w:rsidR="00A03015" w:rsidRPr="00F82257" w:rsidRDefault="00A03015" w:rsidP="00A03015">
      <w:pPr>
        <w:pStyle w:val="TOC8"/>
        <w:rPr>
          <w:rFonts w:ascii="Arial" w:eastAsiaTheme="minorEastAsia" w:hAnsi="Arial" w:cs="Arial"/>
          <w:noProof/>
          <w:kern w:val="0"/>
          <w:sz w:val="22"/>
          <w:szCs w:val="22"/>
        </w:rPr>
      </w:pPr>
      <w:r w:rsidRPr="00F82257">
        <w:rPr>
          <w:rFonts w:ascii="Arial" w:hAnsi="Arial" w:cs="Arial"/>
          <w:noProof/>
        </w:rPr>
        <w:t>3  Authority</w:t>
      </w:r>
      <w:r w:rsidRPr="00F82257">
        <w:rPr>
          <w:rFonts w:ascii="Arial" w:hAnsi="Arial" w:cs="Arial"/>
          <w:noProof/>
        </w:rPr>
        <w:tab/>
      </w:r>
      <w:r w:rsidRPr="00F82257">
        <w:rPr>
          <w:rFonts w:ascii="Arial" w:hAnsi="Arial" w:cs="Arial"/>
          <w:noProof/>
        </w:rPr>
        <w:tab/>
      </w:r>
      <w:r w:rsidRPr="00F82257">
        <w:rPr>
          <w:rFonts w:ascii="Arial" w:hAnsi="Arial" w:cs="Arial"/>
          <w:noProof/>
        </w:rPr>
        <w:fldChar w:fldCharType="begin"/>
      </w:r>
      <w:r w:rsidRPr="00F82257">
        <w:rPr>
          <w:rFonts w:ascii="Arial" w:hAnsi="Arial" w:cs="Arial"/>
          <w:noProof/>
        </w:rPr>
        <w:instrText xml:space="preserve"> PAGEREF _Toc392252348 \h </w:instrText>
      </w:r>
      <w:r w:rsidRPr="00F82257">
        <w:rPr>
          <w:rFonts w:ascii="Arial" w:hAnsi="Arial" w:cs="Arial"/>
          <w:noProof/>
        </w:rPr>
      </w:r>
      <w:r w:rsidRPr="00F82257">
        <w:rPr>
          <w:rFonts w:ascii="Arial" w:hAnsi="Arial" w:cs="Arial"/>
          <w:noProof/>
        </w:rPr>
        <w:fldChar w:fldCharType="separate"/>
      </w:r>
      <w:r w:rsidR="004F4033">
        <w:rPr>
          <w:rFonts w:ascii="Arial" w:hAnsi="Arial" w:cs="Arial"/>
          <w:noProof/>
        </w:rPr>
        <w:t>1</w:t>
      </w:r>
      <w:r w:rsidRPr="00F82257">
        <w:rPr>
          <w:rFonts w:ascii="Arial" w:hAnsi="Arial" w:cs="Arial"/>
          <w:noProof/>
        </w:rPr>
        <w:fldChar w:fldCharType="end"/>
      </w:r>
    </w:p>
    <w:p w14:paraId="7E6F0499" w14:textId="77777777" w:rsidR="00A03015" w:rsidRPr="00F82257" w:rsidRDefault="00A03015" w:rsidP="00A03015">
      <w:pPr>
        <w:pStyle w:val="TOC8"/>
        <w:rPr>
          <w:rFonts w:ascii="Arial" w:eastAsiaTheme="minorEastAsia" w:hAnsi="Arial" w:cs="Arial"/>
          <w:noProof/>
          <w:kern w:val="0"/>
          <w:sz w:val="22"/>
          <w:szCs w:val="22"/>
        </w:rPr>
      </w:pPr>
      <w:r w:rsidRPr="00F82257">
        <w:rPr>
          <w:rFonts w:ascii="Arial" w:hAnsi="Arial" w:cs="Arial"/>
          <w:noProof/>
        </w:rPr>
        <w:t>4  Schedule(s)</w:t>
      </w:r>
      <w:r w:rsidRPr="00F82257">
        <w:rPr>
          <w:rFonts w:ascii="Arial" w:hAnsi="Arial" w:cs="Arial"/>
          <w:noProof/>
        </w:rPr>
        <w:tab/>
      </w:r>
      <w:r w:rsidRPr="00F82257">
        <w:rPr>
          <w:rFonts w:ascii="Arial" w:hAnsi="Arial" w:cs="Arial"/>
          <w:noProof/>
        </w:rPr>
        <w:fldChar w:fldCharType="begin"/>
      </w:r>
      <w:r w:rsidRPr="00F82257">
        <w:rPr>
          <w:rFonts w:ascii="Arial" w:hAnsi="Arial" w:cs="Arial"/>
          <w:noProof/>
        </w:rPr>
        <w:instrText xml:space="preserve"> PAGEREF _Toc392252349 \h </w:instrText>
      </w:r>
      <w:r w:rsidRPr="00F82257">
        <w:rPr>
          <w:rFonts w:ascii="Arial" w:hAnsi="Arial" w:cs="Arial"/>
          <w:noProof/>
        </w:rPr>
      </w:r>
      <w:r w:rsidRPr="00F82257">
        <w:rPr>
          <w:rFonts w:ascii="Arial" w:hAnsi="Arial" w:cs="Arial"/>
          <w:noProof/>
        </w:rPr>
        <w:fldChar w:fldCharType="separate"/>
      </w:r>
      <w:r w:rsidR="004F4033">
        <w:rPr>
          <w:rFonts w:ascii="Arial" w:hAnsi="Arial" w:cs="Arial"/>
          <w:noProof/>
        </w:rPr>
        <w:t>1</w:t>
      </w:r>
      <w:r w:rsidRPr="00F82257">
        <w:rPr>
          <w:rFonts w:ascii="Arial" w:hAnsi="Arial" w:cs="Arial"/>
          <w:noProof/>
        </w:rPr>
        <w:fldChar w:fldCharType="end"/>
      </w:r>
    </w:p>
    <w:p w14:paraId="04106CE1" w14:textId="16229635" w:rsidR="00A03015" w:rsidRPr="00F82257" w:rsidRDefault="00A03015" w:rsidP="00A03015">
      <w:pPr>
        <w:pStyle w:val="TOC7"/>
        <w:rPr>
          <w:rFonts w:ascii="Arial" w:eastAsiaTheme="minorEastAsia" w:hAnsi="Arial" w:cs="Arial"/>
          <w:noProof/>
          <w:kern w:val="0"/>
          <w:sz w:val="22"/>
          <w:szCs w:val="22"/>
        </w:rPr>
      </w:pPr>
      <w:r w:rsidRPr="00F82257">
        <w:rPr>
          <w:rFonts w:ascii="Arial" w:hAnsi="Arial" w:cs="Arial"/>
          <w:b/>
          <w:noProof/>
        </w:rPr>
        <w:t>Schedule 1—Amendments to the Private Ancillary Fund Guidelines 2009</w:t>
      </w:r>
      <w:r w:rsidRPr="00F82257">
        <w:rPr>
          <w:rFonts w:ascii="Arial" w:hAnsi="Arial" w:cs="Arial"/>
          <w:noProof/>
        </w:rPr>
        <w:tab/>
      </w:r>
      <w:r w:rsidR="004F4033">
        <w:rPr>
          <w:rFonts w:ascii="Arial" w:hAnsi="Arial" w:cs="Arial"/>
          <w:noProof/>
        </w:rPr>
        <w:t>2</w:t>
      </w:r>
    </w:p>
    <w:p w14:paraId="052D9AA1" w14:textId="77777777" w:rsidR="00A03015" w:rsidRPr="00F82257" w:rsidRDefault="00A03015" w:rsidP="00A03015">
      <w:pPr>
        <w:pStyle w:val="TOC9"/>
        <w:rPr>
          <w:rFonts w:ascii="Arial" w:eastAsiaTheme="minorEastAsia" w:hAnsi="Arial" w:cs="Arial"/>
          <w:i w:val="0"/>
          <w:noProof/>
          <w:kern w:val="0"/>
          <w:sz w:val="22"/>
          <w:szCs w:val="22"/>
        </w:rPr>
      </w:pPr>
      <w:r w:rsidRPr="00F82257">
        <w:rPr>
          <w:rFonts w:ascii="Arial" w:hAnsi="Arial" w:cs="Arial"/>
          <w:noProof/>
        </w:rPr>
        <w:t>Private Ancillary Fund Guidelines 2009</w:t>
      </w:r>
      <w:r w:rsidRPr="00F82257">
        <w:rPr>
          <w:rFonts w:ascii="Arial" w:hAnsi="Arial" w:cs="Arial"/>
          <w:noProof/>
        </w:rPr>
        <w:tab/>
      </w:r>
      <w:r w:rsidRPr="00F82257">
        <w:rPr>
          <w:rFonts w:ascii="Arial" w:hAnsi="Arial" w:cs="Arial"/>
          <w:noProof/>
        </w:rPr>
        <w:fldChar w:fldCharType="begin"/>
      </w:r>
      <w:r w:rsidRPr="00F82257">
        <w:rPr>
          <w:rFonts w:ascii="Arial" w:hAnsi="Arial" w:cs="Arial"/>
          <w:noProof/>
        </w:rPr>
        <w:instrText xml:space="preserve"> PAGEREF _Toc392252351 \h </w:instrText>
      </w:r>
      <w:r w:rsidRPr="00F82257">
        <w:rPr>
          <w:rFonts w:ascii="Arial" w:hAnsi="Arial" w:cs="Arial"/>
          <w:noProof/>
        </w:rPr>
      </w:r>
      <w:r w:rsidRPr="00F82257">
        <w:rPr>
          <w:rFonts w:ascii="Arial" w:hAnsi="Arial" w:cs="Arial"/>
          <w:noProof/>
        </w:rPr>
        <w:fldChar w:fldCharType="separate"/>
      </w:r>
      <w:r w:rsidR="004F4033">
        <w:rPr>
          <w:rFonts w:ascii="Arial" w:hAnsi="Arial" w:cs="Arial"/>
          <w:noProof/>
        </w:rPr>
        <w:t>2</w:t>
      </w:r>
      <w:r w:rsidRPr="00F82257">
        <w:rPr>
          <w:rFonts w:ascii="Arial" w:hAnsi="Arial" w:cs="Arial"/>
          <w:noProof/>
        </w:rPr>
        <w:fldChar w:fldCharType="end"/>
      </w:r>
    </w:p>
    <w:p w14:paraId="4191D061" w14:textId="77777777" w:rsidR="00A03015" w:rsidRPr="00F82257" w:rsidRDefault="00A03015" w:rsidP="00A03015">
      <w:pPr>
        <w:pStyle w:val="TOC7"/>
        <w:rPr>
          <w:rFonts w:ascii="Arial" w:eastAsiaTheme="minorEastAsia" w:hAnsi="Arial" w:cs="Arial"/>
          <w:noProof/>
          <w:kern w:val="0"/>
          <w:sz w:val="22"/>
          <w:szCs w:val="22"/>
        </w:rPr>
      </w:pPr>
      <w:r w:rsidRPr="00F82257">
        <w:rPr>
          <w:rFonts w:ascii="Arial" w:hAnsi="Arial" w:cs="Arial"/>
          <w:b/>
          <w:noProof/>
        </w:rPr>
        <w:t>Schedule 2—Amendments to the Public Ancillary Fund Guidelines 2011</w:t>
      </w:r>
      <w:r w:rsidRPr="00F82257">
        <w:rPr>
          <w:rFonts w:ascii="Arial" w:hAnsi="Arial" w:cs="Arial"/>
          <w:noProof/>
        </w:rPr>
        <w:tab/>
      </w:r>
      <w:r w:rsidRPr="00F82257">
        <w:rPr>
          <w:rFonts w:ascii="Arial" w:hAnsi="Arial" w:cs="Arial"/>
          <w:b/>
          <w:noProof/>
        </w:rPr>
        <w:fldChar w:fldCharType="begin"/>
      </w:r>
      <w:r w:rsidRPr="00F82257">
        <w:rPr>
          <w:rFonts w:ascii="Arial" w:hAnsi="Arial" w:cs="Arial"/>
          <w:b/>
          <w:noProof/>
        </w:rPr>
        <w:instrText xml:space="preserve"> PAGEREF _Toc392252363 \h </w:instrText>
      </w:r>
      <w:r w:rsidRPr="00F82257">
        <w:rPr>
          <w:rFonts w:ascii="Arial" w:hAnsi="Arial" w:cs="Arial"/>
          <w:b/>
          <w:noProof/>
        </w:rPr>
      </w:r>
      <w:r w:rsidRPr="00F82257">
        <w:rPr>
          <w:rFonts w:ascii="Arial" w:hAnsi="Arial" w:cs="Arial"/>
          <w:b/>
          <w:noProof/>
        </w:rPr>
        <w:fldChar w:fldCharType="separate"/>
      </w:r>
      <w:r w:rsidR="004F4033">
        <w:rPr>
          <w:rFonts w:ascii="Arial" w:hAnsi="Arial" w:cs="Arial"/>
          <w:b/>
          <w:noProof/>
        </w:rPr>
        <w:t>10</w:t>
      </w:r>
      <w:r w:rsidRPr="00F82257">
        <w:rPr>
          <w:rFonts w:ascii="Arial" w:hAnsi="Arial" w:cs="Arial"/>
          <w:b/>
          <w:noProof/>
        </w:rPr>
        <w:fldChar w:fldCharType="end"/>
      </w:r>
    </w:p>
    <w:p w14:paraId="11F3F46E" w14:textId="77777777" w:rsidR="00A03015" w:rsidRPr="00F82257" w:rsidRDefault="00A03015" w:rsidP="00A03015">
      <w:pPr>
        <w:pStyle w:val="TOC9"/>
        <w:rPr>
          <w:rFonts w:ascii="Arial" w:eastAsiaTheme="minorEastAsia" w:hAnsi="Arial" w:cs="Arial"/>
          <w:i w:val="0"/>
          <w:noProof/>
          <w:kern w:val="0"/>
          <w:sz w:val="22"/>
          <w:szCs w:val="22"/>
        </w:rPr>
      </w:pPr>
      <w:r w:rsidRPr="00F82257">
        <w:rPr>
          <w:rFonts w:ascii="Arial" w:hAnsi="Arial" w:cs="Arial"/>
          <w:noProof/>
        </w:rPr>
        <w:t>Public Ancillary Fund Guidelines 2011</w:t>
      </w:r>
      <w:r w:rsidRPr="00F82257">
        <w:rPr>
          <w:rFonts w:ascii="Arial" w:hAnsi="Arial" w:cs="Arial"/>
          <w:noProof/>
        </w:rPr>
        <w:tab/>
      </w:r>
      <w:r w:rsidRPr="00F82257">
        <w:rPr>
          <w:rFonts w:ascii="Arial" w:hAnsi="Arial" w:cs="Arial"/>
          <w:noProof/>
        </w:rPr>
        <w:fldChar w:fldCharType="begin"/>
      </w:r>
      <w:r w:rsidRPr="00F82257">
        <w:rPr>
          <w:rFonts w:ascii="Arial" w:hAnsi="Arial" w:cs="Arial"/>
          <w:noProof/>
        </w:rPr>
        <w:instrText xml:space="preserve"> PAGEREF _Toc392252364 \h </w:instrText>
      </w:r>
      <w:r w:rsidRPr="00F82257">
        <w:rPr>
          <w:rFonts w:ascii="Arial" w:hAnsi="Arial" w:cs="Arial"/>
          <w:noProof/>
        </w:rPr>
      </w:r>
      <w:r w:rsidRPr="00F82257">
        <w:rPr>
          <w:rFonts w:ascii="Arial" w:hAnsi="Arial" w:cs="Arial"/>
          <w:noProof/>
        </w:rPr>
        <w:fldChar w:fldCharType="separate"/>
      </w:r>
      <w:r w:rsidR="004F4033">
        <w:rPr>
          <w:rFonts w:ascii="Arial" w:hAnsi="Arial" w:cs="Arial"/>
          <w:noProof/>
        </w:rPr>
        <w:t>10</w:t>
      </w:r>
      <w:r w:rsidRPr="00F82257">
        <w:rPr>
          <w:rFonts w:ascii="Arial" w:hAnsi="Arial" w:cs="Arial"/>
          <w:noProof/>
        </w:rPr>
        <w:fldChar w:fldCharType="end"/>
      </w:r>
    </w:p>
    <w:p w14:paraId="56F4D59C" w14:textId="77777777" w:rsidR="00A03015" w:rsidRPr="002531DC" w:rsidRDefault="00A03015" w:rsidP="00A03015">
      <w:pPr>
        <w:rPr>
          <w:sz w:val="36"/>
        </w:rPr>
      </w:pPr>
      <w:r w:rsidRPr="00F82257">
        <w:rPr>
          <w:rFonts w:ascii="Arial" w:hAnsi="Arial" w:cs="Arial"/>
          <w:sz w:val="36"/>
        </w:rPr>
        <w:fldChar w:fldCharType="end"/>
      </w:r>
    </w:p>
    <w:p w14:paraId="09B39D9D" w14:textId="77777777" w:rsidR="00A03015" w:rsidRPr="002531DC" w:rsidRDefault="00A03015" w:rsidP="00A03015">
      <w:pPr>
        <w:sectPr w:rsidR="00A03015" w:rsidRPr="002531DC" w:rsidSect="000E14B4">
          <w:headerReference w:type="even" r:id="rId17"/>
          <w:headerReference w:type="default" r:id="rId18"/>
          <w:footerReference w:type="even" r:id="rId19"/>
          <w:footerReference w:type="default" r:id="rId20"/>
          <w:headerReference w:type="first" r:id="rId21"/>
          <w:pgSz w:w="11907" w:h="16839"/>
          <w:pgMar w:top="2385" w:right="1797" w:bottom="1440" w:left="1797" w:header="720" w:footer="709" w:gutter="0"/>
          <w:pgNumType w:fmt="lowerRoman" w:start="1"/>
          <w:cols w:space="708"/>
          <w:docGrid w:linePitch="360"/>
        </w:sectPr>
      </w:pPr>
      <w:bookmarkStart w:id="2" w:name="_GoBack"/>
      <w:bookmarkEnd w:id="2"/>
    </w:p>
    <w:p w14:paraId="4AB23EA4" w14:textId="77777777" w:rsidR="00A03015" w:rsidRPr="00F82257" w:rsidRDefault="00A03015" w:rsidP="00A03015">
      <w:pPr>
        <w:pStyle w:val="ActHead8"/>
        <w:rPr>
          <w:rFonts w:cs="Arial"/>
        </w:rPr>
      </w:pPr>
      <w:bookmarkStart w:id="3" w:name="_Toc392252346"/>
      <w:r w:rsidRPr="00F82257">
        <w:rPr>
          <w:rStyle w:val="CharSectno"/>
          <w:rFonts w:cs="Arial"/>
        </w:rPr>
        <w:lastRenderedPageBreak/>
        <w:t>1</w:t>
      </w:r>
      <w:r w:rsidRPr="00F82257">
        <w:rPr>
          <w:rFonts w:cs="Arial"/>
        </w:rPr>
        <w:t xml:space="preserve">  Name of </w:t>
      </w:r>
      <w:bookmarkEnd w:id="3"/>
      <w:r w:rsidRPr="00F82257">
        <w:rPr>
          <w:rFonts w:cs="Arial"/>
        </w:rPr>
        <w:t>Instrument</w:t>
      </w:r>
    </w:p>
    <w:p w14:paraId="3319F2AB" w14:textId="1987392E" w:rsidR="00A03015" w:rsidRPr="00C25520" w:rsidRDefault="00A03015" w:rsidP="00A03015">
      <w:pPr>
        <w:pStyle w:val="Blocks"/>
        <w:rPr>
          <w:rFonts w:ascii="Arial" w:hAnsi="Arial" w:cs="Arial"/>
        </w:rPr>
      </w:pPr>
      <w:r w:rsidRPr="00F82257">
        <w:rPr>
          <w:rFonts w:ascii="Arial" w:hAnsi="Arial" w:cs="Arial"/>
        </w:rPr>
        <w:tab/>
        <w:t xml:space="preserve">This instrument is the </w:t>
      </w:r>
      <w:r w:rsidRPr="00F82257">
        <w:rPr>
          <w:rFonts w:ascii="Arial" w:hAnsi="Arial" w:cs="Arial"/>
          <w:i/>
        </w:rPr>
        <w:t xml:space="preserve">Private Ancillary Fund and Public Ancillary Fund Amendment </w:t>
      </w:r>
      <w:r w:rsidRPr="00C25520">
        <w:rPr>
          <w:rFonts w:ascii="Arial" w:hAnsi="Arial" w:cs="Arial"/>
          <w:i/>
        </w:rPr>
        <w:t>Guidelines 201</w:t>
      </w:r>
      <w:r w:rsidR="001B3C80" w:rsidRPr="00C25520">
        <w:rPr>
          <w:rFonts w:ascii="Arial" w:hAnsi="Arial" w:cs="Arial"/>
          <w:i/>
        </w:rPr>
        <w:t>6</w:t>
      </w:r>
      <w:r w:rsidRPr="00C25520">
        <w:rPr>
          <w:rFonts w:ascii="Arial" w:hAnsi="Arial" w:cs="Arial"/>
        </w:rPr>
        <w:t>.</w:t>
      </w:r>
    </w:p>
    <w:p w14:paraId="057F62D7" w14:textId="77777777" w:rsidR="00A03015" w:rsidRPr="00C25520" w:rsidRDefault="00A03015" w:rsidP="00A03015">
      <w:pPr>
        <w:pStyle w:val="ActHead8"/>
        <w:rPr>
          <w:rFonts w:cs="Arial"/>
        </w:rPr>
      </w:pPr>
      <w:bookmarkStart w:id="4" w:name="_Toc392252347"/>
      <w:r w:rsidRPr="00C25520">
        <w:rPr>
          <w:rStyle w:val="CharSectno"/>
          <w:rFonts w:cs="Arial"/>
        </w:rPr>
        <w:t>2</w:t>
      </w:r>
      <w:r w:rsidRPr="00C25520">
        <w:rPr>
          <w:rFonts w:cs="Arial"/>
        </w:rPr>
        <w:t xml:space="preserve">  Commencement</w:t>
      </w:r>
      <w:bookmarkEnd w:id="4"/>
    </w:p>
    <w:p w14:paraId="02FF87FC" w14:textId="022AEC9D" w:rsidR="00A03015" w:rsidRPr="00C25520" w:rsidRDefault="00A03015" w:rsidP="00A03015">
      <w:pPr>
        <w:pStyle w:val="Blocks"/>
        <w:rPr>
          <w:rFonts w:ascii="Arial" w:hAnsi="Arial" w:cs="Arial"/>
        </w:rPr>
      </w:pPr>
      <w:r w:rsidRPr="00C25520">
        <w:rPr>
          <w:rFonts w:ascii="Arial" w:hAnsi="Arial" w:cs="Arial"/>
        </w:rPr>
        <w:tab/>
      </w:r>
      <w:r w:rsidR="00622B66" w:rsidRPr="00C25520">
        <w:rPr>
          <w:rFonts w:ascii="Arial" w:hAnsi="Arial" w:cs="Arial"/>
        </w:rPr>
        <w:t>This instrument commences the day after registration</w:t>
      </w:r>
      <w:r w:rsidRPr="00C25520">
        <w:rPr>
          <w:rFonts w:ascii="Arial" w:hAnsi="Arial" w:cs="Arial"/>
        </w:rPr>
        <w:t>.</w:t>
      </w:r>
    </w:p>
    <w:p w14:paraId="201072AA" w14:textId="77777777" w:rsidR="00A03015" w:rsidRPr="00F82257" w:rsidRDefault="00A03015" w:rsidP="00A03015">
      <w:pPr>
        <w:pStyle w:val="ActHead8"/>
        <w:rPr>
          <w:rFonts w:cs="Arial"/>
        </w:rPr>
      </w:pPr>
      <w:bookmarkStart w:id="5" w:name="_Toc392252348"/>
      <w:r w:rsidRPr="00C25520">
        <w:rPr>
          <w:rStyle w:val="CharSectno"/>
          <w:rFonts w:cs="Arial"/>
        </w:rPr>
        <w:t>3</w:t>
      </w:r>
      <w:r w:rsidRPr="00C25520">
        <w:rPr>
          <w:rFonts w:cs="Arial"/>
        </w:rPr>
        <w:t xml:space="preserve">  Authority</w:t>
      </w:r>
      <w:bookmarkEnd w:id="5"/>
    </w:p>
    <w:p w14:paraId="320BAC5E" w14:textId="77777777" w:rsidR="00A03015" w:rsidRPr="00F82257" w:rsidRDefault="00A03015" w:rsidP="00A03015">
      <w:pPr>
        <w:pStyle w:val="Blocks"/>
        <w:rPr>
          <w:rFonts w:ascii="Arial" w:hAnsi="Arial" w:cs="Arial"/>
        </w:rPr>
      </w:pPr>
      <w:r w:rsidRPr="00F82257">
        <w:rPr>
          <w:rFonts w:ascii="Arial" w:hAnsi="Arial" w:cs="Arial"/>
        </w:rPr>
        <w:tab/>
        <w:t xml:space="preserve">This instrument is made under sections 426-103 and 426-110 in Schedule 1 to the </w:t>
      </w:r>
      <w:r w:rsidRPr="00F82257">
        <w:rPr>
          <w:rFonts w:ascii="Arial" w:hAnsi="Arial" w:cs="Arial"/>
          <w:i/>
        </w:rPr>
        <w:t>Taxation Administration Act 1953</w:t>
      </w:r>
      <w:r w:rsidRPr="00F82257">
        <w:rPr>
          <w:rFonts w:ascii="Arial" w:hAnsi="Arial" w:cs="Arial"/>
        </w:rPr>
        <w:t>.</w:t>
      </w:r>
    </w:p>
    <w:p w14:paraId="04E05D01" w14:textId="77777777" w:rsidR="00A03015" w:rsidRPr="00F82257" w:rsidRDefault="00A03015" w:rsidP="00A03015">
      <w:pPr>
        <w:pStyle w:val="ActHead8"/>
        <w:rPr>
          <w:rFonts w:cs="Arial"/>
        </w:rPr>
      </w:pPr>
      <w:bookmarkStart w:id="6" w:name="_Toc392252349"/>
      <w:r w:rsidRPr="00F82257">
        <w:rPr>
          <w:rStyle w:val="CharSectno"/>
          <w:rFonts w:cs="Arial"/>
        </w:rPr>
        <w:t>4</w:t>
      </w:r>
      <w:r w:rsidRPr="00F82257">
        <w:rPr>
          <w:rFonts w:cs="Arial"/>
        </w:rPr>
        <w:t xml:space="preserve">  Schedule(s)</w:t>
      </w:r>
      <w:bookmarkEnd w:id="6"/>
    </w:p>
    <w:p w14:paraId="2E5CB473" w14:textId="77777777" w:rsidR="00A03015" w:rsidRPr="00F82257" w:rsidRDefault="00A03015" w:rsidP="00A03015">
      <w:pPr>
        <w:pStyle w:val="Blocks"/>
        <w:rPr>
          <w:rFonts w:ascii="Arial" w:hAnsi="Arial" w:cs="Arial"/>
        </w:rPr>
      </w:pPr>
      <w:r w:rsidRPr="00F82257">
        <w:rPr>
          <w:rFonts w:ascii="Arial" w:hAnsi="Arial" w:cs="Arial"/>
        </w:rPr>
        <w:tab/>
        <w:t>Each instrument that is specified in a Schedule to this instrument is amended or repealed as set out in the applicable items in the Schedule concerned, and any other item in a Schedule to this instrument has effect according to its terms.</w:t>
      </w:r>
    </w:p>
    <w:p w14:paraId="32FBEA8F" w14:textId="77777777" w:rsidR="004F4033" w:rsidRDefault="004F4033" w:rsidP="00D572BB">
      <w:pPr>
        <w:pStyle w:val="ActHead7"/>
        <w:spacing w:before="0"/>
        <w:rPr>
          <w:rFonts w:cs="Arial"/>
        </w:rPr>
        <w:sectPr w:rsidR="004F4033" w:rsidSect="004F4033">
          <w:headerReference w:type="even" r:id="rId22"/>
          <w:headerReference w:type="default" r:id="rId23"/>
          <w:footerReference w:type="default" r:id="rId24"/>
          <w:headerReference w:type="first" r:id="rId25"/>
          <w:type w:val="oddPage"/>
          <w:pgSz w:w="11907" w:h="16839" w:code="9"/>
          <w:pgMar w:top="2380" w:right="1797" w:bottom="1440" w:left="1797" w:header="720" w:footer="709" w:gutter="0"/>
          <w:pgNumType w:start="1"/>
          <w:cols w:space="708"/>
          <w:docGrid w:linePitch="360"/>
        </w:sectPr>
      </w:pPr>
      <w:bookmarkStart w:id="7" w:name="_Toc392252350"/>
    </w:p>
    <w:p w14:paraId="0CD556FE" w14:textId="761C33CB" w:rsidR="00A03015" w:rsidRPr="00F82257" w:rsidRDefault="00A03015" w:rsidP="00D572BB">
      <w:pPr>
        <w:pStyle w:val="ActHead7"/>
        <w:spacing w:before="0"/>
        <w:rPr>
          <w:rFonts w:cs="Arial"/>
        </w:rPr>
      </w:pPr>
      <w:r w:rsidRPr="00F82257">
        <w:rPr>
          <w:rFonts w:cs="Arial"/>
        </w:rPr>
        <w:lastRenderedPageBreak/>
        <w:t>Schedule 1—Amendments to the Private Ancillary Fund Guidelines 2009</w:t>
      </w:r>
      <w:bookmarkEnd w:id="7"/>
    </w:p>
    <w:p w14:paraId="6F770172" w14:textId="77777777" w:rsidR="00A03015" w:rsidRPr="00F82257" w:rsidRDefault="00A03015" w:rsidP="00A03015">
      <w:pPr>
        <w:pStyle w:val="ActHead9"/>
        <w:rPr>
          <w:rFonts w:ascii="Arial" w:hAnsi="Arial" w:cs="Arial"/>
        </w:rPr>
      </w:pPr>
      <w:bookmarkStart w:id="8" w:name="_Toc392252351"/>
      <w:r w:rsidRPr="00F82257">
        <w:rPr>
          <w:rFonts w:ascii="Arial" w:hAnsi="Arial" w:cs="Arial"/>
        </w:rPr>
        <w:t>Private Ancillary Fund Guidelines 2009</w:t>
      </w:r>
      <w:bookmarkEnd w:id="8"/>
    </w:p>
    <w:p w14:paraId="437F74F0" w14:textId="085B1DE1" w:rsidR="00A03015" w:rsidRPr="00F82257" w:rsidRDefault="00A03015" w:rsidP="00A03015">
      <w:pPr>
        <w:pStyle w:val="ActHead8"/>
        <w:rPr>
          <w:rFonts w:cs="Arial"/>
        </w:rPr>
      </w:pPr>
      <w:bookmarkStart w:id="9" w:name="_Toc392252352"/>
      <w:r w:rsidRPr="00F82257">
        <w:rPr>
          <w:rFonts w:cs="Arial"/>
        </w:rPr>
        <w:t>1  Guideline 8 (the 2</w:t>
      </w:r>
      <w:r w:rsidRPr="00F82257">
        <w:rPr>
          <w:rFonts w:cs="Arial"/>
          <w:vertAlign w:val="superscript"/>
        </w:rPr>
        <w:t>nd</w:t>
      </w:r>
      <w:r w:rsidRPr="00F82257">
        <w:rPr>
          <w:rFonts w:cs="Arial"/>
        </w:rPr>
        <w:t xml:space="preserve"> dash point)</w:t>
      </w:r>
      <w:bookmarkEnd w:id="9"/>
    </w:p>
    <w:p w14:paraId="0BB60511" w14:textId="77777777" w:rsidR="00A03015" w:rsidRPr="00F82257" w:rsidRDefault="00A03015" w:rsidP="00A03015">
      <w:pPr>
        <w:pStyle w:val="Blocks"/>
        <w:rPr>
          <w:rFonts w:ascii="Arial" w:hAnsi="Arial" w:cs="Arial"/>
        </w:rPr>
      </w:pPr>
      <w:r w:rsidRPr="00F82257">
        <w:rPr>
          <w:rFonts w:ascii="Arial" w:hAnsi="Arial" w:cs="Arial"/>
        </w:rPr>
        <w:tab/>
        <w:t>Omit “Commissioner”, substitute “Commissioner and the Commissioner of the Australian Charities and Not-for-profits Commission (if a *registered charity)”.</w:t>
      </w:r>
    </w:p>
    <w:p w14:paraId="60ED038A" w14:textId="426A72A1" w:rsidR="00A03015" w:rsidRPr="00F82257" w:rsidRDefault="00A03015" w:rsidP="00A03015">
      <w:pPr>
        <w:pStyle w:val="ActHead8"/>
        <w:rPr>
          <w:rFonts w:cs="Arial"/>
        </w:rPr>
      </w:pPr>
      <w:bookmarkStart w:id="10" w:name="_Toc392252353"/>
      <w:r w:rsidRPr="00F82257">
        <w:rPr>
          <w:rFonts w:cs="Arial"/>
        </w:rPr>
        <w:t>2  Guideline 8 (note)</w:t>
      </w:r>
    </w:p>
    <w:p w14:paraId="7FAD9EF8" w14:textId="77777777" w:rsidR="00A03015" w:rsidRPr="00F82257" w:rsidRDefault="00A03015" w:rsidP="00A03015">
      <w:pPr>
        <w:pStyle w:val="Blocks"/>
        <w:rPr>
          <w:rFonts w:ascii="Arial" w:hAnsi="Arial" w:cs="Arial"/>
        </w:rPr>
      </w:pPr>
      <w:r w:rsidRPr="00F82257">
        <w:rPr>
          <w:rFonts w:ascii="Arial" w:hAnsi="Arial" w:cs="Arial"/>
        </w:rPr>
        <w:tab/>
        <w:t>Repeal the note, substitute:</w:t>
      </w:r>
    </w:p>
    <w:p w14:paraId="42B88821" w14:textId="17698261" w:rsidR="00A03015" w:rsidRPr="00F82257" w:rsidRDefault="00A03015" w:rsidP="00A03015">
      <w:pPr>
        <w:pStyle w:val="Notelevel1"/>
      </w:pPr>
      <w:r w:rsidRPr="00F82257">
        <w:t>Note:  This does not affect either Commissioner</w:t>
      </w:r>
      <w:r w:rsidR="000F1D6F" w:rsidRPr="00F82257">
        <w:t>’s</w:t>
      </w:r>
      <w:r w:rsidRPr="00F82257">
        <w:t xml:space="preserve"> obligations to protect the confidentiality of a *private ancillary fund’s information under privacy, and secrecy and disclosure laws.</w:t>
      </w:r>
    </w:p>
    <w:p w14:paraId="3C4B3361" w14:textId="65C56398" w:rsidR="00A03015" w:rsidRPr="00F82257" w:rsidRDefault="00A03015" w:rsidP="00A03015">
      <w:pPr>
        <w:pStyle w:val="ActHead8"/>
        <w:rPr>
          <w:rFonts w:cs="Arial"/>
        </w:rPr>
      </w:pPr>
      <w:r w:rsidRPr="00F82257">
        <w:rPr>
          <w:rFonts w:cs="Arial"/>
        </w:rPr>
        <w:t>3  Guideline 12 (note)</w:t>
      </w:r>
    </w:p>
    <w:p w14:paraId="2BFEDE77" w14:textId="77777777" w:rsidR="00A03015" w:rsidRPr="00F82257" w:rsidRDefault="00A03015" w:rsidP="00A03015">
      <w:pPr>
        <w:pStyle w:val="Blocks"/>
        <w:rPr>
          <w:rFonts w:ascii="Arial" w:hAnsi="Arial" w:cs="Arial"/>
        </w:rPr>
      </w:pPr>
      <w:r w:rsidRPr="00F82257">
        <w:rPr>
          <w:rFonts w:ascii="Arial" w:hAnsi="Arial" w:cs="Arial"/>
        </w:rPr>
        <w:tab/>
        <w:t>Repeal the note.</w:t>
      </w:r>
    </w:p>
    <w:p w14:paraId="6BA946FB" w14:textId="0AE02674" w:rsidR="00A03015" w:rsidRPr="00F82257" w:rsidRDefault="00A03015" w:rsidP="00A03015">
      <w:pPr>
        <w:pStyle w:val="ActHead8"/>
        <w:rPr>
          <w:rFonts w:cs="Arial"/>
        </w:rPr>
      </w:pPr>
      <w:r w:rsidRPr="00F82257">
        <w:rPr>
          <w:rFonts w:cs="Arial"/>
        </w:rPr>
        <w:t>4  Guideline 14 (at the end of the Guideline)</w:t>
      </w:r>
      <w:bookmarkEnd w:id="10"/>
    </w:p>
    <w:p w14:paraId="5814FD86" w14:textId="04415821" w:rsidR="00A03015" w:rsidRPr="00F82257" w:rsidRDefault="00A03015" w:rsidP="00A03015">
      <w:pPr>
        <w:pStyle w:val="Blocks"/>
        <w:rPr>
          <w:rFonts w:ascii="Arial" w:hAnsi="Arial" w:cs="Arial"/>
        </w:rPr>
      </w:pPr>
      <w:r w:rsidRPr="00F82257">
        <w:rPr>
          <w:rFonts w:ascii="Arial" w:hAnsi="Arial" w:cs="Arial"/>
        </w:rPr>
        <w:tab/>
      </w:r>
      <w:r w:rsidR="00425388" w:rsidRPr="00F82257">
        <w:rPr>
          <w:rFonts w:ascii="Arial" w:hAnsi="Arial" w:cs="Arial"/>
        </w:rPr>
        <w:t>Insert</w:t>
      </w:r>
      <w:r w:rsidRPr="00F82257">
        <w:rPr>
          <w:rFonts w:ascii="Arial" w:hAnsi="Arial" w:cs="Arial"/>
        </w:rPr>
        <w:t>:</w:t>
      </w:r>
    </w:p>
    <w:p w14:paraId="384EDE90" w14:textId="1B988605" w:rsidR="00A03015" w:rsidRPr="00F82257" w:rsidRDefault="00A03015" w:rsidP="00A03015">
      <w:pPr>
        <w:pStyle w:val="OutlineNumbered2"/>
        <w:ind w:left="1418" w:hanging="851"/>
      </w:pPr>
      <w:r w:rsidRPr="00F82257">
        <w:t>14.2.</w:t>
      </w:r>
      <w:r w:rsidRPr="00F82257">
        <w:tab/>
      </w:r>
      <w:r w:rsidR="00540B43" w:rsidRPr="00F82257">
        <w:t>A</w:t>
      </w:r>
      <w:r w:rsidRPr="00F82257">
        <w:t>n individual with a degree of responsibility to the Australian community as a whole</w:t>
      </w:r>
      <w:r w:rsidR="00540B43" w:rsidRPr="00F82257">
        <w:t xml:space="preserve"> includes an individual before whom a statutory declaration may be made.</w:t>
      </w:r>
    </w:p>
    <w:p w14:paraId="44BD0ED5" w14:textId="320BDA42" w:rsidR="00A03015" w:rsidRPr="00F82257" w:rsidRDefault="00A03015" w:rsidP="00A03015">
      <w:pPr>
        <w:pStyle w:val="Notelevel1"/>
      </w:pPr>
      <w:r w:rsidRPr="00F82257">
        <w:t>Example: An individual before whom a statutory declaration may be made include</w:t>
      </w:r>
      <w:r w:rsidR="00ED6EE2" w:rsidRPr="00F82257">
        <w:t>s</w:t>
      </w:r>
      <w:r w:rsidRPr="00F82257">
        <w:t xml:space="preserve"> </w:t>
      </w:r>
      <w:r w:rsidR="00683DE4" w:rsidRPr="00F82257">
        <w:t xml:space="preserve">those </w:t>
      </w:r>
      <w:r w:rsidRPr="00F82257">
        <w:t>who are licensed or registered to practi</w:t>
      </w:r>
      <w:r w:rsidR="003C0B9D" w:rsidRPr="00F82257">
        <w:t>s</w:t>
      </w:r>
      <w:r w:rsidRPr="00F82257">
        <w:t xml:space="preserve">e in a range of occupations such as a dentist, legal or medical practitioner; a nurse, a pharmacist, a bailiff, a bank officer or officer of a building society or credit union with 5 or more continuous years of service; a clerk of the court; a justice of the peace, a judge, </w:t>
      </w:r>
      <w:r w:rsidR="003C0B9D" w:rsidRPr="00F82257">
        <w:t xml:space="preserve">a </w:t>
      </w:r>
      <w:r w:rsidRPr="00F82257">
        <w:t>magistrate; a member of various professional associations including a member of Engineers Australia, a member of Chartered Secretaries Australia; a member of the various professional accounting associations in Australia; a marriage celebrant, mayors, town clerks and members of Parliament; a government employee with 5 or more years of continuous service; a teacher employed on a full-time basis at a school or tertiary education institution.</w:t>
      </w:r>
    </w:p>
    <w:p w14:paraId="23EED706" w14:textId="7919CB10" w:rsidR="00A03015" w:rsidRPr="00F82257" w:rsidRDefault="00A03015" w:rsidP="00A03015">
      <w:pPr>
        <w:pStyle w:val="OutlineNumbered2"/>
        <w:ind w:left="1418" w:hanging="851"/>
      </w:pPr>
      <w:bookmarkStart w:id="11" w:name="_Toc392252354"/>
      <w:r w:rsidRPr="00F82257">
        <w:t>14.3</w:t>
      </w:r>
      <w:r w:rsidR="00887ABA">
        <w:t>.</w:t>
      </w:r>
      <w:r w:rsidRPr="00F82257">
        <w:tab/>
        <w:t>This guideline does not apply to the Public Trustee of a state or territory.</w:t>
      </w:r>
    </w:p>
    <w:p w14:paraId="1CBBCC43" w14:textId="72495AC9" w:rsidR="00A03015" w:rsidRPr="00F82257" w:rsidRDefault="00A03015" w:rsidP="00A03015">
      <w:pPr>
        <w:pStyle w:val="ActHead8"/>
        <w:rPr>
          <w:rFonts w:cs="Arial"/>
        </w:rPr>
      </w:pPr>
      <w:r w:rsidRPr="00F82257">
        <w:rPr>
          <w:rFonts w:cs="Arial"/>
        </w:rPr>
        <w:t>5  Guideline 17 (at the end of the Guideline but before the penalty)</w:t>
      </w:r>
    </w:p>
    <w:p w14:paraId="6B97D9F7" w14:textId="77777777" w:rsidR="00A03015" w:rsidRPr="00F82257" w:rsidRDefault="00A03015" w:rsidP="00A03015">
      <w:pPr>
        <w:pStyle w:val="Blocks"/>
        <w:rPr>
          <w:rFonts w:ascii="Arial" w:hAnsi="Arial" w:cs="Arial"/>
        </w:rPr>
      </w:pPr>
      <w:r w:rsidRPr="00F82257">
        <w:rPr>
          <w:rFonts w:ascii="Arial" w:hAnsi="Arial" w:cs="Arial"/>
        </w:rPr>
        <w:tab/>
        <w:t>Insert:</w:t>
      </w:r>
    </w:p>
    <w:p w14:paraId="3B91B857" w14:textId="24632D70" w:rsidR="00A03015" w:rsidRPr="00F82257" w:rsidRDefault="00A03015" w:rsidP="00A03015">
      <w:pPr>
        <w:pStyle w:val="OutlineNumbered2"/>
        <w:ind w:left="1418" w:hanging="851"/>
      </w:pPr>
      <w:r w:rsidRPr="00F82257">
        <w:lastRenderedPageBreak/>
        <w:t>17.1</w:t>
      </w:r>
      <w:r w:rsidR="00887ABA">
        <w:t>.</w:t>
      </w:r>
      <w:r w:rsidRPr="00F82257">
        <w:tab/>
        <w:t xml:space="preserve">However, the trustee does </w:t>
      </w:r>
      <w:r w:rsidRPr="00F82257">
        <w:rPr>
          <w:i/>
        </w:rPr>
        <w:t>not</w:t>
      </w:r>
      <w:r w:rsidRPr="00F82257">
        <w:t xml:space="preserve"> need to notify the Commissioner under this guideline if the trustee is required to notify the Commissioner of the Australian Charities and Not-for-profits Commission of the same information under Division 65 of the </w:t>
      </w:r>
      <w:r w:rsidRPr="00F82257">
        <w:rPr>
          <w:i/>
        </w:rPr>
        <w:t>Australian Charities and Not-for-profits Commission Act 2012</w:t>
      </w:r>
      <w:r w:rsidRPr="00F82257">
        <w:t>.</w:t>
      </w:r>
    </w:p>
    <w:p w14:paraId="4B3F58D9" w14:textId="1706DEC2" w:rsidR="00653404" w:rsidRDefault="00D07DE5" w:rsidP="00653404">
      <w:pPr>
        <w:pStyle w:val="ActHead8"/>
      </w:pPr>
      <w:r>
        <w:t>6</w:t>
      </w:r>
      <w:r w:rsidR="00653404">
        <w:t xml:space="preserve">  Guideline 19</w:t>
      </w:r>
    </w:p>
    <w:p w14:paraId="58406488" w14:textId="77777777" w:rsidR="00653404" w:rsidRPr="00460446" w:rsidRDefault="00653404" w:rsidP="00653404">
      <w:pPr>
        <w:pStyle w:val="Blocks"/>
        <w:rPr>
          <w:rFonts w:ascii="Arial" w:hAnsi="Arial" w:cs="Arial"/>
        </w:rPr>
      </w:pPr>
      <w:r>
        <w:tab/>
      </w:r>
      <w:r w:rsidRPr="00460446">
        <w:rPr>
          <w:rFonts w:ascii="Arial" w:hAnsi="Arial" w:cs="Arial"/>
        </w:rPr>
        <w:t>Omit “per cent”, substitute “per cent (</w:t>
      </w:r>
      <w:r w:rsidRPr="00460446">
        <w:rPr>
          <w:rFonts w:ascii="Arial" w:hAnsi="Arial" w:cs="Arial"/>
          <w:b/>
          <w:i/>
        </w:rPr>
        <w:t>minimum annual distribution rate</w:t>
      </w:r>
      <w:r w:rsidRPr="00460446">
        <w:rPr>
          <w:rFonts w:ascii="Arial" w:hAnsi="Arial" w:cs="Arial"/>
        </w:rPr>
        <w:t>)”.</w:t>
      </w:r>
    </w:p>
    <w:p w14:paraId="395D9E3B" w14:textId="4A443F2B" w:rsidR="00653404" w:rsidRDefault="00D07DE5" w:rsidP="00653404">
      <w:pPr>
        <w:pStyle w:val="ActHead8"/>
      </w:pPr>
      <w:r>
        <w:t>7</w:t>
      </w:r>
      <w:r w:rsidR="00653404">
        <w:t xml:space="preserve">  Guideline 19 (note)</w:t>
      </w:r>
    </w:p>
    <w:p w14:paraId="578C1BB1" w14:textId="77777777" w:rsidR="00653404" w:rsidRPr="00460446" w:rsidRDefault="00653404" w:rsidP="00653404">
      <w:pPr>
        <w:pStyle w:val="Blocks"/>
        <w:rPr>
          <w:rFonts w:ascii="Arial" w:hAnsi="Arial" w:cs="Arial"/>
        </w:rPr>
      </w:pPr>
      <w:r w:rsidRPr="00460446">
        <w:rPr>
          <w:rFonts w:ascii="Arial" w:hAnsi="Arial" w:cs="Arial"/>
        </w:rPr>
        <w:tab/>
        <w:t>Omit “Note:”, substitute “Note 1:”.</w:t>
      </w:r>
    </w:p>
    <w:p w14:paraId="350F4279" w14:textId="0DDFE465" w:rsidR="00653404" w:rsidRDefault="00D07DE5" w:rsidP="00653404">
      <w:pPr>
        <w:pStyle w:val="ItemHead"/>
      </w:pPr>
      <w:r>
        <w:t>8</w:t>
      </w:r>
      <w:r w:rsidR="00653404">
        <w:t xml:space="preserve">  Guideline 19 (after note 1)</w:t>
      </w:r>
    </w:p>
    <w:p w14:paraId="2575E863" w14:textId="77777777" w:rsidR="00653404" w:rsidRPr="00460446" w:rsidRDefault="00653404" w:rsidP="00653404">
      <w:pPr>
        <w:pStyle w:val="Blocks"/>
        <w:rPr>
          <w:rFonts w:ascii="Arial" w:hAnsi="Arial" w:cs="Arial"/>
        </w:rPr>
      </w:pPr>
      <w:r w:rsidRPr="00460446">
        <w:rPr>
          <w:rFonts w:ascii="Arial" w:hAnsi="Arial" w:cs="Arial"/>
        </w:rPr>
        <w:tab/>
        <w:t>Insert:</w:t>
      </w:r>
    </w:p>
    <w:p w14:paraId="3760DBEE" w14:textId="76B72F8B" w:rsidR="00653404" w:rsidRDefault="00653404" w:rsidP="00653404">
      <w:pPr>
        <w:pStyle w:val="Notelevel1"/>
      </w:pPr>
      <w:r>
        <w:t>Note 2:  The minimum annual distribution rate may be lowered under Guidelines 19.2 and 19.</w:t>
      </w:r>
      <w:r w:rsidR="00724B9A">
        <w:t>7</w:t>
      </w:r>
      <w:r>
        <w:t xml:space="preserve"> for a financial year.</w:t>
      </w:r>
    </w:p>
    <w:p w14:paraId="1F4C7F12" w14:textId="40A47EDD" w:rsidR="004733E3" w:rsidRPr="00653404" w:rsidRDefault="00D07DE5" w:rsidP="00A03015">
      <w:pPr>
        <w:pStyle w:val="ActHead8"/>
        <w:rPr>
          <w:rFonts w:cs="Arial"/>
        </w:rPr>
      </w:pPr>
      <w:r>
        <w:rPr>
          <w:rFonts w:cs="Arial"/>
        </w:rPr>
        <w:t>9</w:t>
      </w:r>
      <w:r w:rsidR="004E4902" w:rsidRPr="00653404">
        <w:rPr>
          <w:rFonts w:cs="Arial"/>
        </w:rPr>
        <w:t xml:space="preserve">  </w:t>
      </w:r>
      <w:r w:rsidR="004733E3" w:rsidRPr="00653404">
        <w:rPr>
          <w:rFonts w:cs="Arial"/>
        </w:rPr>
        <w:t>Guideline 19.1</w:t>
      </w:r>
      <w:r w:rsidR="00FE1CE2" w:rsidRPr="00653404">
        <w:rPr>
          <w:rFonts w:cs="Arial"/>
        </w:rPr>
        <w:t xml:space="preserve"> (not including the note)</w:t>
      </w:r>
    </w:p>
    <w:p w14:paraId="37E7457E" w14:textId="6BAB18C6" w:rsidR="004733E3" w:rsidRPr="00653404" w:rsidRDefault="004733E3" w:rsidP="004733E3">
      <w:pPr>
        <w:pStyle w:val="Blocks"/>
        <w:rPr>
          <w:rFonts w:ascii="Arial" w:hAnsi="Arial" w:cs="Arial"/>
        </w:rPr>
      </w:pPr>
      <w:r w:rsidRPr="00653404">
        <w:rPr>
          <w:rFonts w:ascii="Arial" w:hAnsi="Arial" w:cs="Arial"/>
        </w:rPr>
        <w:tab/>
      </w:r>
      <w:r w:rsidR="00834443" w:rsidRPr="00653404">
        <w:rPr>
          <w:rFonts w:ascii="Arial" w:hAnsi="Arial" w:cs="Arial"/>
        </w:rPr>
        <w:t xml:space="preserve">Omit </w:t>
      </w:r>
      <w:r w:rsidRPr="00653404">
        <w:rPr>
          <w:rFonts w:ascii="Arial" w:hAnsi="Arial" w:cs="Arial"/>
        </w:rPr>
        <w:t>all the words after “year”</w:t>
      </w:r>
      <w:r w:rsidR="004E5CFB" w:rsidRPr="00653404">
        <w:rPr>
          <w:rFonts w:ascii="Arial" w:hAnsi="Arial" w:cs="Arial"/>
        </w:rPr>
        <w:t xml:space="preserve"> (first occurring)</w:t>
      </w:r>
      <w:r w:rsidRPr="00653404">
        <w:rPr>
          <w:rFonts w:ascii="Arial" w:hAnsi="Arial" w:cs="Arial"/>
        </w:rPr>
        <w:t>, substitute “if any expenses of the fund in relation to that financial year are paid directly or indirectly from the fund’s assets or income.</w:t>
      </w:r>
    </w:p>
    <w:p w14:paraId="54B39993" w14:textId="57A5BB09" w:rsidR="004733E3" w:rsidRPr="00653404" w:rsidRDefault="00D07DE5" w:rsidP="004733E3">
      <w:pPr>
        <w:pStyle w:val="ItemHead"/>
        <w:rPr>
          <w:rFonts w:cs="Arial"/>
        </w:rPr>
      </w:pPr>
      <w:r>
        <w:rPr>
          <w:rFonts w:cs="Arial"/>
        </w:rPr>
        <w:t>10</w:t>
      </w:r>
      <w:r w:rsidR="004E4902" w:rsidRPr="00653404">
        <w:rPr>
          <w:rFonts w:cs="Arial"/>
        </w:rPr>
        <w:t xml:space="preserve">  </w:t>
      </w:r>
      <w:r w:rsidR="004733E3" w:rsidRPr="00653404">
        <w:rPr>
          <w:rFonts w:cs="Arial"/>
        </w:rPr>
        <w:t>Guideline 19.1 (note)</w:t>
      </w:r>
    </w:p>
    <w:p w14:paraId="745A9D1E" w14:textId="67AEBF0F" w:rsidR="004733E3" w:rsidRPr="00F82257" w:rsidRDefault="004733E3" w:rsidP="004733E3">
      <w:pPr>
        <w:pStyle w:val="Blocks"/>
        <w:rPr>
          <w:rFonts w:ascii="Arial" w:hAnsi="Arial" w:cs="Arial"/>
        </w:rPr>
      </w:pPr>
      <w:r w:rsidRPr="00653404">
        <w:rPr>
          <w:rFonts w:ascii="Arial" w:hAnsi="Arial" w:cs="Arial"/>
        </w:rPr>
        <w:tab/>
      </w:r>
      <w:r w:rsidR="00834443" w:rsidRPr="00653404">
        <w:rPr>
          <w:rFonts w:ascii="Arial" w:hAnsi="Arial" w:cs="Arial"/>
        </w:rPr>
        <w:t xml:space="preserve">Omit </w:t>
      </w:r>
      <w:r w:rsidRPr="00653404">
        <w:rPr>
          <w:rFonts w:ascii="Arial" w:hAnsi="Arial" w:cs="Arial"/>
        </w:rPr>
        <w:t>all the words after “minimum annual distribution</w:t>
      </w:r>
      <w:r w:rsidR="00A8062D" w:rsidRPr="00653404">
        <w:rPr>
          <w:rFonts w:ascii="Arial" w:hAnsi="Arial" w:cs="Arial"/>
        </w:rPr>
        <w:t xml:space="preserve"> is</w:t>
      </w:r>
      <w:r w:rsidRPr="00653404">
        <w:rPr>
          <w:rFonts w:ascii="Arial" w:hAnsi="Arial" w:cs="Arial"/>
        </w:rPr>
        <w:t>”, substitute “</w:t>
      </w:r>
      <w:r w:rsidR="00106DFF" w:rsidRPr="00653404">
        <w:rPr>
          <w:rFonts w:ascii="Arial" w:hAnsi="Arial" w:cs="Arial"/>
        </w:rPr>
        <w:t xml:space="preserve">the amount calculated under Guideline 19.  If </w:t>
      </w:r>
      <w:r w:rsidR="008146ED" w:rsidRPr="00653404">
        <w:rPr>
          <w:rFonts w:ascii="Arial" w:hAnsi="Arial" w:cs="Arial"/>
        </w:rPr>
        <w:t xml:space="preserve">any of </w:t>
      </w:r>
      <w:r w:rsidR="00106DFF" w:rsidRPr="00653404">
        <w:rPr>
          <w:rFonts w:ascii="Arial" w:hAnsi="Arial" w:cs="Arial"/>
        </w:rPr>
        <w:t>a fund’s expenses are paid out of the fund’s assets or income, its minimum distribution is $11,000 or the amount calculated under Guideline 19</w:t>
      </w:r>
      <w:r w:rsidR="00834443" w:rsidRPr="00653404">
        <w:rPr>
          <w:rFonts w:ascii="Arial" w:hAnsi="Arial" w:cs="Arial"/>
        </w:rPr>
        <w:t>,</w:t>
      </w:r>
      <w:r w:rsidR="00106DFF" w:rsidRPr="00653404">
        <w:rPr>
          <w:rFonts w:ascii="Arial" w:hAnsi="Arial" w:cs="Arial"/>
        </w:rPr>
        <w:t xml:space="preserve"> whichever is greater.”</w:t>
      </w:r>
    </w:p>
    <w:p w14:paraId="2DD26800" w14:textId="0E345238" w:rsidR="004E5CFB" w:rsidRPr="00F82257" w:rsidRDefault="004E4902" w:rsidP="004E5CFB">
      <w:pPr>
        <w:pStyle w:val="ActHead8"/>
        <w:rPr>
          <w:rFonts w:cs="Arial"/>
        </w:rPr>
      </w:pPr>
      <w:r w:rsidRPr="00F82257">
        <w:rPr>
          <w:rFonts w:cs="Arial"/>
        </w:rPr>
        <w:t>1</w:t>
      </w:r>
      <w:r w:rsidR="00D07DE5">
        <w:rPr>
          <w:rFonts w:cs="Arial"/>
        </w:rPr>
        <w:t>1</w:t>
      </w:r>
      <w:r w:rsidRPr="00F82257">
        <w:rPr>
          <w:rFonts w:cs="Arial"/>
        </w:rPr>
        <w:t xml:space="preserve">  </w:t>
      </w:r>
      <w:r w:rsidR="004E5CFB" w:rsidRPr="00F82257">
        <w:rPr>
          <w:rFonts w:cs="Arial"/>
        </w:rPr>
        <w:t>Guideline 19.3 (at the end of the Guideline</w:t>
      </w:r>
      <w:r w:rsidR="00951649" w:rsidRPr="00F82257">
        <w:rPr>
          <w:rFonts w:cs="Arial"/>
        </w:rPr>
        <w:t xml:space="preserve"> and after the examples</w:t>
      </w:r>
      <w:r w:rsidR="004E5CFB" w:rsidRPr="00F82257">
        <w:rPr>
          <w:rFonts w:cs="Arial"/>
        </w:rPr>
        <w:t>)</w:t>
      </w:r>
    </w:p>
    <w:p w14:paraId="7BECA236" w14:textId="72C8A1AD" w:rsidR="004E5CFB" w:rsidRPr="00F82257" w:rsidRDefault="004E5CFB" w:rsidP="004E5CFB">
      <w:pPr>
        <w:pStyle w:val="Blocks"/>
        <w:rPr>
          <w:rFonts w:ascii="Arial" w:hAnsi="Arial" w:cs="Arial"/>
        </w:rPr>
      </w:pPr>
      <w:r w:rsidRPr="00F82257">
        <w:rPr>
          <w:rFonts w:ascii="Arial" w:hAnsi="Arial" w:cs="Arial"/>
        </w:rPr>
        <w:tab/>
      </w:r>
      <w:r w:rsidR="00425388" w:rsidRPr="00F82257">
        <w:rPr>
          <w:rFonts w:ascii="Arial" w:hAnsi="Arial" w:cs="Arial"/>
        </w:rPr>
        <w:t>Insert</w:t>
      </w:r>
      <w:r w:rsidRPr="00F82257">
        <w:rPr>
          <w:rFonts w:ascii="Arial" w:hAnsi="Arial" w:cs="Arial"/>
        </w:rPr>
        <w:t>:</w:t>
      </w:r>
    </w:p>
    <w:p w14:paraId="4017E622" w14:textId="624A274C" w:rsidR="004E5CFB" w:rsidRDefault="004E5CFB" w:rsidP="004E5CFB">
      <w:pPr>
        <w:pStyle w:val="Notelevel2"/>
      </w:pPr>
      <w:r w:rsidRPr="00F82257">
        <w:t xml:space="preserve">Example 3: If a private ancillary fund invests in a social impact bond issued by a deductible gift recipient with a return that is less than the market rate of return on a similar corporate bond issue, the fund is providing a benefit whose market value is equal to the interest saved </w:t>
      </w:r>
      <w:r w:rsidR="008146ED" w:rsidRPr="00F82257">
        <w:t xml:space="preserve">in the financial year </w:t>
      </w:r>
      <w:r w:rsidRPr="00F82257">
        <w:t>by the deductible gift recipient from issuing the bond at a discounted rate of return.</w:t>
      </w:r>
    </w:p>
    <w:p w14:paraId="50BF5984" w14:textId="3AA2EEC5" w:rsidR="00AC7F84" w:rsidRPr="00C25520" w:rsidRDefault="00AC7F84" w:rsidP="004E5CFB">
      <w:pPr>
        <w:pStyle w:val="Notelevel2"/>
      </w:pPr>
      <w:r w:rsidRPr="00C25520">
        <w:lastRenderedPageBreak/>
        <w:t>Example 4:  If a private ancillary fund lends money to a deductible gift recipient at a discount to the interest rate which would be charged on a comparable loan sourced from a financial institution at arm’s length, the fund is providing a benefit whose market value is equal to the discount.</w:t>
      </w:r>
    </w:p>
    <w:p w14:paraId="115F24C4" w14:textId="6581A351" w:rsidR="00686AE8" w:rsidRDefault="00AC7F84" w:rsidP="004E5CFB">
      <w:pPr>
        <w:pStyle w:val="Notelevel2"/>
      </w:pPr>
      <w:r w:rsidRPr="00C25520">
        <w:t xml:space="preserve">Example 5:  </w:t>
      </w:r>
      <w:r w:rsidR="00CD0831" w:rsidRPr="00C25520">
        <w:t xml:space="preserve">If a private ancillary fund guarantees a loan provided by a financial institution to a deductible gift recipient, </w:t>
      </w:r>
      <w:r w:rsidR="00742800" w:rsidRPr="00C25520">
        <w:t xml:space="preserve">the fund is providing a benefit whose market value is equal to the discount to the interest rate which would be charged on a comparable </w:t>
      </w:r>
      <w:r w:rsidR="00686AE8">
        <w:t>arm’s length</w:t>
      </w:r>
      <w:r w:rsidR="00686AE8" w:rsidRPr="00C25520">
        <w:t xml:space="preserve"> </w:t>
      </w:r>
      <w:r w:rsidR="00742800" w:rsidRPr="00C25520">
        <w:t xml:space="preserve">unsecured loan sourced from </w:t>
      </w:r>
      <w:r w:rsidR="00686AE8">
        <w:t>that</w:t>
      </w:r>
      <w:r w:rsidR="00742800" w:rsidRPr="00C25520">
        <w:t xml:space="preserve"> financia</w:t>
      </w:r>
      <w:r w:rsidR="00686AE8">
        <w:t>l institution.</w:t>
      </w:r>
    </w:p>
    <w:p w14:paraId="578B63A6" w14:textId="31767CBC" w:rsidR="00AC7F84" w:rsidRPr="00C25520" w:rsidRDefault="00686AE8" w:rsidP="004E5CFB">
      <w:pPr>
        <w:pStyle w:val="Notelevel2"/>
      </w:pPr>
      <w:r>
        <w:t>Example 6:  Continuing example 5, i</w:t>
      </w:r>
      <w:r w:rsidR="00742800" w:rsidRPr="00C25520">
        <w:t>f the deductible gift recipient defaults on the loan and the fund is called on under the guarantee to make a payment to the financial institution</w:t>
      </w:r>
      <w:r w:rsidR="006F5688" w:rsidRPr="00C25520">
        <w:t xml:space="preserve"> on behalf of the deductible gift recipient</w:t>
      </w:r>
      <w:r w:rsidR="00742800" w:rsidRPr="00C25520">
        <w:t>, the payment is a distribution (being the provision of money, property or benefits).</w:t>
      </w:r>
    </w:p>
    <w:p w14:paraId="0DC3AD60" w14:textId="487D6F42" w:rsidR="00600C21" w:rsidRPr="00C25520" w:rsidRDefault="00600C21" w:rsidP="004E5CFB">
      <w:pPr>
        <w:pStyle w:val="Notelevel2"/>
      </w:pPr>
      <w:r w:rsidRPr="00C25520">
        <w:t xml:space="preserve">Note 1:  The Commissioner may </w:t>
      </w:r>
      <w:r w:rsidR="00523A4F" w:rsidRPr="00C25520">
        <w:t xml:space="preserve">approve safe harbour valuation methodologies to assist trustees in calculating the market value of a benefit provided to a deductible gift recipient – see Subdivision 960-M of the </w:t>
      </w:r>
      <w:r w:rsidR="00523A4F" w:rsidRPr="00C25520">
        <w:rPr>
          <w:i w:val="0"/>
        </w:rPr>
        <w:t>Income Tax Assessment Act 1997</w:t>
      </w:r>
      <w:r w:rsidR="00523A4F" w:rsidRPr="00C25520">
        <w:t>.</w:t>
      </w:r>
    </w:p>
    <w:p w14:paraId="53D9F50D" w14:textId="59FB0670" w:rsidR="00653404" w:rsidRPr="00C25520" w:rsidRDefault="00D07DE5" w:rsidP="00653404">
      <w:pPr>
        <w:pStyle w:val="ActHead8"/>
        <w:rPr>
          <w:rFonts w:cs="Arial"/>
        </w:rPr>
      </w:pPr>
      <w:r w:rsidRPr="00C25520">
        <w:rPr>
          <w:rFonts w:cs="Arial"/>
        </w:rPr>
        <w:t>12</w:t>
      </w:r>
      <w:r w:rsidR="00653404" w:rsidRPr="00C25520">
        <w:rPr>
          <w:rFonts w:cs="Arial"/>
        </w:rPr>
        <w:t xml:space="preserve">  After Guideline 19.6 </w:t>
      </w:r>
    </w:p>
    <w:p w14:paraId="2CB5DB4D" w14:textId="4BFC4DFB" w:rsidR="00653404" w:rsidRPr="00C25520" w:rsidRDefault="00653404" w:rsidP="00653404">
      <w:pPr>
        <w:pStyle w:val="Blocks"/>
        <w:rPr>
          <w:rFonts w:ascii="Arial" w:hAnsi="Arial" w:cs="Arial"/>
        </w:rPr>
      </w:pPr>
      <w:r w:rsidRPr="00C25520">
        <w:rPr>
          <w:rFonts w:ascii="Arial" w:hAnsi="Arial" w:cs="Arial"/>
        </w:rPr>
        <w:tab/>
        <w:t>Insert:</w:t>
      </w:r>
    </w:p>
    <w:p w14:paraId="387E6435" w14:textId="04FB7776" w:rsidR="00DF167E" w:rsidRPr="00C25520" w:rsidRDefault="00DF167E" w:rsidP="00653404">
      <w:pPr>
        <w:pStyle w:val="Blocks"/>
        <w:rPr>
          <w:rFonts w:ascii="Arial" w:hAnsi="Arial" w:cs="Arial"/>
          <w:i/>
        </w:rPr>
      </w:pPr>
      <w:r w:rsidRPr="00C25520">
        <w:rPr>
          <w:rFonts w:ascii="Arial" w:hAnsi="Arial" w:cs="Arial"/>
        </w:rPr>
        <w:tab/>
      </w:r>
      <w:r w:rsidRPr="00C25520">
        <w:rPr>
          <w:rFonts w:ascii="Arial" w:hAnsi="Arial" w:cs="Arial"/>
          <w:i/>
        </w:rPr>
        <w:t>Accessing a lower minimum distribution rate for a financial year</w:t>
      </w:r>
    </w:p>
    <w:p w14:paraId="57AAF548" w14:textId="3614F9BC" w:rsidR="00653404" w:rsidRPr="00C25520" w:rsidRDefault="00653404" w:rsidP="00653404">
      <w:pPr>
        <w:pStyle w:val="OutlineNumbered2"/>
        <w:ind w:left="1418" w:hanging="851"/>
      </w:pPr>
      <w:r w:rsidRPr="00C25520">
        <w:t>19.7</w:t>
      </w:r>
      <w:r w:rsidR="00DF167E" w:rsidRPr="00C25520">
        <w:t>.</w:t>
      </w:r>
      <w:r w:rsidRPr="00C25520">
        <w:tab/>
        <w:t>Upon application, in the *approved form, the Commissioner may reduce (but not to zero) the minimum annual distribution rate for a fund for a *financial year.  The reduction may be subject to any conditions the Commissioner thinks fit.</w:t>
      </w:r>
    </w:p>
    <w:p w14:paraId="5FA7376D" w14:textId="323E66F3" w:rsidR="00397AE3" w:rsidRPr="00C25520" w:rsidRDefault="00397AE3" w:rsidP="00397AE3">
      <w:pPr>
        <w:pStyle w:val="OutlineNumbered3"/>
        <w:ind w:left="2160" w:hanging="1026"/>
      </w:pPr>
      <w:r w:rsidRPr="00C25520">
        <w:t>19.7.1</w:t>
      </w:r>
      <w:r w:rsidR="00DF167E" w:rsidRPr="00C25520">
        <w:t>.</w:t>
      </w:r>
      <w:r w:rsidRPr="00C25520">
        <w:tab/>
      </w:r>
      <w:r w:rsidR="00E51EF9" w:rsidRPr="00C25520">
        <w:t>Recognising the purpose and object of the fund, t</w:t>
      </w:r>
      <w:r w:rsidRPr="00C25520">
        <w:t xml:space="preserve">he Commissioner must only reduce the minimum annual distribution rate if the Commissioner is satisfied </w:t>
      </w:r>
      <w:r w:rsidR="00074145" w:rsidRPr="00C25520">
        <w:t xml:space="preserve">that </w:t>
      </w:r>
      <w:r w:rsidRPr="00C25520">
        <w:t>the</w:t>
      </w:r>
      <w:r w:rsidR="00074145" w:rsidRPr="00C25520">
        <w:t>re are</w:t>
      </w:r>
      <w:r w:rsidRPr="00C25520">
        <w:t xml:space="preserve"> circumstances that warrant the Commissioner reducing the rate.</w:t>
      </w:r>
    </w:p>
    <w:p w14:paraId="5DBD6E8C" w14:textId="04914F4F" w:rsidR="00764050" w:rsidRPr="00C25520" w:rsidRDefault="00764050" w:rsidP="00397AE3">
      <w:pPr>
        <w:pStyle w:val="OutlineNumbered3"/>
        <w:ind w:left="2160" w:hanging="1026"/>
      </w:pPr>
      <w:r w:rsidRPr="00C25520">
        <w:t>19.7.2.</w:t>
      </w:r>
      <w:r w:rsidRPr="00C25520">
        <w:tab/>
        <w:t>The Commissioner may reduce the minimum annual distribution rate at any time, including after the relevant financial year has finished.</w:t>
      </w:r>
    </w:p>
    <w:p w14:paraId="43B795F7" w14:textId="45F5F598" w:rsidR="00397AE3" w:rsidRPr="00C25520" w:rsidRDefault="00397AE3" w:rsidP="00397AE3">
      <w:pPr>
        <w:pStyle w:val="OutlineNumbered3"/>
        <w:ind w:left="2160" w:hanging="1026"/>
      </w:pPr>
      <w:r w:rsidRPr="00C25520">
        <w:t>19.7.</w:t>
      </w:r>
      <w:r w:rsidR="00764050" w:rsidRPr="00C25520">
        <w:t>3</w:t>
      </w:r>
      <w:r w:rsidR="00DF167E" w:rsidRPr="00C25520">
        <w:t>.</w:t>
      </w:r>
      <w:r w:rsidRPr="00C25520">
        <w:tab/>
        <w:t xml:space="preserve">In determining whether to reduce the rate and what the reduced rate should be, the Commissioner </w:t>
      </w:r>
      <w:r w:rsidR="00587436" w:rsidRPr="00C25520">
        <w:t>must</w:t>
      </w:r>
      <w:r w:rsidRPr="00C25520">
        <w:t xml:space="preserve"> have regard to:</w:t>
      </w:r>
    </w:p>
    <w:p w14:paraId="4D58C8C2" w14:textId="497C856A" w:rsidR="00397AE3" w:rsidRPr="00C25520" w:rsidRDefault="00397AE3" w:rsidP="00397AE3">
      <w:pPr>
        <w:pStyle w:val="bulletlevel2"/>
        <w:numPr>
          <w:ilvl w:val="0"/>
          <w:numId w:val="2"/>
        </w:numPr>
        <w:tabs>
          <w:tab w:val="clear" w:pos="607"/>
          <w:tab w:val="num" w:pos="1440"/>
        </w:tabs>
        <w:ind w:left="2552" w:hanging="360"/>
      </w:pPr>
      <w:r w:rsidRPr="00C25520">
        <w:lastRenderedPageBreak/>
        <w:t>the general market conditions in Australia; and</w:t>
      </w:r>
    </w:p>
    <w:p w14:paraId="4EA27558" w14:textId="0FD6E22C" w:rsidR="00397AE3" w:rsidRPr="00C25520" w:rsidRDefault="00397AE3" w:rsidP="00397AE3">
      <w:pPr>
        <w:pStyle w:val="bulletlevel2"/>
        <w:numPr>
          <w:ilvl w:val="0"/>
          <w:numId w:val="2"/>
        </w:numPr>
        <w:tabs>
          <w:tab w:val="clear" w:pos="607"/>
          <w:tab w:val="num" w:pos="1440"/>
        </w:tabs>
        <w:ind w:left="2552" w:hanging="360"/>
      </w:pPr>
      <w:r w:rsidRPr="00C25520">
        <w:t xml:space="preserve">the </w:t>
      </w:r>
      <w:r w:rsidR="00764050" w:rsidRPr="00C25520">
        <w:t xml:space="preserve">past, </w:t>
      </w:r>
      <w:r w:rsidRPr="00C25520">
        <w:t>current and expected levels of returns from the fund’s investments; and</w:t>
      </w:r>
    </w:p>
    <w:p w14:paraId="06FE5821" w14:textId="7BAFCEAB" w:rsidR="00397AE3" w:rsidRPr="00C25520" w:rsidRDefault="00397AE3" w:rsidP="00397AE3">
      <w:pPr>
        <w:pStyle w:val="bulletlevel2"/>
        <w:numPr>
          <w:ilvl w:val="0"/>
          <w:numId w:val="2"/>
        </w:numPr>
        <w:tabs>
          <w:tab w:val="clear" w:pos="607"/>
          <w:tab w:val="num" w:pos="1440"/>
        </w:tabs>
        <w:ind w:left="2552" w:hanging="360"/>
      </w:pPr>
      <w:r w:rsidRPr="00C25520">
        <w:t xml:space="preserve">the long-term impact on the </w:t>
      </w:r>
      <w:r w:rsidR="00764050" w:rsidRPr="00C25520">
        <w:t>assets</w:t>
      </w:r>
      <w:r w:rsidRPr="00C25520">
        <w:t xml:space="preserve"> of the fund from not reducing the rate for a *financial year; and</w:t>
      </w:r>
    </w:p>
    <w:p w14:paraId="4214CEEC" w14:textId="300DC2E0" w:rsidR="00397AE3" w:rsidRPr="00C25520" w:rsidRDefault="00397AE3" w:rsidP="00397AE3">
      <w:pPr>
        <w:pStyle w:val="bulletlevel2"/>
        <w:numPr>
          <w:ilvl w:val="0"/>
          <w:numId w:val="2"/>
        </w:numPr>
        <w:tabs>
          <w:tab w:val="clear" w:pos="607"/>
          <w:tab w:val="num" w:pos="1440"/>
        </w:tabs>
        <w:ind w:left="2552" w:hanging="360"/>
      </w:pPr>
      <w:r w:rsidRPr="00C25520">
        <w:t xml:space="preserve">the level of distributions </w:t>
      </w:r>
      <w:r w:rsidR="00764050" w:rsidRPr="00C25520">
        <w:t>made</w:t>
      </w:r>
      <w:r w:rsidRPr="00C25520">
        <w:t xml:space="preserve"> by the fund in previous financial years; and</w:t>
      </w:r>
    </w:p>
    <w:p w14:paraId="15AC8186" w14:textId="05E437F2" w:rsidR="00397AE3" w:rsidRPr="00C25520" w:rsidRDefault="00397AE3" w:rsidP="00397AE3">
      <w:pPr>
        <w:pStyle w:val="bulletlevel2"/>
        <w:numPr>
          <w:ilvl w:val="0"/>
          <w:numId w:val="2"/>
        </w:numPr>
        <w:tabs>
          <w:tab w:val="clear" w:pos="607"/>
          <w:tab w:val="num" w:pos="1440"/>
        </w:tabs>
        <w:ind w:left="2552" w:hanging="360"/>
      </w:pPr>
      <w:r w:rsidRPr="00C25520">
        <w:t xml:space="preserve">the investment strategy and distribution strategy of the fund; and </w:t>
      </w:r>
    </w:p>
    <w:p w14:paraId="1AF9CD9D" w14:textId="098FFDCE" w:rsidR="00764050" w:rsidRPr="00C25520" w:rsidRDefault="00764050" w:rsidP="00397AE3">
      <w:pPr>
        <w:pStyle w:val="bulletlevel2"/>
        <w:numPr>
          <w:ilvl w:val="0"/>
          <w:numId w:val="2"/>
        </w:numPr>
        <w:tabs>
          <w:tab w:val="clear" w:pos="607"/>
          <w:tab w:val="num" w:pos="1440"/>
        </w:tabs>
        <w:ind w:left="2552" w:hanging="360"/>
      </w:pPr>
      <w:r w:rsidRPr="00C25520">
        <w:t>the size of the fund; and</w:t>
      </w:r>
    </w:p>
    <w:p w14:paraId="73B8716C" w14:textId="3C650D03" w:rsidR="00397AE3" w:rsidRPr="00C25520" w:rsidRDefault="00397AE3" w:rsidP="00397AE3">
      <w:pPr>
        <w:pStyle w:val="bulletlevel2"/>
        <w:numPr>
          <w:ilvl w:val="0"/>
          <w:numId w:val="2"/>
        </w:numPr>
        <w:tabs>
          <w:tab w:val="clear" w:pos="607"/>
          <w:tab w:val="num" w:pos="1440"/>
        </w:tabs>
        <w:ind w:left="2552" w:hanging="360"/>
      </w:pPr>
      <w:r w:rsidRPr="00C25520">
        <w:t xml:space="preserve">the compliance history of the fund and </w:t>
      </w:r>
      <w:r w:rsidR="00764050" w:rsidRPr="00C25520">
        <w:t xml:space="preserve">the </w:t>
      </w:r>
      <w:r w:rsidRPr="00C25520">
        <w:t>trustee; and</w:t>
      </w:r>
    </w:p>
    <w:p w14:paraId="1F42EE32" w14:textId="7F948C32" w:rsidR="00397AE3" w:rsidRPr="00C25520" w:rsidRDefault="00397AE3" w:rsidP="00397AE3">
      <w:pPr>
        <w:pStyle w:val="bulletlevel2"/>
        <w:numPr>
          <w:ilvl w:val="0"/>
          <w:numId w:val="2"/>
        </w:numPr>
        <w:tabs>
          <w:tab w:val="clear" w:pos="607"/>
          <w:tab w:val="num" w:pos="1440"/>
        </w:tabs>
        <w:ind w:left="2552" w:hanging="360"/>
      </w:pPr>
      <w:r w:rsidRPr="00C25520">
        <w:t>the fees and expenses of the fund; and</w:t>
      </w:r>
    </w:p>
    <w:p w14:paraId="5748CF14" w14:textId="3681A89B" w:rsidR="00764050" w:rsidRPr="00C25520" w:rsidRDefault="00764050" w:rsidP="00397AE3">
      <w:pPr>
        <w:pStyle w:val="bulletlevel2"/>
        <w:numPr>
          <w:ilvl w:val="0"/>
          <w:numId w:val="2"/>
        </w:numPr>
        <w:tabs>
          <w:tab w:val="clear" w:pos="607"/>
          <w:tab w:val="num" w:pos="1440"/>
        </w:tabs>
        <w:ind w:left="2552" w:hanging="360"/>
      </w:pPr>
      <w:r w:rsidRPr="00C25520">
        <w:t>the terms and other circumstances relating to any gift to the fund under a will; and</w:t>
      </w:r>
    </w:p>
    <w:p w14:paraId="7B8D8782" w14:textId="4FBACB3C" w:rsidR="00397AE3" w:rsidRPr="00C25520" w:rsidRDefault="00397AE3" w:rsidP="00397AE3">
      <w:pPr>
        <w:pStyle w:val="bulletlevel2"/>
        <w:numPr>
          <w:ilvl w:val="0"/>
          <w:numId w:val="2"/>
        </w:numPr>
        <w:tabs>
          <w:tab w:val="clear" w:pos="607"/>
          <w:tab w:val="num" w:pos="1440"/>
        </w:tabs>
        <w:ind w:left="2552" w:hanging="360"/>
      </w:pPr>
      <w:r w:rsidRPr="00C25520">
        <w:t>any other matter the Commissioner considers relevant.</w:t>
      </w:r>
    </w:p>
    <w:p w14:paraId="586BD4AB" w14:textId="22459E15" w:rsidR="00DF167E" w:rsidRPr="00C25520" w:rsidRDefault="00914375" w:rsidP="00DF167E">
      <w:pPr>
        <w:pStyle w:val="Notelevel1"/>
        <w:ind w:left="607"/>
      </w:pPr>
      <w:r w:rsidRPr="00C25520">
        <w:t>Note 1:  Having regard to the general market conditions in Australia, could include reviewing the Reserve Bank of Australia’s target for the cash rate (which is the overnight money market interest rate), the *base interest rate, current returns of other ancillary funds, and the performance of *approved stock exchanges.  It could also include examining changes in conditions over time.</w:t>
      </w:r>
    </w:p>
    <w:p w14:paraId="3C8AE66B" w14:textId="2F4EED30" w:rsidR="00A03015" w:rsidRPr="00C25520" w:rsidRDefault="004E4902" w:rsidP="00A03015">
      <w:pPr>
        <w:pStyle w:val="ActHead8"/>
        <w:rPr>
          <w:rFonts w:cs="Arial"/>
        </w:rPr>
      </w:pPr>
      <w:r w:rsidRPr="00C25520">
        <w:rPr>
          <w:rFonts w:cs="Arial"/>
        </w:rPr>
        <w:t>1</w:t>
      </w:r>
      <w:r w:rsidR="00811405" w:rsidRPr="00C25520">
        <w:rPr>
          <w:rFonts w:cs="Arial"/>
        </w:rPr>
        <w:t>3</w:t>
      </w:r>
      <w:r w:rsidRPr="00C25520">
        <w:rPr>
          <w:rFonts w:cs="Arial"/>
        </w:rPr>
        <w:t xml:space="preserve">  </w:t>
      </w:r>
      <w:r w:rsidR="00A03015" w:rsidRPr="00C25520">
        <w:rPr>
          <w:rFonts w:cs="Arial"/>
        </w:rPr>
        <w:t>Guideline 20 (note)</w:t>
      </w:r>
    </w:p>
    <w:p w14:paraId="37B6701D" w14:textId="77777777" w:rsidR="00A03015" w:rsidRPr="00C25520" w:rsidRDefault="00A03015" w:rsidP="00A03015">
      <w:pPr>
        <w:pStyle w:val="Blocks"/>
        <w:ind w:firstLine="0"/>
        <w:rPr>
          <w:rFonts w:ascii="Arial" w:hAnsi="Arial" w:cs="Arial"/>
        </w:rPr>
      </w:pPr>
      <w:r w:rsidRPr="00C25520">
        <w:rPr>
          <w:rFonts w:ascii="Arial" w:hAnsi="Arial" w:cs="Arial"/>
        </w:rPr>
        <w:t>Omit “section 22”, substitute “section 2B”.</w:t>
      </w:r>
    </w:p>
    <w:p w14:paraId="6CF7C8D2" w14:textId="24A27723" w:rsidR="00A03015" w:rsidRPr="00C25520" w:rsidRDefault="004E4902" w:rsidP="00A03015">
      <w:pPr>
        <w:pStyle w:val="ActHead8"/>
        <w:rPr>
          <w:rFonts w:cs="Arial"/>
        </w:rPr>
      </w:pPr>
      <w:r w:rsidRPr="00C25520">
        <w:rPr>
          <w:rFonts w:cs="Arial"/>
        </w:rPr>
        <w:t>1</w:t>
      </w:r>
      <w:r w:rsidR="00811405" w:rsidRPr="00C25520">
        <w:rPr>
          <w:rFonts w:cs="Arial"/>
        </w:rPr>
        <w:t>4</w:t>
      </w:r>
      <w:r w:rsidRPr="00C25520">
        <w:rPr>
          <w:rFonts w:cs="Arial"/>
        </w:rPr>
        <w:t xml:space="preserve">  </w:t>
      </w:r>
      <w:r w:rsidR="00A03015" w:rsidRPr="00C25520">
        <w:rPr>
          <w:rFonts w:cs="Arial"/>
        </w:rPr>
        <w:t>Guideline 20.1 (note 3)</w:t>
      </w:r>
      <w:bookmarkEnd w:id="11"/>
    </w:p>
    <w:p w14:paraId="78E01AA5" w14:textId="77777777" w:rsidR="00A03015" w:rsidRPr="00F82257" w:rsidRDefault="00A03015" w:rsidP="00A03015">
      <w:pPr>
        <w:pStyle w:val="Blocks"/>
        <w:rPr>
          <w:rFonts w:ascii="Arial" w:hAnsi="Arial" w:cs="Arial"/>
        </w:rPr>
      </w:pPr>
      <w:r w:rsidRPr="00C25520">
        <w:rPr>
          <w:rFonts w:ascii="Arial" w:hAnsi="Arial" w:cs="Arial"/>
        </w:rPr>
        <w:tab/>
        <w:t>Omit “(through the Australian Valuation Office)”.</w:t>
      </w:r>
    </w:p>
    <w:p w14:paraId="486B1D9C" w14:textId="5D56F324" w:rsidR="00A03015" w:rsidRPr="00F82257" w:rsidRDefault="004E4902" w:rsidP="00A03015">
      <w:pPr>
        <w:pStyle w:val="ActHead8"/>
        <w:rPr>
          <w:rFonts w:cs="Arial"/>
        </w:rPr>
      </w:pPr>
      <w:bookmarkStart w:id="12" w:name="_Toc392252355"/>
      <w:r w:rsidRPr="00F82257">
        <w:rPr>
          <w:rFonts w:cs="Arial"/>
        </w:rPr>
        <w:t>1</w:t>
      </w:r>
      <w:r w:rsidR="00811405">
        <w:rPr>
          <w:rFonts w:cs="Arial"/>
        </w:rPr>
        <w:t>5</w:t>
      </w:r>
      <w:r w:rsidRPr="00F82257">
        <w:rPr>
          <w:rFonts w:cs="Arial"/>
        </w:rPr>
        <w:t xml:space="preserve">  </w:t>
      </w:r>
      <w:r w:rsidR="00A03015" w:rsidRPr="00F82257">
        <w:rPr>
          <w:rFonts w:cs="Arial"/>
        </w:rPr>
        <w:t>Guideline 21.1</w:t>
      </w:r>
      <w:bookmarkEnd w:id="12"/>
    </w:p>
    <w:p w14:paraId="505BB247" w14:textId="77777777" w:rsidR="00A03015" w:rsidRPr="00F82257" w:rsidRDefault="00A03015" w:rsidP="00A03015">
      <w:pPr>
        <w:pStyle w:val="Blocks"/>
        <w:rPr>
          <w:rFonts w:ascii="Arial" w:hAnsi="Arial" w:cs="Arial"/>
        </w:rPr>
      </w:pPr>
      <w:r w:rsidRPr="00F82257">
        <w:rPr>
          <w:rFonts w:ascii="Arial" w:hAnsi="Arial" w:cs="Arial"/>
        </w:rPr>
        <w:tab/>
        <w:t>Omit “(through the Australian Valuation Office)”.</w:t>
      </w:r>
    </w:p>
    <w:p w14:paraId="68D32801" w14:textId="628DC099" w:rsidR="00A03015" w:rsidRPr="00F82257" w:rsidRDefault="004E4902" w:rsidP="00A03015">
      <w:pPr>
        <w:pStyle w:val="ActHead8"/>
        <w:rPr>
          <w:rFonts w:cs="Arial"/>
        </w:rPr>
      </w:pPr>
      <w:bookmarkStart w:id="13" w:name="_Toc392252356"/>
      <w:r w:rsidRPr="00F82257">
        <w:rPr>
          <w:rFonts w:cs="Arial"/>
        </w:rPr>
        <w:t>1</w:t>
      </w:r>
      <w:r w:rsidR="007B38D6">
        <w:rPr>
          <w:rFonts w:cs="Arial"/>
        </w:rPr>
        <w:t>6</w:t>
      </w:r>
      <w:r w:rsidRPr="00F82257">
        <w:rPr>
          <w:rFonts w:cs="Arial"/>
        </w:rPr>
        <w:t xml:space="preserve">  </w:t>
      </w:r>
      <w:r w:rsidR="00A03015" w:rsidRPr="00F82257">
        <w:rPr>
          <w:rFonts w:cs="Arial"/>
        </w:rPr>
        <w:t>Guideline 21.1.1 (note)</w:t>
      </w:r>
      <w:bookmarkEnd w:id="13"/>
    </w:p>
    <w:p w14:paraId="07B2A2E1" w14:textId="77777777" w:rsidR="00A03015" w:rsidRPr="00F82257" w:rsidRDefault="00A03015" w:rsidP="00A03015">
      <w:pPr>
        <w:pStyle w:val="Blocks"/>
        <w:rPr>
          <w:rFonts w:ascii="Arial" w:hAnsi="Arial" w:cs="Arial"/>
        </w:rPr>
      </w:pPr>
      <w:r w:rsidRPr="00F82257">
        <w:rPr>
          <w:rFonts w:ascii="Arial" w:hAnsi="Arial" w:cs="Arial"/>
        </w:rPr>
        <w:tab/>
        <w:t>Omit “(through the Australian Valuation Office)”.</w:t>
      </w:r>
    </w:p>
    <w:p w14:paraId="6B1F5685" w14:textId="6AE8F50D" w:rsidR="00A03015" w:rsidRPr="00F82257" w:rsidRDefault="004E4902" w:rsidP="00A03015">
      <w:pPr>
        <w:pStyle w:val="ActHead8"/>
        <w:rPr>
          <w:rFonts w:cs="Arial"/>
        </w:rPr>
      </w:pPr>
      <w:bookmarkStart w:id="14" w:name="_Toc392252357"/>
      <w:r w:rsidRPr="00F82257">
        <w:rPr>
          <w:rFonts w:cs="Arial"/>
        </w:rPr>
        <w:lastRenderedPageBreak/>
        <w:t>1</w:t>
      </w:r>
      <w:r w:rsidR="007B38D6">
        <w:rPr>
          <w:rFonts w:cs="Arial"/>
        </w:rPr>
        <w:t>7</w:t>
      </w:r>
      <w:r w:rsidRPr="00F82257">
        <w:rPr>
          <w:rFonts w:cs="Arial"/>
        </w:rPr>
        <w:t xml:space="preserve">  </w:t>
      </w:r>
      <w:r w:rsidR="00A03015" w:rsidRPr="00F82257">
        <w:rPr>
          <w:rFonts w:cs="Arial"/>
        </w:rPr>
        <w:t>Guideline 22 (note)</w:t>
      </w:r>
      <w:bookmarkEnd w:id="14"/>
    </w:p>
    <w:p w14:paraId="2C4722C8" w14:textId="77777777" w:rsidR="00A03015" w:rsidRPr="00F82257" w:rsidRDefault="00A03015" w:rsidP="00A03015">
      <w:pPr>
        <w:pStyle w:val="Blocks"/>
        <w:rPr>
          <w:rFonts w:ascii="Arial" w:hAnsi="Arial" w:cs="Arial"/>
        </w:rPr>
      </w:pPr>
      <w:r w:rsidRPr="00F82257">
        <w:rPr>
          <w:rFonts w:ascii="Arial" w:hAnsi="Arial" w:cs="Arial"/>
        </w:rPr>
        <w:tab/>
        <w:t>Omit “(through the Australian Valuation Office)” (wherever occurring).</w:t>
      </w:r>
    </w:p>
    <w:p w14:paraId="400E0CE0" w14:textId="5D7717C7" w:rsidR="00A03015" w:rsidRPr="00F82257" w:rsidRDefault="004E4902" w:rsidP="007D1869">
      <w:pPr>
        <w:pStyle w:val="ActHead8"/>
        <w:keepNext w:val="0"/>
        <w:keepLines w:val="0"/>
        <w:rPr>
          <w:rFonts w:cs="Arial"/>
        </w:rPr>
      </w:pPr>
      <w:bookmarkStart w:id="15" w:name="_Toc392252358"/>
      <w:r w:rsidRPr="00F82257">
        <w:rPr>
          <w:rFonts w:cs="Arial"/>
        </w:rPr>
        <w:t>1</w:t>
      </w:r>
      <w:r w:rsidR="007B38D6">
        <w:rPr>
          <w:rFonts w:cs="Arial"/>
        </w:rPr>
        <w:t>8</w:t>
      </w:r>
      <w:r w:rsidRPr="00F82257">
        <w:rPr>
          <w:rFonts w:cs="Arial"/>
        </w:rPr>
        <w:t xml:space="preserve">  </w:t>
      </w:r>
      <w:r w:rsidR="00A03015" w:rsidRPr="00F82257">
        <w:rPr>
          <w:rFonts w:cs="Arial"/>
        </w:rPr>
        <w:t>Guideline 23</w:t>
      </w:r>
      <w:bookmarkEnd w:id="15"/>
    </w:p>
    <w:p w14:paraId="7610CC62" w14:textId="77777777" w:rsidR="00A03015" w:rsidRPr="00F82257" w:rsidRDefault="00A03015" w:rsidP="007D1869">
      <w:pPr>
        <w:pStyle w:val="Blocks"/>
        <w:rPr>
          <w:rFonts w:ascii="Arial" w:hAnsi="Arial" w:cs="Arial"/>
        </w:rPr>
      </w:pPr>
      <w:r w:rsidRPr="00F82257">
        <w:rPr>
          <w:rFonts w:ascii="Arial" w:hAnsi="Arial" w:cs="Arial"/>
        </w:rPr>
        <w:tab/>
        <w:t>Omit “Esimates”, substitute “Estimates”.</w:t>
      </w:r>
    </w:p>
    <w:p w14:paraId="7D7DB1BA" w14:textId="2FF2F3AE" w:rsidR="00A03015" w:rsidRPr="00F82257" w:rsidRDefault="004E4902" w:rsidP="007D1869">
      <w:pPr>
        <w:pStyle w:val="ActHead8"/>
        <w:rPr>
          <w:rFonts w:cs="Arial"/>
        </w:rPr>
      </w:pPr>
      <w:bookmarkStart w:id="16" w:name="_Toc392252359"/>
      <w:r w:rsidRPr="00F82257">
        <w:rPr>
          <w:rFonts w:cs="Arial"/>
        </w:rPr>
        <w:t>1</w:t>
      </w:r>
      <w:r w:rsidR="007B38D6">
        <w:rPr>
          <w:rFonts w:cs="Arial"/>
        </w:rPr>
        <w:t>9</w:t>
      </w:r>
      <w:r w:rsidRPr="00F82257">
        <w:rPr>
          <w:rFonts w:cs="Arial"/>
        </w:rPr>
        <w:t xml:space="preserve">  </w:t>
      </w:r>
      <w:r w:rsidR="00A03015" w:rsidRPr="00F82257">
        <w:rPr>
          <w:rFonts w:cs="Arial"/>
        </w:rPr>
        <w:t>Guideline 26.1 (at the end of the Guideline)</w:t>
      </w:r>
    </w:p>
    <w:p w14:paraId="5A181C96" w14:textId="67C6C90F" w:rsidR="00A03015" w:rsidRPr="00C25520" w:rsidRDefault="00A03015" w:rsidP="007D1869">
      <w:pPr>
        <w:pStyle w:val="Blocks"/>
        <w:keepNext/>
        <w:keepLines/>
        <w:rPr>
          <w:rFonts w:ascii="Arial" w:hAnsi="Arial" w:cs="Arial"/>
        </w:rPr>
      </w:pPr>
      <w:r w:rsidRPr="00F82257">
        <w:rPr>
          <w:rFonts w:ascii="Arial" w:hAnsi="Arial" w:cs="Arial"/>
        </w:rPr>
        <w:tab/>
      </w:r>
      <w:r w:rsidR="00425388" w:rsidRPr="00C25520">
        <w:rPr>
          <w:rFonts w:ascii="Arial" w:hAnsi="Arial" w:cs="Arial"/>
        </w:rPr>
        <w:t>Insert</w:t>
      </w:r>
      <w:r w:rsidRPr="00C25520">
        <w:rPr>
          <w:rFonts w:ascii="Arial" w:hAnsi="Arial" w:cs="Arial"/>
        </w:rPr>
        <w:t>:</w:t>
      </w:r>
    </w:p>
    <w:p w14:paraId="6A0D959C" w14:textId="391B3713" w:rsidR="00A03015" w:rsidRPr="00C25520" w:rsidRDefault="00A03015" w:rsidP="007D1869">
      <w:pPr>
        <w:pStyle w:val="Notelevel1"/>
        <w:keepNext/>
        <w:keepLines/>
      </w:pPr>
      <w:r w:rsidRPr="00C25520">
        <w:t xml:space="preserve">Note:  </w:t>
      </w:r>
      <w:r w:rsidR="00E602E4" w:rsidRPr="00C25520">
        <w:t>If a fund is required to prepare, and does prepare, a</w:t>
      </w:r>
      <w:r w:rsidRPr="00C25520">
        <w:t xml:space="preserve"> financial report in accordance with Subdivision 60-C of the Australian Charities and Not-for-profits Commission Act 2012</w:t>
      </w:r>
      <w:r w:rsidR="00E602E4" w:rsidRPr="00C25520">
        <w:t xml:space="preserve">, it will </w:t>
      </w:r>
      <w:r w:rsidRPr="00C25520">
        <w:t>meet this requirement.</w:t>
      </w:r>
    </w:p>
    <w:p w14:paraId="263169D3" w14:textId="1719467E" w:rsidR="00A03015" w:rsidRPr="00C25520" w:rsidRDefault="007B38D6" w:rsidP="00A03015">
      <w:pPr>
        <w:pStyle w:val="ActHead8"/>
        <w:rPr>
          <w:rFonts w:cs="Arial"/>
        </w:rPr>
      </w:pPr>
      <w:r w:rsidRPr="00C25520">
        <w:rPr>
          <w:rFonts w:cs="Arial"/>
        </w:rPr>
        <w:t>20</w:t>
      </w:r>
      <w:r w:rsidR="004E4902" w:rsidRPr="00C25520">
        <w:rPr>
          <w:rFonts w:cs="Arial"/>
        </w:rPr>
        <w:t xml:space="preserve">  </w:t>
      </w:r>
      <w:r w:rsidR="00A03015" w:rsidRPr="00C25520">
        <w:rPr>
          <w:rFonts w:cs="Arial"/>
        </w:rPr>
        <w:t>Guideline 27</w:t>
      </w:r>
    </w:p>
    <w:p w14:paraId="50B5898F" w14:textId="77777777" w:rsidR="00A03015" w:rsidRPr="00C25520" w:rsidRDefault="00A03015" w:rsidP="00A03015">
      <w:pPr>
        <w:pStyle w:val="Blocks"/>
        <w:ind w:firstLine="0"/>
        <w:rPr>
          <w:rFonts w:ascii="Arial" w:hAnsi="Arial" w:cs="Arial"/>
        </w:rPr>
      </w:pPr>
      <w:r w:rsidRPr="00C25520">
        <w:rPr>
          <w:rFonts w:ascii="Arial" w:hAnsi="Arial" w:cs="Arial"/>
        </w:rPr>
        <w:t>Omit “request.”, substitute “request, unless the financial statements have already been given to the Commissioner of the Australian Charities and Not</w:t>
      </w:r>
      <w:r w:rsidRPr="00C25520">
        <w:rPr>
          <w:rFonts w:ascii="Arial" w:hAnsi="Arial" w:cs="Arial"/>
        </w:rPr>
        <w:noBreakHyphen/>
        <w:t>for-profits Commission.”</w:t>
      </w:r>
    </w:p>
    <w:p w14:paraId="5F6B1ED8" w14:textId="2875A932" w:rsidR="00A03015" w:rsidRPr="00C25520" w:rsidRDefault="007B38D6" w:rsidP="00A03015">
      <w:pPr>
        <w:pStyle w:val="ActHead8"/>
        <w:rPr>
          <w:rFonts w:cs="Arial"/>
        </w:rPr>
      </w:pPr>
      <w:r w:rsidRPr="00C25520">
        <w:rPr>
          <w:rFonts w:cs="Arial"/>
        </w:rPr>
        <w:t>21</w:t>
      </w:r>
      <w:r w:rsidR="004E4902" w:rsidRPr="00C25520">
        <w:rPr>
          <w:rFonts w:cs="Arial"/>
        </w:rPr>
        <w:t xml:space="preserve">  </w:t>
      </w:r>
      <w:r w:rsidR="00A03015" w:rsidRPr="00C25520">
        <w:rPr>
          <w:rFonts w:cs="Arial"/>
        </w:rPr>
        <w:t>Guideline 28.1</w:t>
      </w:r>
      <w:bookmarkEnd w:id="16"/>
    </w:p>
    <w:p w14:paraId="2B8B33E4" w14:textId="77777777" w:rsidR="00A03015" w:rsidRPr="00C25520" w:rsidRDefault="00A03015" w:rsidP="00A03015">
      <w:pPr>
        <w:pStyle w:val="Blocks"/>
        <w:rPr>
          <w:rFonts w:ascii="Arial" w:hAnsi="Arial" w:cs="Arial"/>
        </w:rPr>
      </w:pPr>
      <w:r w:rsidRPr="00C25520">
        <w:rPr>
          <w:rFonts w:ascii="Arial" w:hAnsi="Arial" w:cs="Arial"/>
        </w:rPr>
        <w:tab/>
        <w:t>Repeal the Guideline, substitute:</w:t>
      </w:r>
    </w:p>
    <w:p w14:paraId="16526921" w14:textId="77777777" w:rsidR="00A03015" w:rsidRPr="00C25520" w:rsidRDefault="00A03015" w:rsidP="00A03015">
      <w:pPr>
        <w:pStyle w:val="OutlineNumbered2"/>
        <w:ind w:left="1418" w:hanging="851"/>
      </w:pPr>
      <w:r w:rsidRPr="00C25520">
        <w:t>28.1.</w:t>
      </w:r>
      <w:r w:rsidRPr="00C25520">
        <w:tab/>
        <w:t xml:space="preserve">The auditor must be a registered company auditor (within the meaning of the </w:t>
      </w:r>
      <w:r w:rsidRPr="00C25520">
        <w:rPr>
          <w:i/>
        </w:rPr>
        <w:t>Corporations Act 2001</w:t>
      </w:r>
      <w:r w:rsidRPr="00C25520">
        <w:t>).</w:t>
      </w:r>
    </w:p>
    <w:p w14:paraId="7297CC69" w14:textId="77777777" w:rsidR="00A03015" w:rsidRPr="00C25520" w:rsidRDefault="00A03015" w:rsidP="00A03015">
      <w:pPr>
        <w:pStyle w:val="OutlineNumbered3"/>
        <w:ind w:left="2160" w:hanging="1026"/>
      </w:pPr>
      <w:r w:rsidRPr="00C25520">
        <w:t>28.1.1.</w:t>
      </w:r>
      <w:r w:rsidRPr="00C25520">
        <w:tab/>
        <w:t>The Public Trustee of a state or territory may have the Auditor</w:t>
      </w:r>
      <w:r w:rsidRPr="00C25520">
        <w:noBreakHyphen/>
        <w:t>General of that state or territory undertake the audit.</w:t>
      </w:r>
    </w:p>
    <w:p w14:paraId="4489C58A" w14:textId="69A3FD6A" w:rsidR="00A03015" w:rsidRPr="00F82257" w:rsidRDefault="00A03015" w:rsidP="00A03015">
      <w:pPr>
        <w:pStyle w:val="OutlineNumbered2"/>
        <w:ind w:left="1418" w:hanging="851"/>
      </w:pPr>
      <w:r w:rsidRPr="00C25520">
        <w:t>28.1A.</w:t>
      </w:r>
      <w:r w:rsidRPr="00C25520">
        <w:tab/>
        <w:t xml:space="preserve">Unless the Commissioner, by written notice, provides otherwise, a *private ancillary fund with </w:t>
      </w:r>
      <w:r w:rsidR="00ED6EE2" w:rsidRPr="00C25520">
        <w:t>both</w:t>
      </w:r>
      <w:r w:rsidR="008146ED" w:rsidRPr="00C25520">
        <w:t xml:space="preserve"> </w:t>
      </w:r>
      <w:r w:rsidRPr="00C25520">
        <w:t>revenue and assets of less than $</w:t>
      </w:r>
      <w:r w:rsidR="00A827A6" w:rsidRPr="00C25520">
        <w:t>1 million</w:t>
      </w:r>
      <w:r w:rsidRPr="00F82257">
        <w:t xml:space="preserve"> in relation to a particular financial year, may instead have its financial statements and compliance with these guidelines reviewed rather than audited.</w:t>
      </w:r>
    </w:p>
    <w:p w14:paraId="746C2076" w14:textId="77777777" w:rsidR="00A03015" w:rsidRPr="00F82257" w:rsidRDefault="00A03015" w:rsidP="00A03015">
      <w:pPr>
        <w:pStyle w:val="OutlineNumbered3"/>
        <w:ind w:left="2160" w:hanging="1026"/>
      </w:pPr>
      <w:r w:rsidRPr="00F82257">
        <w:t>28.1A.1</w:t>
      </w:r>
      <w:r w:rsidRPr="00F82257">
        <w:tab/>
        <w:t xml:space="preserve">A reviewer must be a registered company auditor (within the meaning of the </w:t>
      </w:r>
      <w:r w:rsidRPr="00F82257">
        <w:rPr>
          <w:i/>
        </w:rPr>
        <w:t>Corporations Act 2001</w:t>
      </w:r>
      <w:r w:rsidRPr="00F82257">
        <w:t xml:space="preserve">).  However, an individual who is taken to be a registered company auditor under section 324BE of the </w:t>
      </w:r>
      <w:r w:rsidRPr="00F82257">
        <w:rPr>
          <w:i/>
        </w:rPr>
        <w:t>Corporations Act 2001</w:t>
      </w:r>
      <w:r w:rsidRPr="00F82257">
        <w:t xml:space="preserve"> is taken to be a registered company auditor for the purpose of this guideline.</w:t>
      </w:r>
    </w:p>
    <w:p w14:paraId="73264D32" w14:textId="77777777" w:rsidR="00A03015" w:rsidRPr="00F82257" w:rsidRDefault="00A03015" w:rsidP="00A03015">
      <w:pPr>
        <w:pStyle w:val="Notelevel1"/>
        <w:ind w:left="2127"/>
      </w:pPr>
      <w:r w:rsidRPr="00F82257">
        <w:lastRenderedPageBreak/>
        <w:t>Note: This has the effect of widening the class of individuals who can undertake a review.</w:t>
      </w:r>
    </w:p>
    <w:p w14:paraId="1F6C5A72" w14:textId="3C813420" w:rsidR="00A03015" w:rsidRPr="00F82257" w:rsidRDefault="004E4902" w:rsidP="00A03015">
      <w:pPr>
        <w:pStyle w:val="ActHead8"/>
        <w:rPr>
          <w:rFonts w:cs="Arial"/>
        </w:rPr>
      </w:pPr>
      <w:bookmarkStart w:id="17" w:name="_Toc392252360"/>
      <w:r w:rsidRPr="00F82257">
        <w:rPr>
          <w:rFonts w:cs="Arial"/>
        </w:rPr>
        <w:t>2</w:t>
      </w:r>
      <w:r w:rsidR="007B38D6">
        <w:rPr>
          <w:rFonts w:cs="Arial"/>
        </w:rPr>
        <w:t>2</w:t>
      </w:r>
      <w:r w:rsidRPr="00F82257">
        <w:rPr>
          <w:rFonts w:cs="Arial"/>
        </w:rPr>
        <w:t xml:space="preserve">  </w:t>
      </w:r>
      <w:r w:rsidR="00A03015" w:rsidRPr="00F82257">
        <w:rPr>
          <w:rFonts w:cs="Arial"/>
        </w:rPr>
        <w:t>Guideline 28.2</w:t>
      </w:r>
    </w:p>
    <w:p w14:paraId="1AD694D1" w14:textId="77777777" w:rsidR="00A03015" w:rsidRPr="00F82257" w:rsidRDefault="00A03015" w:rsidP="00A03015">
      <w:pPr>
        <w:pStyle w:val="Blocks"/>
        <w:rPr>
          <w:rFonts w:ascii="Arial" w:hAnsi="Arial" w:cs="Arial"/>
        </w:rPr>
      </w:pPr>
      <w:r w:rsidRPr="00F82257">
        <w:rPr>
          <w:rFonts w:ascii="Arial" w:hAnsi="Arial" w:cs="Arial"/>
        </w:rPr>
        <w:tab/>
        <w:t>Repeal the Guideline, substitute:</w:t>
      </w:r>
    </w:p>
    <w:p w14:paraId="3517E1C1" w14:textId="77777777" w:rsidR="00A03015" w:rsidRPr="00F82257" w:rsidRDefault="00A03015" w:rsidP="00A03015">
      <w:pPr>
        <w:pStyle w:val="OutlineNumbered2"/>
        <w:ind w:left="1418" w:hanging="851"/>
      </w:pPr>
      <w:r w:rsidRPr="00F82257">
        <w:t>28.2</w:t>
      </w:r>
      <w:r w:rsidRPr="00F82257">
        <w:tab/>
        <w:t>The auditor or reviewer must undertake the audit or review, and provide the fund with a report, in accordance with the *auditing standards.</w:t>
      </w:r>
    </w:p>
    <w:p w14:paraId="703C7C0E" w14:textId="4247107F" w:rsidR="00A03015" w:rsidRPr="00F82257" w:rsidRDefault="004E4902" w:rsidP="00A03015">
      <w:pPr>
        <w:pStyle w:val="ActHead8"/>
        <w:rPr>
          <w:rFonts w:cs="Arial"/>
        </w:rPr>
      </w:pPr>
      <w:r w:rsidRPr="00F82257">
        <w:rPr>
          <w:rFonts w:cs="Arial"/>
        </w:rPr>
        <w:t>2</w:t>
      </w:r>
      <w:r w:rsidR="007B38D6">
        <w:rPr>
          <w:rFonts w:cs="Arial"/>
        </w:rPr>
        <w:t>3</w:t>
      </w:r>
      <w:r w:rsidRPr="00F82257">
        <w:rPr>
          <w:rFonts w:cs="Arial"/>
        </w:rPr>
        <w:t xml:space="preserve">  </w:t>
      </w:r>
      <w:r w:rsidR="00A03015" w:rsidRPr="00F82257">
        <w:rPr>
          <w:rFonts w:cs="Arial"/>
        </w:rPr>
        <w:t>Guideline 28.3</w:t>
      </w:r>
    </w:p>
    <w:p w14:paraId="5B702836" w14:textId="77777777" w:rsidR="00A03015" w:rsidRPr="00F82257" w:rsidRDefault="00A03015" w:rsidP="00A03015">
      <w:pPr>
        <w:pStyle w:val="Blocks"/>
        <w:rPr>
          <w:rFonts w:ascii="Arial" w:hAnsi="Arial" w:cs="Arial"/>
        </w:rPr>
      </w:pPr>
      <w:r w:rsidRPr="00F82257">
        <w:rPr>
          <w:rFonts w:ascii="Arial" w:hAnsi="Arial" w:cs="Arial"/>
        </w:rPr>
        <w:tab/>
        <w:t>Omit “audit”, substitute “audit or review”.</w:t>
      </w:r>
    </w:p>
    <w:p w14:paraId="78C37482" w14:textId="4EF8620B" w:rsidR="00A03015" w:rsidRPr="00F82257" w:rsidRDefault="004E4902" w:rsidP="00A03015">
      <w:pPr>
        <w:pStyle w:val="ActHead8"/>
        <w:rPr>
          <w:rFonts w:cs="Arial"/>
        </w:rPr>
      </w:pPr>
      <w:r w:rsidRPr="00F82257">
        <w:rPr>
          <w:rFonts w:cs="Arial"/>
        </w:rPr>
        <w:t>2</w:t>
      </w:r>
      <w:r w:rsidR="007B38D6">
        <w:rPr>
          <w:rFonts w:cs="Arial"/>
        </w:rPr>
        <w:t>4</w:t>
      </w:r>
      <w:r w:rsidRPr="00F82257">
        <w:rPr>
          <w:rFonts w:cs="Arial"/>
        </w:rPr>
        <w:t xml:space="preserve">  </w:t>
      </w:r>
      <w:r w:rsidR="00A03015" w:rsidRPr="00F82257">
        <w:rPr>
          <w:rFonts w:cs="Arial"/>
        </w:rPr>
        <w:t>Guideline 29</w:t>
      </w:r>
    </w:p>
    <w:p w14:paraId="7D5997B5" w14:textId="77777777" w:rsidR="00A03015" w:rsidRPr="00F82257" w:rsidRDefault="00A03015" w:rsidP="00A03015">
      <w:pPr>
        <w:pStyle w:val="Blocks"/>
        <w:ind w:firstLine="0"/>
        <w:rPr>
          <w:rFonts w:ascii="Arial" w:hAnsi="Arial" w:cs="Arial"/>
        </w:rPr>
      </w:pPr>
      <w:r w:rsidRPr="00F82257">
        <w:rPr>
          <w:rFonts w:ascii="Arial" w:hAnsi="Arial" w:cs="Arial"/>
        </w:rPr>
        <w:t>Omit “audit”.</w:t>
      </w:r>
    </w:p>
    <w:p w14:paraId="711DFDF3" w14:textId="5DD3AC4E" w:rsidR="00A03015" w:rsidRPr="00F82257" w:rsidRDefault="004E4902" w:rsidP="00A03015">
      <w:pPr>
        <w:pStyle w:val="ActHead8"/>
        <w:rPr>
          <w:rFonts w:cs="Arial"/>
        </w:rPr>
      </w:pPr>
      <w:r w:rsidRPr="00F82257">
        <w:rPr>
          <w:rFonts w:cs="Arial"/>
        </w:rPr>
        <w:t>2</w:t>
      </w:r>
      <w:r w:rsidR="007B38D6">
        <w:rPr>
          <w:rFonts w:cs="Arial"/>
        </w:rPr>
        <w:t>5</w:t>
      </w:r>
      <w:r w:rsidRPr="00F82257">
        <w:rPr>
          <w:rFonts w:cs="Arial"/>
        </w:rPr>
        <w:t xml:space="preserve">  </w:t>
      </w:r>
      <w:r w:rsidR="00A03015" w:rsidRPr="00F82257">
        <w:rPr>
          <w:rFonts w:cs="Arial"/>
        </w:rPr>
        <w:t>Guideline 29</w:t>
      </w:r>
    </w:p>
    <w:p w14:paraId="26A45594" w14:textId="1BD68043" w:rsidR="00A03015" w:rsidRPr="00F82257" w:rsidRDefault="00A03015" w:rsidP="00A03015">
      <w:pPr>
        <w:pStyle w:val="Blocks"/>
        <w:ind w:firstLine="0"/>
        <w:rPr>
          <w:rFonts w:ascii="Arial" w:hAnsi="Arial" w:cs="Arial"/>
        </w:rPr>
      </w:pPr>
      <w:r w:rsidRPr="00F82257">
        <w:rPr>
          <w:rFonts w:ascii="Arial" w:hAnsi="Arial" w:cs="Arial"/>
        </w:rPr>
        <w:t>Omit “request.”, substitute “request, unless the report has already been given to the Commissioner of the Australian Charities and Not</w:t>
      </w:r>
      <w:r w:rsidR="00974CE2" w:rsidRPr="00F82257">
        <w:rPr>
          <w:rFonts w:ascii="Arial" w:hAnsi="Arial" w:cs="Arial"/>
        </w:rPr>
        <w:noBreakHyphen/>
      </w:r>
      <w:r w:rsidRPr="00F82257">
        <w:rPr>
          <w:rFonts w:ascii="Arial" w:hAnsi="Arial" w:cs="Arial"/>
        </w:rPr>
        <w:t>for</w:t>
      </w:r>
      <w:r w:rsidR="00974CE2" w:rsidRPr="00F82257">
        <w:rPr>
          <w:rFonts w:ascii="Arial" w:hAnsi="Arial" w:cs="Arial"/>
        </w:rPr>
        <w:noBreakHyphen/>
      </w:r>
      <w:r w:rsidRPr="00F82257">
        <w:rPr>
          <w:rFonts w:ascii="Arial" w:hAnsi="Arial" w:cs="Arial"/>
        </w:rPr>
        <w:t>profits Commission.”</w:t>
      </w:r>
    </w:p>
    <w:p w14:paraId="0973E3D0" w14:textId="3356BC35" w:rsidR="00A03015" w:rsidRPr="00F82257" w:rsidRDefault="004E4902" w:rsidP="00A03015">
      <w:pPr>
        <w:pStyle w:val="ActHead8"/>
        <w:rPr>
          <w:rFonts w:cs="Arial"/>
        </w:rPr>
      </w:pPr>
      <w:r w:rsidRPr="00F82257">
        <w:rPr>
          <w:rFonts w:cs="Arial"/>
        </w:rPr>
        <w:t>2</w:t>
      </w:r>
      <w:r w:rsidR="007B38D6">
        <w:rPr>
          <w:rFonts w:cs="Arial"/>
        </w:rPr>
        <w:t>6</w:t>
      </w:r>
      <w:r w:rsidRPr="00F82257">
        <w:rPr>
          <w:rFonts w:cs="Arial"/>
        </w:rPr>
        <w:t xml:space="preserve">  </w:t>
      </w:r>
      <w:r w:rsidR="00A03015" w:rsidRPr="00F82257">
        <w:rPr>
          <w:rFonts w:cs="Arial"/>
        </w:rPr>
        <w:t>Guideline 30.2</w:t>
      </w:r>
    </w:p>
    <w:p w14:paraId="3DF75C42" w14:textId="79539B01" w:rsidR="00A03015" w:rsidRPr="00F82257" w:rsidRDefault="00A03015" w:rsidP="00A03015">
      <w:pPr>
        <w:pStyle w:val="Blocks"/>
        <w:ind w:firstLine="0"/>
        <w:rPr>
          <w:rFonts w:ascii="Arial" w:hAnsi="Arial" w:cs="Arial"/>
        </w:rPr>
      </w:pPr>
      <w:r w:rsidRPr="00F82257">
        <w:rPr>
          <w:rFonts w:ascii="Arial" w:hAnsi="Arial" w:cs="Arial"/>
        </w:rPr>
        <w:t xml:space="preserve">At the end of the guideline, </w:t>
      </w:r>
      <w:r w:rsidR="00425388" w:rsidRPr="00F82257">
        <w:rPr>
          <w:rFonts w:ascii="Arial" w:hAnsi="Arial" w:cs="Arial"/>
        </w:rPr>
        <w:t>insert</w:t>
      </w:r>
      <w:r w:rsidRPr="00F82257">
        <w:rPr>
          <w:rFonts w:ascii="Arial" w:hAnsi="Arial" w:cs="Arial"/>
        </w:rPr>
        <w:t>:</w:t>
      </w:r>
    </w:p>
    <w:p w14:paraId="6F8D785D" w14:textId="1F80E2E7" w:rsidR="0075371B" w:rsidRPr="00F82257" w:rsidRDefault="0075371B" w:rsidP="0075371B">
      <w:pPr>
        <w:pStyle w:val="bulletlevel2"/>
        <w:numPr>
          <w:ilvl w:val="0"/>
          <w:numId w:val="2"/>
        </w:numPr>
        <w:tabs>
          <w:tab w:val="clear" w:pos="607"/>
          <w:tab w:val="num" w:pos="1440"/>
        </w:tabs>
        <w:ind w:left="1980" w:hanging="360"/>
      </w:pPr>
      <w:r w:rsidRPr="00F82257">
        <w:t xml:space="preserve">status of the fund as a *registered charity (where applicable); and </w:t>
      </w:r>
    </w:p>
    <w:p w14:paraId="2A5688BF" w14:textId="3D0E531F" w:rsidR="0075371B" w:rsidRPr="00C25520" w:rsidRDefault="0075371B" w:rsidP="0075371B">
      <w:pPr>
        <w:pStyle w:val="bulletlevel2"/>
        <w:numPr>
          <w:ilvl w:val="0"/>
          <w:numId w:val="2"/>
        </w:numPr>
        <w:tabs>
          <w:tab w:val="clear" w:pos="607"/>
          <w:tab w:val="num" w:pos="1440"/>
        </w:tabs>
        <w:ind w:left="1980" w:hanging="360"/>
      </w:pPr>
      <w:r w:rsidRPr="00F82257">
        <w:t xml:space="preserve">perceived or actual material conflicts of interest in holding particular investments (including those relating to </w:t>
      </w:r>
      <w:r w:rsidRPr="00C25520">
        <w:t>individuals involved in t</w:t>
      </w:r>
      <w:r w:rsidR="00622B66" w:rsidRPr="00C25520">
        <w:t>he decision-making of the fund); and</w:t>
      </w:r>
    </w:p>
    <w:p w14:paraId="57A055F4" w14:textId="25CBEEFD" w:rsidR="00622B66" w:rsidRPr="00C25520" w:rsidRDefault="005E1367" w:rsidP="0075371B">
      <w:pPr>
        <w:pStyle w:val="bulletlevel2"/>
        <w:numPr>
          <w:ilvl w:val="0"/>
          <w:numId w:val="2"/>
        </w:numPr>
        <w:tabs>
          <w:tab w:val="clear" w:pos="607"/>
          <w:tab w:val="num" w:pos="1440"/>
        </w:tabs>
        <w:ind w:left="1980" w:hanging="360"/>
      </w:pPr>
      <w:r w:rsidRPr="00C25520">
        <w:t>the terms and other circumstances relating to any gift to the fund under a will.</w:t>
      </w:r>
    </w:p>
    <w:p w14:paraId="3B35BAA0" w14:textId="5F5ABA94" w:rsidR="00A03015" w:rsidRPr="00C25520" w:rsidRDefault="004E4902" w:rsidP="00A03015">
      <w:pPr>
        <w:pStyle w:val="ActHead8"/>
        <w:rPr>
          <w:rFonts w:cs="Arial"/>
        </w:rPr>
      </w:pPr>
      <w:r w:rsidRPr="00C25520">
        <w:rPr>
          <w:rFonts w:cs="Arial"/>
        </w:rPr>
        <w:t>2</w:t>
      </w:r>
      <w:r w:rsidR="007B38D6" w:rsidRPr="00C25520">
        <w:rPr>
          <w:rFonts w:cs="Arial"/>
        </w:rPr>
        <w:t>7</w:t>
      </w:r>
      <w:r w:rsidRPr="00C25520">
        <w:rPr>
          <w:rFonts w:cs="Arial"/>
        </w:rPr>
        <w:t xml:space="preserve">  </w:t>
      </w:r>
      <w:r w:rsidR="00A03015" w:rsidRPr="00C25520">
        <w:rPr>
          <w:rFonts w:cs="Arial"/>
        </w:rPr>
        <w:t>Guideline 31 (the penalty amount)</w:t>
      </w:r>
    </w:p>
    <w:p w14:paraId="1745667E" w14:textId="77777777" w:rsidR="00A03015" w:rsidRPr="00F82257" w:rsidRDefault="00A03015" w:rsidP="00A03015">
      <w:pPr>
        <w:pStyle w:val="Blocks"/>
        <w:ind w:firstLine="0"/>
        <w:rPr>
          <w:rFonts w:ascii="Arial" w:hAnsi="Arial" w:cs="Arial"/>
        </w:rPr>
      </w:pPr>
      <w:r w:rsidRPr="00C25520">
        <w:rPr>
          <w:rFonts w:ascii="Arial" w:hAnsi="Arial" w:cs="Arial"/>
        </w:rPr>
        <w:t>Omit “10”, substitute “15”.</w:t>
      </w:r>
    </w:p>
    <w:p w14:paraId="5C79A57F" w14:textId="3C443CE9" w:rsidR="00A03015" w:rsidRPr="00F82257" w:rsidRDefault="004E4902" w:rsidP="00A03015">
      <w:pPr>
        <w:pStyle w:val="ActHead8"/>
        <w:rPr>
          <w:rFonts w:cs="Arial"/>
        </w:rPr>
      </w:pPr>
      <w:r w:rsidRPr="00F82257">
        <w:rPr>
          <w:rFonts w:cs="Arial"/>
        </w:rPr>
        <w:t>2</w:t>
      </w:r>
      <w:r w:rsidR="007B38D6">
        <w:rPr>
          <w:rFonts w:cs="Arial"/>
        </w:rPr>
        <w:t>8</w:t>
      </w:r>
      <w:r w:rsidRPr="00F82257">
        <w:rPr>
          <w:rFonts w:cs="Arial"/>
        </w:rPr>
        <w:t xml:space="preserve">  </w:t>
      </w:r>
      <w:r w:rsidR="00A03015" w:rsidRPr="00F82257">
        <w:rPr>
          <w:rFonts w:cs="Arial"/>
        </w:rPr>
        <w:t>Guideline 32</w:t>
      </w:r>
    </w:p>
    <w:p w14:paraId="41CEDC0B" w14:textId="77777777" w:rsidR="00A03015" w:rsidRPr="00C25520" w:rsidRDefault="00A03015" w:rsidP="00A03015">
      <w:pPr>
        <w:pStyle w:val="Blocks"/>
        <w:ind w:firstLine="0"/>
        <w:rPr>
          <w:rFonts w:ascii="Arial" w:hAnsi="Arial" w:cs="Arial"/>
        </w:rPr>
      </w:pPr>
      <w:r w:rsidRPr="00C25520">
        <w:rPr>
          <w:rFonts w:ascii="Arial" w:hAnsi="Arial" w:cs="Arial"/>
        </w:rPr>
        <w:t>Omit “an auditor”, substitute “an auditor, a reviewer,”.</w:t>
      </w:r>
    </w:p>
    <w:p w14:paraId="2AA8C828" w14:textId="72C61CD4" w:rsidR="001B5769" w:rsidRPr="00C25520" w:rsidRDefault="007B38D6" w:rsidP="007D1869">
      <w:pPr>
        <w:pStyle w:val="ActHead8"/>
        <w:keepNext w:val="0"/>
        <w:keepLines w:val="0"/>
        <w:rPr>
          <w:rFonts w:cs="Arial"/>
        </w:rPr>
      </w:pPr>
      <w:r w:rsidRPr="00C25520">
        <w:rPr>
          <w:rFonts w:cs="Arial"/>
        </w:rPr>
        <w:lastRenderedPageBreak/>
        <w:t>29</w:t>
      </w:r>
      <w:r w:rsidR="00A26E90" w:rsidRPr="00C25520">
        <w:rPr>
          <w:rFonts w:cs="Arial"/>
        </w:rPr>
        <w:t xml:space="preserve">  </w:t>
      </w:r>
      <w:r w:rsidR="001B5769" w:rsidRPr="00C25520">
        <w:rPr>
          <w:rFonts w:cs="Arial"/>
        </w:rPr>
        <w:t>Guideline 34</w:t>
      </w:r>
    </w:p>
    <w:p w14:paraId="2985AD2F" w14:textId="2741258A" w:rsidR="00915286" w:rsidRPr="00C25520" w:rsidRDefault="00915286" w:rsidP="00915286">
      <w:pPr>
        <w:pStyle w:val="Blocks"/>
        <w:ind w:firstLine="0"/>
        <w:rPr>
          <w:rFonts w:ascii="Arial" w:hAnsi="Arial" w:cs="Arial"/>
        </w:rPr>
      </w:pPr>
      <w:r w:rsidRPr="00C25520">
        <w:rPr>
          <w:rFonts w:ascii="Arial" w:hAnsi="Arial" w:cs="Arial"/>
        </w:rPr>
        <w:t>Omit “basis.”, substitute “unless another guideline allows otherwise.”</w:t>
      </w:r>
    </w:p>
    <w:p w14:paraId="37DC62D8" w14:textId="76EC41C1" w:rsidR="00A03015" w:rsidRPr="00C25520" w:rsidRDefault="007B38D6" w:rsidP="007D1869">
      <w:pPr>
        <w:pStyle w:val="ActHead8"/>
        <w:keepNext w:val="0"/>
        <w:keepLines w:val="0"/>
        <w:rPr>
          <w:rFonts w:cs="Arial"/>
        </w:rPr>
      </w:pPr>
      <w:r w:rsidRPr="00C25520">
        <w:rPr>
          <w:rFonts w:cs="Arial"/>
        </w:rPr>
        <w:t>30</w:t>
      </w:r>
      <w:r w:rsidR="004E4902" w:rsidRPr="00C25520">
        <w:rPr>
          <w:rFonts w:cs="Arial"/>
        </w:rPr>
        <w:t xml:space="preserve">  </w:t>
      </w:r>
      <w:r w:rsidR="00A03015" w:rsidRPr="00C25520">
        <w:rPr>
          <w:rFonts w:cs="Arial"/>
        </w:rPr>
        <w:t>Guideline 35.1</w:t>
      </w:r>
    </w:p>
    <w:p w14:paraId="1CC8D1F0" w14:textId="77777777" w:rsidR="00A03015" w:rsidRPr="00C25520" w:rsidRDefault="00A03015" w:rsidP="007D1869">
      <w:pPr>
        <w:pStyle w:val="Blocks"/>
        <w:rPr>
          <w:rFonts w:ascii="Arial" w:hAnsi="Arial" w:cs="Arial"/>
        </w:rPr>
      </w:pPr>
      <w:r w:rsidRPr="00C25520">
        <w:rPr>
          <w:rFonts w:ascii="Arial" w:hAnsi="Arial" w:cs="Arial"/>
        </w:rPr>
        <w:tab/>
        <w:t>Repeal the Guideline, substitute:</w:t>
      </w:r>
    </w:p>
    <w:p w14:paraId="5F2A9304" w14:textId="77777777" w:rsidR="00A03015" w:rsidRPr="00C25520" w:rsidRDefault="00A03015" w:rsidP="007D1869">
      <w:pPr>
        <w:pStyle w:val="OutlineNumbered2"/>
        <w:ind w:left="1418" w:hanging="851"/>
      </w:pPr>
      <w:r w:rsidRPr="00C25520">
        <w:t>35.1</w:t>
      </w:r>
      <w:r w:rsidRPr="00C25520">
        <w:tab/>
        <w:t>However, this guideline does not apply to:</w:t>
      </w:r>
    </w:p>
    <w:p w14:paraId="7F56EE72" w14:textId="77777777" w:rsidR="00A03015" w:rsidRPr="00C25520" w:rsidRDefault="00A03015" w:rsidP="00CF2D9F">
      <w:pPr>
        <w:pStyle w:val="bulletlevel2"/>
        <w:keepNext w:val="0"/>
        <w:keepLines w:val="0"/>
        <w:numPr>
          <w:ilvl w:val="0"/>
          <w:numId w:val="2"/>
        </w:numPr>
        <w:tabs>
          <w:tab w:val="clear" w:pos="607"/>
          <w:tab w:val="num" w:pos="1440"/>
        </w:tabs>
        <w:ind w:left="1980" w:hanging="360"/>
      </w:pPr>
      <w:r w:rsidRPr="00C25520">
        <w:t>the acquisition of a financial instrument excluded by the Commissioner from that guideline; or</w:t>
      </w:r>
    </w:p>
    <w:p w14:paraId="45067E21" w14:textId="5B4F95D1" w:rsidR="00A03015" w:rsidRPr="00C25520" w:rsidRDefault="00F456E0" w:rsidP="00CF2D9F">
      <w:pPr>
        <w:pStyle w:val="bulletlevel2"/>
        <w:keepNext w:val="0"/>
        <w:keepLines w:val="0"/>
        <w:numPr>
          <w:ilvl w:val="0"/>
          <w:numId w:val="2"/>
        </w:numPr>
        <w:tabs>
          <w:tab w:val="clear" w:pos="607"/>
          <w:tab w:val="num" w:pos="1440"/>
        </w:tabs>
        <w:ind w:left="1980" w:hanging="360"/>
      </w:pPr>
      <w:r w:rsidRPr="00C25520">
        <w:t>an agreement to guarantee the repayment of any money lent by a creditor for the sole benefit of one or more *deductible gift recipients.</w:t>
      </w:r>
    </w:p>
    <w:p w14:paraId="2521956D" w14:textId="5C2354E4" w:rsidR="00A03015" w:rsidRPr="00F82257" w:rsidRDefault="007B38D6" w:rsidP="00CF2D9F">
      <w:pPr>
        <w:pStyle w:val="ActHead8"/>
        <w:keepNext w:val="0"/>
        <w:keepLines w:val="0"/>
        <w:rPr>
          <w:rFonts w:cs="Arial"/>
        </w:rPr>
      </w:pPr>
      <w:r w:rsidRPr="00C25520">
        <w:rPr>
          <w:rFonts w:cs="Arial"/>
        </w:rPr>
        <w:t>31</w:t>
      </w:r>
      <w:r w:rsidR="004E4902" w:rsidRPr="00C25520">
        <w:rPr>
          <w:rFonts w:cs="Arial"/>
        </w:rPr>
        <w:t xml:space="preserve">  </w:t>
      </w:r>
      <w:r w:rsidR="00A03015" w:rsidRPr="00C25520">
        <w:rPr>
          <w:rFonts w:cs="Arial"/>
        </w:rPr>
        <w:t>After Guideline 37</w:t>
      </w:r>
      <w:bookmarkEnd w:id="17"/>
      <w:r w:rsidR="00A03015" w:rsidRPr="00F82257">
        <w:rPr>
          <w:rFonts w:cs="Arial"/>
        </w:rPr>
        <w:t xml:space="preserve"> (at the end of the Guideline)</w:t>
      </w:r>
    </w:p>
    <w:p w14:paraId="146E3D7C" w14:textId="77777777" w:rsidR="00A03015" w:rsidRPr="00F82257" w:rsidRDefault="00A03015" w:rsidP="00CF2D9F">
      <w:pPr>
        <w:pStyle w:val="Blocks"/>
        <w:rPr>
          <w:rFonts w:ascii="Arial" w:hAnsi="Arial" w:cs="Arial"/>
        </w:rPr>
      </w:pPr>
      <w:r w:rsidRPr="00F82257">
        <w:rPr>
          <w:rFonts w:ascii="Arial" w:hAnsi="Arial" w:cs="Arial"/>
        </w:rPr>
        <w:tab/>
        <w:t>Insert:</w:t>
      </w:r>
    </w:p>
    <w:p w14:paraId="64396B14" w14:textId="77777777" w:rsidR="00A03015" w:rsidRPr="00F82257" w:rsidRDefault="00A03015" w:rsidP="00CF2D9F">
      <w:pPr>
        <w:pStyle w:val="OutlineNumbered2"/>
        <w:ind w:left="1418" w:hanging="851"/>
      </w:pPr>
      <w:r w:rsidRPr="00F82257">
        <w:t>37.1</w:t>
      </w:r>
      <w:r w:rsidRPr="00F82257">
        <w:tab/>
        <w:t>However, this guideline does not prevent a licensed trustee company or the Public Trustee of a state or territory from operating common funds for investment purposes.</w:t>
      </w:r>
    </w:p>
    <w:p w14:paraId="09CDBE7A" w14:textId="38369AAB" w:rsidR="00A03015" w:rsidRPr="00F82257" w:rsidRDefault="007B38D6" w:rsidP="00CF2D9F">
      <w:pPr>
        <w:pStyle w:val="ActHead8"/>
        <w:keepNext w:val="0"/>
        <w:keepLines w:val="0"/>
        <w:rPr>
          <w:rFonts w:cs="Arial"/>
        </w:rPr>
      </w:pPr>
      <w:bookmarkStart w:id="18" w:name="_Toc392252361"/>
      <w:r>
        <w:rPr>
          <w:rFonts w:cs="Arial"/>
        </w:rPr>
        <w:t>32</w:t>
      </w:r>
      <w:r w:rsidR="004E4902" w:rsidRPr="00F82257">
        <w:rPr>
          <w:rFonts w:cs="Arial"/>
        </w:rPr>
        <w:t xml:space="preserve">  </w:t>
      </w:r>
      <w:r w:rsidR="00A03015" w:rsidRPr="00F82257">
        <w:rPr>
          <w:rFonts w:cs="Arial"/>
        </w:rPr>
        <w:t>After Guideline 40 (but before the note)</w:t>
      </w:r>
      <w:bookmarkEnd w:id="18"/>
    </w:p>
    <w:p w14:paraId="35110A7D" w14:textId="77777777" w:rsidR="00A03015" w:rsidRPr="00F82257" w:rsidRDefault="00A03015" w:rsidP="00CF2D9F">
      <w:pPr>
        <w:pStyle w:val="Blocks"/>
        <w:rPr>
          <w:rFonts w:ascii="Arial" w:hAnsi="Arial" w:cs="Arial"/>
        </w:rPr>
      </w:pPr>
      <w:r w:rsidRPr="00F82257">
        <w:rPr>
          <w:rFonts w:ascii="Arial" w:hAnsi="Arial" w:cs="Arial"/>
        </w:rPr>
        <w:tab/>
        <w:t>Insert:</w:t>
      </w:r>
    </w:p>
    <w:p w14:paraId="69CC31C7" w14:textId="77C466FD" w:rsidR="00A03015" w:rsidRPr="00F82257" w:rsidRDefault="00A03015" w:rsidP="00CF2D9F">
      <w:pPr>
        <w:pStyle w:val="OutlineNumbered2"/>
        <w:ind w:left="1418" w:hanging="851"/>
      </w:pPr>
      <w:r w:rsidRPr="00F82257">
        <w:t>40.1A</w:t>
      </w:r>
      <w:r w:rsidRPr="00F82257">
        <w:tab/>
        <w:t xml:space="preserve">However, a fund does not contravene this guideline merely because its investment activities, because of repetition, volume </w:t>
      </w:r>
      <w:r w:rsidR="00F12C33">
        <w:t xml:space="preserve">and </w:t>
      </w:r>
      <w:r w:rsidRPr="00F82257">
        <w:t>regularity, mean that it is *carrying on a *business.</w:t>
      </w:r>
    </w:p>
    <w:p w14:paraId="599E8D5D" w14:textId="6E1B3ABE" w:rsidR="00A03015" w:rsidRPr="00F82257" w:rsidRDefault="004E4902" w:rsidP="00A03015">
      <w:pPr>
        <w:pStyle w:val="ActHead8"/>
        <w:rPr>
          <w:rFonts w:cs="Arial"/>
        </w:rPr>
      </w:pPr>
      <w:bookmarkStart w:id="19" w:name="_Toc392252362"/>
      <w:r w:rsidRPr="00F82257">
        <w:rPr>
          <w:rFonts w:cs="Arial"/>
        </w:rPr>
        <w:t>3</w:t>
      </w:r>
      <w:r w:rsidR="007B38D6">
        <w:rPr>
          <w:rFonts w:cs="Arial"/>
        </w:rPr>
        <w:t>3</w:t>
      </w:r>
      <w:r w:rsidRPr="00F82257">
        <w:rPr>
          <w:rFonts w:cs="Arial"/>
        </w:rPr>
        <w:t xml:space="preserve">  </w:t>
      </w:r>
      <w:r w:rsidR="00A03015" w:rsidRPr="00F82257">
        <w:rPr>
          <w:rFonts w:cs="Arial"/>
        </w:rPr>
        <w:t>Guideline 42 (last dot point)</w:t>
      </w:r>
      <w:bookmarkEnd w:id="19"/>
    </w:p>
    <w:p w14:paraId="32A1FC1B" w14:textId="77777777" w:rsidR="00A03015" w:rsidRPr="00F82257" w:rsidRDefault="00A03015" w:rsidP="00A03015">
      <w:pPr>
        <w:pStyle w:val="Blocks"/>
        <w:rPr>
          <w:rFonts w:ascii="Arial" w:hAnsi="Arial" w:cs="Arial"/>
        </w:rPr>
      </w:pPr>
      <w:r w:rsidRPr="00F82257">
        <w:rPr>
          <w:rFonts w:ascii="Arial" w:hAnsi="Arial" w:cs="Arial"/>
        </w:rPr>
        <w:tab/>
        <w:t>Omit, “entities.”, substitute “entities (other than a *deductible gift recipient).”.</w:t>
      </w:r>
    </w:p>
    <w:p w14:paraId="0B51710D" w14:textId="6AD6DD52" w:rsidR="00A03015" w:rsidRPr="00F82257" w:rsidRDefault="004E4902" w:rsidP="00A03015">
      <w:pPr>
        <w:pStyle w:val="ActHead8"/>
        <w:rPr>
          <w:rFonts w:cs="Arial"/>
        </w:rPr>
      </w:pPr>
      <w:r w:rsidRPr="00F82257">
        <w:rPr>
          <w:rFonts w:cs="Arial"/>
        </w:rPr>
        <w:t>3</w:t>
      </w:r>
      <w:r w:rsidR="007B38D6">
        <w:rPr>
          <w:rFonts w:cs="Arial"/>
        </w:rPr>
        <w:t>4</w:t>
      </w:r>
      <w:r w:rsidRPr="00F82257">
        <w:rPr>
          <w:rFonts w:cs="Arial"/>
        </w:rPr>
        <w:t xml:space="preserve">  </w:t>
      </w:r>
      <w:r w:rsidR="00A03015" w:rsidRPr="00F82257">
        <w:rPr>
          <w:rFonts w:cs="Arial"/>
        </w:rPr>
        <w:t>Guideline 43 (at the end of the Guidelines)</w:t>
      </w:r>
    </w:p>
    <w:p w14:paraId="4E6AC003" w14:textId="427E1D47" w:rsidR="00A03015" w:rsidRPr="00F82257" w:rsidRDefault="00A03015" w:rsidP="00A03015">
      <w:pPr>
        <w:pStyle w:val="Blocks"/>
        <w:rPr>
          <w:rFonts w:ascii="Arial" w:hAnsi="Arial" w:cs="Arial"/>
        </w:rPr>
      </w:pPr>
      <w:r w:rsidRPr="00F82257">
        <w:rPr>
          <w:rFonts w:ascii="Arial" w:hAnsi="Arial" w:cs="Arial"/>
        </w:rPr>
        <w:tab/>
      </w:r>
      <w:r w:rsidR="00425388" w:rsidRPr="00F82257">
        <w:rPr>
          <w:rFonts w:ascii="Arial" w:hAnsi="Arial" w:cs="Arial"/>
        </w:rPr>
        <w:t>Insert</w:t>
      </w:r>
      <w:r w:rsidRPr="00F82257">
        <w:rPr>
          <w:rFonts w:ascii="Arial" w:hAnsi="Arial" w:cs="Arial"/>
        </w:rPr>
        <w:t>:</w:t>
      </w:r>
    </w:p>
    <w:p w14:paraId="70550715" w14:textId="77777777" w:rsidR="00A03015" w:rsidRPr="00C25520" w:rsidRDefault="00A03015" w:rsidP="00A03015">
      <w:pPr>
        <w:pStyle w:val="Notelevel1"/>
      </w:pPr>
      <w:r w:rsidRPr="00F82257">
        <w:t xml:space="preserve">Note: A trustee incurs reasonable expenses on behalf of a fund when providing reasonable remuneration benefits to some of the individuals listed in guideline 42 (including providing </w:t>
      </w:r>
      <w:r w:rsidRPr="00C25520">
        <w:t>benefits of a minor or incidental nature to an employee)</w:t>
      </w:r>
      <w:r w:rsidRPr="00C25520">
        <w:rPr>
          <w:i w:val="0"/>
        </w:rPr>
        <w:t>.</w:t>
      </w:r>
    </w:p>
    <w:p w14:paraId="08FDA239" w14:textId="4277B009" w:rsidR="00A03015" w:rsidRPr="00C25520" w:rsidRDefault="004E4902" w:rsidP="00A03015">
      <w:pPr>
        <w:pStyle w:val="ActHead8"/>
        <w:rPr>
          <w:rFonts w:cs="Arial"/>
        </w:rPr>
      </w:pPr>
      <w:r w:rsidRPr="00C25520">
        <w:rPr>
          <w:rFonts w:cs="Arial"/>
        </w:rPr>
        <w:lastRenderedPageBreak/>
        <w:t>3</w:t>
      </w:r>
      <w:r w:rsidR="007B38D6" w:rsidRPr="00C25520">
        <w:rPr>
          <w:rFonts w:cs="Arial"/>
        </w:rPr>
        <w:t>5</w:t>
      </w:r>
      <w:r w:rsidRPr="00C25520">
        <w:rPr>
          <w:rFonts w:cs="Arial"/>
        </w:rPr>
        <w:t xml:space="preserve">  </w:t>
      </w:r>
      <w:r w:rsidR="00A03015" w:rsidRPr="00C25520">
        <w:rPr>
          <w:rFonts w:cs="Arial"/>
        </w:rPr>
        <w:t>At the end of Part 2</w:t>
      </w:r>
    </w:p>
    <w:p w14:paraId="05452646" w14:textId="1B8D584E" w:rsidR="00A03015" w:rsidRPr="00C25520" w:rsidRDefault="00425388" w:rsidP="00A03015">
      <w:pPr>
        <w:pStyle w:val="Blocks"/>
        <w:ind w:firstLine="0"/>
        <w:rPr>
          <w:rFonts w:ascii="Arial" w:hAnsi="Arial" w:cs="Arial"/>
        </w:rPr>
      </w:pPr>
      <w:r w:rsidRPr="00C25520">
        <w:rPr>
          <w:rFonts w:ascii="Arial" w:hAnsi="Arial" w:cs="Arial"/>
        </w:rPr>
        <w:t>Insert</w:t>
      </w:r>
      <w:r w:rsidR="00A03015" w:rsidRPr="00C25520">
        <w:rPr>
          <w:rFonts w:ascii="Arial" w:hAnsi="Arial" w:cs="Arial"/>
        </w:rPr>
        <w:t>:</w:t>
      </w:r>
    </w:p>
    <w:p w14:paraId="48D9FC6F" w14:textId="77777777" w:rsidR="00A03015" w:rsidRPr="00C25520" w:rsidRDefault="00A03015" w:rsidP="00A03015">
      <w:pPr>
        <w:pStyle w:val="Heading2"/>
        <w:spacing w:before="120" w:after="240" w:line="260" w:lineRule="exact"/>
        <w:jc w:val="both"/>
        <w:rPr>
          <w:bCs w:val="0"/>
          <w:i w:val="0"/>
        </w:rPr>
      </w:pPr>
      <w:r w:rsidRPr="00C25520">
        <w:rPr>
          <w:rFonts w:eastAsia="Times New Roman"/>
          <w:i w:val="0"/>
          <w:iCs w:val="0"/>
          <w:caps/>
          <w:color w:val="000000"/>
          <w:sz w:val="24"/>
          <w:szCs w:val="24"/>
          <w:lang w:eastAsia="en-AU"/>
        </w:rPr>
        <w:t>Portability</w:t>
      </w:r>
    </w:p>
    <w:p w14:paraId="6DB60038" w14:textId="0D93DFEF" w:rsidR="00A03015" w:rsidRPr="00C25520" w:rsidRDefault="00703408" w:rsidP="00A03015">
      <w:pPr>
        <w:pStyle w:val="OutlineNumbered1"/>
      </w:pPr>
      <w:r w:rsidRPr="00C25520">
        <w:t>51A.</w:t>
      </w:r>
      <w:r w:rsidRPr="00C25520">
        <w:tab/>
      </w:r>
      <w:r w:rsidR="00A03015" w:rsidRPr="00C25520">
        <w:t>With the agreement of the Commissioner, a *private ancillary fund may transfer assets to another *</w:t>
      </w:r>
      <w:r w:rsidR="00611E1D" w:rsidRPr="00C25520">
        <w:t xml:space="preserve"> </w:t>
      </w:r>
      <w:r w:rsidR="00A03015" w:rsidRPr="00C25520">
        <w:t>ancillary fund if:</w:t>
      </w:r>
    </w:p>
    <w:p w14:paraId="7A3352A3" w14:textId="77777777" w:rsidR="00A03015" w:rsidRPr="00C25520" w:rsidRDefault="00A03015" w:rsidP="0075371B">
      <w:pPr>
        <w:pStyle w:val="bulletlevel2"/>
        <w:numPr>
          <w:ilvl w:val="0"/>
          <w:numId w:val="2"/>
        </w:numPr>
        <w:tabs>
          <w:tab w:val="clear" w:pos="607"/>
          <w:tab w:val="num" w:pos="709"/>
        </w:tabs>
        <w:ind w:left="1134" w:hanging="425"/>
      </w:pPr>
      <w:r w:rsidRPr="00C25520">
        <w:t>it transfers all of its net assets to that ancillary fund; and</w:t>
      </w:r>
    </w:p>
    <w:p w14:paraId="1DF61F71" w14:textId="26E7FC51" w:rsidR="00A03015" w:rsidRPr="00C25520" w:rsidRDefault="00A03015" w:rsidP="0075371B">
      <w:pPr>
        <w:pStyle w:val="bulletlevel2"/>
        <w:numPr>
          <w:ilvl w:val="0"/>
          <w:numId w:val="2"/>
        </w:numPr>
        <w:tabs>
          <w:tab w:val="clear" w:pos="607"/>
          <w:tab w:val="num" w:pos="709"/>
        </w:tabs>
        <w:ind w:left="1134" w:hanging="425"/>
      </w:pPr>
      <w:r w:rsidRPr="00C25520">
        <w:t>it has already complied with guidelines 19 to 19.</w:t>
      </w:r>
      <w:r w:rsidR="00611E1D" w:rsidRPr="00C25520">
        <w:t xml:space="preserve">6 </w:t>
      </w:r>
      <w:r w:rsidRPr="00C25520">
        <w:t>for that financial year (about minimum annual distributions); and</w:t>
      </w:r>
    </w:p>
    <w:p w14:paraId="0620FF02" w14:textId="6E8C4BFB" w:rsidR="00A03015" w:rsidRPr="00C25520" w:rsidRDefault="00F95C75" w:rsidP="0075371B">
      <w:pPr>
        <w:pStyle w:val="bulletlevel2"/>
        <w:numPr>
          <w:ilvl w:val="0"/>
          <w:numId w:val="2"/>
        </w:numPr>
        <w:tabs>
          <w:tab w:val="clear" w:pos="607"/>
          <w:tab w:val="num" w:pos="709"/>
        </w:tabs>
        <w:ind w:left="1134" w:hanging="425"/>
      </w:pPr>
      <w:r w:rsidRPr="00C25520">
        <w:t>the net</w:t>
      </w:r>
      <w:r w:rsidR="00A03015" w:rsidRPr="00C25520">
        <w:t xml:space="preserve"> assets </w:t>
      </w:r>
      <w:r w:rsidR="00DA279B" w:rsidRPr="00C25520">
        <w:t>of the fund</w:t>
      </w:r>
      <w:r w:rsidR="00A03015" w:rsidRPr="00C25520">
        <w:t xml:space="preserve"> have not been </w:t>
      </w:r>
      <w:r w:rsidR="00611E1D" w:rsidRPr="00C25520">
        <w:t xml:space="preserve">received from </w:t>
      </w:r>
      <w:r w:rsidR="00A03015" w:rsidRPr="00C25520">
        <w:t>another ancillary fund during the 2 previous financial years.</w:t>
      </w:r>
    </w:p>
    <w:p w14:paraId="3AE391BF" w14:textId="65E6B035" w:rsidR="00A03015" w:rsidRPr="00C25520" w:rsidRDefault="004E4902" w:rsidP="00A03015">
      <w:pPr>
        <w:pStyle w:val="ActHead8"/>
        <w:rPr>
          <w:rFonts w:cs="Arial"/>
        </w:rPr>
      </w:pPr>
      <w:r w:rsidRPr="00C25520">
        <w:rPr>
          <w:rFonts w:cs="Arial"/>
        </w:rPr>
        <w:t>3</w:t>
      </w:r>
      <w:r w:rsidR="007B38D6" w:rsidRPr="00C25520">
        <w:rPr>
          <w:rFonts w:cs="Arial"/>
        </w:rPr>
        <w:t>6</w:t>
      </w:r>
      <w:r w:rsidRPr="00C25520">
        <w:rPr>
          <w:rFonts w:cs="Arial"/>
        </w:rPr>
        <w:t xml:space="preserve">  </w:t>
      </w:r>
      <w:r w:rsidR="00A03015" w:rsidRPr="00C25520">
        <w:rPr>
          <w:rFonts w:cs="Arial"/>
        </w:rPr>
        <w:t>Guidelines 5</w:t>
      </w:r>
      <w:r w:rsidR="00FB399B" w:rsidRPr="00C25520">
        <w:rPr>
          <w:rFonts w:cs="Arial"/>
        </w:rPr>
        <w:t>2</w:t>
      </w:r>
      <w:r w:rsidR="00A03015" w:rsidRPr="00C25520">
        <w:rPr>
          <w:rFonts w:cs="Arial"/>
        </w:rPr>
        <w:t xml:space="preserve"> to 55</w:t>
      </w:r>
    </w:p>
    <w:p w14:paraId="475B11B2" w14:textId="77777777" w:rsidR="00A03015" w:rsidRPr="00F82257" w:rsidRDefault="00A03015" w:rsidP="00A03015">
      <w:pPr>
        <w:pStyle w:val="Blocks"/>
        <w:ind w:firstLine="0"/>
        <w:rPr>
          <w:rFonts w:ascii="Arial" w:hAnsi="Arial" w:cs="Arial"/>
        </w:rPr>
      </w:pPr>
      <w:r w:rsidRPr="00C25520">
        <w:rPr>
          <w:rFonts w:ascii="Arial" w:hAnsi="Arial" w:cs="Arial"/>
        </w:rPr>
        <w:t>Repeal the Guidelines (including</w:t>
      </w:r>
      <w:r w:rsidRPr="00F82257">
        <w:rPr>
          <w:rFonts w:ascii="Arial" w:hAnsi="Arial" w:cs="Arial"/>
        </w:rPr>
        <w:t xml:space="preserve"> the headings).</w:t>
      </w:r>
    </w:p>
    <w:p w14:paraId="0BC2B42E" w14:textId="5BD9C567" w:rsidR="00A03015" w:rsidRPr="00F82257" w:rsidRDefault="004E4902" w:rsidP="00A03015">
      <w:pPr>
        <w:pStyle w:val="ActHead8"/>
        <w:rPr>
          <w:rFonts w:cs="Arial"/>
        </w:rPr>
      </w:pPr>
      <w:r w:rsidRPr="00F82257">
        <w:rPr>
          <w:rFonts w:cs="Arial"/>
        </w:rPr>
        <w:t>3</w:t>
      </w:r>
      <w:r w:rsidR="007B38D6">
        <w:rPr>
          <w:rFonts w:cs="Arial"/>
        </w:rPr>
        <w:t>7</w:t>
      </w:r>
      <w:r w:rsidRPr="00F82257">
        <w:rPr>
          <w:rFonts w:cs="Arial"/>
        </w:rPr>
        <w:t xml:space="preserve">  </w:t>
      </w:r>
      <w:r w:rsidR="00A03015" w:rsidRPr="00F82257">
        <w:rPr>
          <w:rFonts w:cs="Arial"/>
        </w:rPr>
        <w:t>Guidelines 56 to 58</w:t>
      </w:r>
    </w:p>
    <w:p w14:paraId="47870C5F" w14:textId="77777777" w:rsidR="00A03015" w:rsidRPr="00F82257" w:rsidRDefault="00A03015" w:rsidP="00A03015">
      <w:pPr>
        <w:pStyle w:val="Blocks"/>
        <w:ind w:firstLine="0"/>
        <w:rPr>
          <w:rFonts w:ascii="Arial" w:hAnsi="Arial" w:cs="Arial"/>
        </w:rPr>
      </w:pPr>
      <w:r w:rsidRPr="00F82257">
        <w:rPr>
          <w:rFonts w:ascii="Arial" w:hAnsi="Arial" w:cs="Arial"/>
        </w:rPr>
        <w:t>Repeal the Guidelines (not including the heading).</w:t>
      </w:r>
    </w:p>
    <w:p w14:paraId="22F2732D" w14:textId="77777777" w:rsidR="00A03015" w:rsidRPr="00F82257" w:rsidRDefault="00A03015" w:rsidP="00A03015">
      <w:pPr>
        <w:pStyle w:val="subsection"/>
        <w:rPr>
          <w:rFonts w:ascii="Arial" w:hAnsi="Arial" w:cs="Arial"/>
        </w:rPr>
      </w:pPr>
    </w:p>
    <w:p w14:paraId="4A3956F2" w14:textId="77777777" w:rsidR="00A03015" w:rsidRPr="00F82257" w:rsidRDefault="00A03015" w:rsidP="00A03015">
      <w:pPr>
        <w:pStyle w:val="subsection"/>
        <w:rPr>
          <w:rFonts w:ascii="Arial" w:hAnsi="Arial" w:cs="Arial"/>
        </w:rPr>
        <w:sectPr w:rsidR="00A03015" w:rsidRPr="00F82257" w:rsidSect="004F4033">
          <w:pgSz w:w="11907" w:h="16839" w:code="9"/>
          <w:pgMar w:top="2380" w:right="1797" w:bottom="1440" w:left="1797" w:header="720" w:footer="709" w:gutter="0"/>
          <w:cols w:space="708"/>
          <w:docGrid w:linePitch="360"/>
        </w:sectPr>
      </w:pPr>
    </w:p>
    <w:p w14:paraId="14C95457" w14:textId="77777777" w:rsidR="00A03015" w:rsidRPr="00F82257" w:rsidRDefault="00A03015" w:rsidP="00546553">
      <w:pPr>
        <w:pStyle w:val="ActHead7"/>
        <w:spacing w:before="0"/>
        <w:rPr>
          <w:rFonts w:cs="Arial"/>
        </w:rPr>
      </w:pPr>
      <w:bookmarkStart w:id="20" w:name="_Toc392252363"/>
      <w:r w:rsidRPr="00F82257">
        <w:rPr>
          <w:rFonts w:cs="Arial"/>
        </w:rPr>
        <w:lastRenderedPageBreak/>
        <w:t>Schedule 2—Amendments to the Public Ancillary Fund Guidelines 2011</w:t>
      </w:r>
      <w:bookmarkEnd w:id="20"/>
    </w:p>
    <w:p w14:paraId="0AB53998" w14:textId="77777777" w:rsidR="00A03015" w:rsidRPr="00F82257" w:rsidRDefault="00A03015" w:rsidP="00A03015">
      <w:pPr>
        <w:pStyle w:val="ActHead9"/>
        <w:rPr>
          <w:rFonts w:ascii="Arial" w:hAnsi="Arial" w:cs="Arial"/>
        </w:rPr>
      </w:pPr>
      <w:bookmarkStart w:id="21" w:name="_Toc392252364"/>
      <w:r w:rsidRPr="00F82257">
        <w:rPr>
          <w:rFonts w:ascii="Arial" w:hAnsi="Arial" w:cs="Arial"/>
        </w:rPr>
        <w:t>Public Ancillary Fund Guidelines 2011</w:t>
      </w:r>
      <w:bookmarkEnd w:id="21"/>
    </w:p>
    <w:p w14:paraId="656F213B" w14:textId="029F3502" w:rsidR="00A03015" w:rsidRPr="00F82257" w:rsidRDefault="00A03015" w:rsidP="00A03015">
      <w:pPr>
        <w:pStyle w:val="ActHead8"/>
        <w:rPr>
          <w:rFonts w:cs="Arial"/>
        </w:rPr>
      </w:pPr>
      <w:bookmarkStart w:id="22" w:name="_Toc392252365"/>
      <w:r w:rsidRPr="00F82257">
        <w:rPr>
          <w:rFonts w:cs="Arial"/>
        </w:rPr>
        <w:t>1  Guideline 8 (the 2</w:t>
      </w:r>
      <w:r w:rsidRPr="00F82257">
        <w:rPr>
          <w:rFonts w:cs="Arial"/>
          <w:vertAlign w:val="superscript"/>
        </w:rPr>
        <w:t>nd</w:t>
      </w:r>
      <w:r w:rsidRPr="00F82257">
        <w:rPr>
          <w:rFonts w:cs="Arial"/>
        </w:rPr>
        <w:t xml:space="preserve"> dash point)</w:t>
      </w:r>
      <w:bookmarkEnd w:id="22"/>
    </w:p>
    <w:p w14:paraId="735ACA4B" w14:textId="77777777" w:rsidR="00A03015" w:rsidRPr="00F82257" w:rsidRDefault="00A03015" w:rsidP="00A03015">
      <w:pPr>
        <w:pStyle w:val="Blocks"/>
        <w:rPr>
          <w:rFonts w:ascii="Arial" w:hAnsi="Arial" w:cs="Arial"/>
        </w:rPr>
      </w:pPr>
      <w:r w:rsidRPr="00F82257">
        <w:rPr>
          <w:rFonts w:ascii="Arial" w:hAnsi="Arial" w:cs="Arial"/>
        </w:rPr>
        <w:tab/>
        <w:t>Omit “Commissioner”, substitute “Commissioner and the Commissioner of the Australian Charities and Not-for-profits Commission (if a *registered charity)”.</w:t>
      </w:r>
    </w:p>
    <w:p w14:paraId="7D0F94BB" w14:textId="0C2CB639" w:rsidR="00A03015" w:rsidRPr="00F82257" w:rsidRDefault="00A03015" w:rsidP="00A03015">
      <w:pPr>
        <w:pStyle w:val="ActHead8"/>
        <w:rPr>
          <w:rFonts w:cs="Arial"/>
        </w:rPr>
      </w:pPr>
      <w:bookmarkStart w:id="23" w:name="_Toc392252366"/>
      <w:r w:rsidRPr="00F82257">
        <w:rPr>
          <w:rFonts w:cs="Arial"/>
        </w:rPr>
        <w:t>2  Guideline 8 (note)</w:t>
      </w:r>
    </w:p>
    <w:p w14:paraId="59C9C2F1" w14:textId="77777777" w:rsidR="00A03015" w:rsidRPr="00F82257" w:rsidRDefault="00A03015" w:rsidP="00A03015">
      <w:pPr>
        <w:pStyle w:val="Blocks"/>
        <w:rPr>
          <w:rFonts w:ascii="Arial" w:hAnsi="Arial" w:cs="Arial"/>
        </w:rPr>
      </w:pPr>
      <w:r w:rsidRPr="00F82257">
        <w:rPr>
          <w:rFonts w:ascii="Arial" w:hAnsi="Arial" w:cs="Arial"/>
        </w:rPr>
        <w:tab/>
        <w:t>Repeal the note, substitute:</w:t>
      </w:r>
    </w:p>
    <w:p w14:paraId="2C487EE1" w14:textId="2EA93042" w:rsidR="00A03015" w:rsidRPr="00F82257" w:rsidRDefault="00A03015" w:rsidP="00A03015">
      <w:pPr>
        <w:pStyle w:val="Notelevel1"/>
      </w:pPr>
      <w:r w:rsidRPr="00F82257">
        <w:t>Note:  This does not affect either Commissioner</w:t>
      </w:r>
      <w:r w:rsidR="000F1D6F" w:rsidRPr="00F82257">
        <w:t>’s</w:t>
      </w:r>
      <w:r w:rsidRPr="00F82257">
        <w:t xml:space="preserve"> obligations to protect the confidentiality of a *</w:t>
      </w:r>
      <w:r w:rsidR="001E7DAE" w:rsidRPr="00F82257">
        <w:t xml:space="preserve">public </w:t>
      </w:r>
      <w:r w:rsidRPr="00F82257">
        <w:t>ancillary fund’s information under privacy, and secrecy and disclosure laws.</w:t>
      </w:r>
    </w:p>
    <w:p w14:paraId="743843B8" w14:textId="668CE9B1" w:rsidR="00A03015" w:rsidRPr="00F82257" w:rsidRDefault="00A03015" w:rsidP="00A03015">
      <w:pPr>
        <w:pStyle w:val="ActHead8"/>
        <w:rPr>
          <w:rFonts w:cs="Arial"/>
        </w:rPr>
      </w:pPr>
      <w:r w:rsidRPr="00F82257">
        <w:rPr>
          <w:rFonts w:cs="Arial"/>
        </w:rPr>
        <w:t>3  Guideline 12 (note)</w:t>
      </w:r>
    </w:p>
    <w:p w14:paraId="2D8ADCB6" w14:textId="77777777" w:rsidR="00A03015" w:rsidRPr="00F82257" w:rsidRDefault="00A03015" w:rsidP="00A03015">
      <w:pPr>
        <w:pStyle w:val="Blocks"/>
        <w:rPr>
          <w:rFonts w:ascii="Arial" w:hAnsi="Arial" w:cs="Arial"/>
        </w:rPr>
      </w:pPr>
      <w:r w:rsidRPr="00F82257">
        <w:rPr>
          <w:rFonts w:ascii="Arial" w:hAnsi="Arial" w:cs="Arial"/>
        </w:rPr>
        <w:tab/>
        <w:t>Repeal the note.</w:t>
      </w:r>
    </w:p>
    <w:p w14:paraId="1639380D" w14:textId="37CAC848" w:rsidR="001E7DAE" w:rsidRPr="00F82257" w:rsidRDefault="004E4902" w:rsidP="001E7DAE">
      <w:pPr>
        <w:pStyle w:val="ActHead8"/>
        <w:rPr>
          <w:rFonts w:cs="Arial"/>
        </w:rPr>
      </w:pPr>
      <w:r w:rsidRPr="00F82257">
        <w:rPr>
          <w:rFonts w:cs="Arial"/>
        </w:rPr>
        <w:t>4</w:t>
      </w:r>
      <w:r w:rsidR="001E7DAE" w:rsidRPr="00F82257">
        <w:rPr>
          <w:rFonts w:cs="Arial"/>
        </w:rPr>
        <w:t xml:space="preserve">  Guideline 14.1 (</w:t>
      </w:r>
      <w:r w:rsidR="00ED6EE2" w:rsidRPr="00F82257">
        <w:rPr>
          <w:rFonts w:cs="Arial"/>
        </w:rPr>
        <w:t>excluding the example</w:t>
      </w:r>
      <w:r w:rsidR="001E7DAE" w:rsidRPr="00F82257">
        <w:rPr>
          <w:rFonts w:cs="Arial"/>
        </w:rPr>
        <w:t>)</w:t>
      </w:r>
    </w:p>
    <w:p w14:paraId="2C280A7D" w14:textId="6A277023" w:rsidR="001E7DAE" w:rsidRPr="00F82257" w:rsidRDefault="001E7DAE" w:rsidP="001E7DAE">
      <w:pPr>
        <w:pStyle w:val="Blocks"/>
        <w:rPr>
          <w:rFonts w:ascii="Arial" w:hAnsi="Arial" w:cs="Arial"/>
        </w:rPr>
      </w:pPr>
      <w:r w:rsidRPr="00F82257">
        <w:rPr>
          <w:rFonts w:ascii="Arial" w:hAnsi="Arial" w:cs="Arial"/>
        </w:rPr>
        <w:tab/>
        <w:t>Repeal the guideline, substitute:</w:t>
      </w:r>
    </w:p>
    <w:p w14:paraId="09C677E0" w14:textId="6F07CF3A" w:rsidR="001E7DAE" w:rsidRPr="00F82257" w:rsidRDefault="001E7DAE" w:rsidP="001E7DAE">
      <w:pPr>
        <w:pStyle w:val="OutlineNumbered2"/>
        <w:ind w:left="1418" w:hanging="851"/>
      </w:pPr>
      <w:r w:rsidRPr="00F82257">
        <w:t>14.1.</w:t>
      </w:r>
      <w:r w:rsidRPr="00F82257">
        <w:tab/>
        <w:t>An individual with a degree of responsibility to the Australian community as a whole includes an individual before whom a statutory declaration may be made.</w:t>
      </w:r>
    </w:p>
    <w:p w14:paraId="4341F720" w14:textId="6C1C54BE" w:rsidR="00A03015" w:rsidRPr="00F82257" w:rsidRDefault="004E4902" w:rsidP="00A03015">
      <w:pPr>
        <w:pStyle w:val="ActHead8"/>
        <w:rPr>
          <w:rFonts w:cs="Arial"/>
        </w:rPr>
      </w:pPr>
      <w:r w:rsidRPr="00F82257">
        <w:rPr>
          <w:rFonts w:cs="Arial"/>
        </w:rPr>
        <w:t xml:space="preserve">5  </w:t>
      </w:r>
      <w:r w:rsidR="00A03015" w:rsidRPr="00F82257">
        <w:rPr>
          <w:rFonts w:cs="Arial"/>
        </w:rPr>
        <w:t>Guideline 17 (at the end of the Guideline but before the penalty)</w:t>
      </w:r>
    </w:p>
    <w:p w14:paraId="54B26BA1" w14:textId="77777777" w:rsidR="00A03015" w:rsidRPr="00F82257" w:rsidRDefault="00A03015" w:rsidP="00A03015">
      <w:pPr>
        <w:pStyle w:val="Blocks"/>
        <w:rPr>
          <w:rFonts w:ascii="Arial" w:hAnsi="Arial" w:cs="Arial"/>
        </w:rPr>
      </w:pPr>
      <w:r w:rsidRPr="00F82257">
        <w:rPr>
          <w:rFonts w:ascii="Arial" w:hAnsi="Arial" w:cs="Arial"/>
        </w:rPr>
        <w:tab/>
        <w:t>Insert:</w:t>
      </w:r>
    </w:p>
    <w:p w14:paraId="5BD7D3A2" w14:textId="77777777" w:rsidR="00A03015" w:rsidRPr="00F82257" w:rsidRDefault="00A03015" w:rsidP="00A03015">
      <w:pPr>
        <w:pStyle w:val="OutlineNumbered2"/>
        <w:ind w:left="1418" w:hanging="851"/>
      </w:pPr>
      <w:r w:rsidRPr="00F82257">
        <w:t>17.1</w:t>
      </w:r>
      <w:r w:rsidRPr="00F82257">
        <w:tab/>
        <w:t xml:space="preserve">However, the trustee does </w:t>
      </w:r>
      <w:r w:rsidRPr="00F82257">
        <w:rPr>
          <w:i/>
        </w:rPr>
        <w:t>not</w:t>
      </w:r>
      <w:r w:rsidRPr="00F82257">
        <w:t xml:space="preserve"> need to notify the Commissioner under this guideline if the trustee is required to notify the Commissioner of the Australian Charities and Not-for-profits Commission of the same information under Division 65 of the </w:t>
      </w:r>
      <w:r w:rsidRPr="00F82257">
        <w:rPr>
          <w:i/>
        </w:rPr>
        <w:t>Australian Charities and Not-for-profits Commission Act 2012</w:t>
      </w:r>
      <w:r w:rsidRPr="00F82257">
        <w:t>.</w:t>
      </w:r>
    </w:p>
    <w:p w14:paraId="1BD6A254" w14:textId="6C5C0413" w:rsidR="0046171A" w:rsidRDefault="007B38D6" w:rsidP="0046171A">
      <w:pPr>
        <w:pStyle w:val="ActHead8"/>
      </w:pPr>
      <w:r>
        <w:t>6</w:t>
      </w:r>
      <w:r w:rsidR="0046171A">
        <w:t xml:space="preserve">  Guideline 19</w:t>
      </w:r>
    </w:p>
    <w:p w14:paraId="141E4244" w14:textId="77777777" w:rsidR="0046171A" w:rsidRPr="00460446" w:rsidRDefault="0046171A" w:rsidP="0046171A">
      <w:pPr>
        <w:pStyle w:val="Blocks"/>
        <w:rPr>
          <w:rFonts w:ascii="Arial" w:hAnsi="Arial" w:cs="Arial"/>
        </w:rPr>
      </w:pPr>
      <w:r w:rsidRPr="00460446">
        <w:rPr>
          <w:rFonts w:ascii="Arial" w:hAnsi="Arial" w:cs="Arial"/>
        </w:rPr>
        <w:tab/>
        <w:t>Omit “per cent”, substitute “per cent (</w:t>
      </w:r>
      <w:r w:rsidRPr="00460446">
        <w:rPr>
          <w:rFonts w:ascii="Arial" w:hAnsi="Arial" w:cs="Arial"/>
          <w:b/>
          <w:i/>
        </w:rPr>
        <w:t>minimum annual distribution rate</w:t>
      </w:r>
      <w:r w:rsidRPr="00460446">
        <w:rPr>
          <w:rFonts w:ascii="Arial" w:hAnsi="Arial" w:cs="Arial"/>
        </w:rPr>
        <w:t>)”.</w:t>
      </w:r>
    </w:p>
    <w:p w14:paraId="67E0E4B2" w14:textId="5ABB7641" w:rsidR="0046171A" w:rsidRDefault="007B38D6" w:rsidP="0046171A">
      <w:pPr>
        <w:pStyle w:val="ActHead8"/>
      </w:pPr>
      <w:r>
        <w:lastRenderedPageBreak/>
        <w:t>7</w:t>
      </w:r>
      <w:r w:rsidR="0046171A">
        <w:t xml:space="preserve">  Guideline 19 (note)</w:t>
      </w:r>
    </w:p>
    <w:p w14:paraId="39B27122" w14:textId="77777777" w:rsidR="0046171A" w:rsidRPr="00460446" w:rsidRDefault="0046171A" w:rsidP="0046171A">
      <w:pPr>
        <w:pStyle w:val="Blocks"/>
        <w:rPr>
          <w:rFonts w:ascii="Arial" w:hAnsi="Arial" w:cs="Arial"/>
        </w:rPr>
      </w:pPr>
      <w:r w:rsidRPr="00460446">
        <w:rPr>
          <w:rFonts w:ascii="Arial" w:hAnsi="Arial" w:cs="Arial"/>
        </w:rPr>
        <w:tab/>
        <w:t>Omit “Note:”, substitute “Note 1:”.</w:t>
      </w:r>
    </w:p>
    <w:p w14:paraId="0DAAF17B" w14:textId="6E53257A" w:rsidR="0046171A" w:rsidRDefault="007B38D6" w:rsidP="0046171A">
      <w:pPr>
        <w:pStyle w:val="ItemHead"/>
      </w:pPr>
      <w:r>
        <w:t>8</w:t>
      </w:r>
      <w:r w:rsidR="0046171A">
        <w:t xml:space="preserve">  Guideline 19 (after note 1)</w:t>
      </w:r>
    </w:p>
    <w:p w14:paraId="71FEC423" w14:textId="77777777" w:rsidR="0046171A" w:rsidRPr="00460446" w:rsidRDefault="0046171A" w:rsidP="0046171A">
      <w:pPr>
        <w:pStyle w:val="Blocks"/>
        <w:rPr>
          <w:rFonts w:ascii="Arial" w:hAnsi="Arial" w:cs="Arial"/>
        </w:rPr>
      </w:pPr>
      <w:r w:rsidRPr="00460446">
        <w:rPr>
          <w:rFonts w:ascii="Arial" w:hAnsi="Arial" w:cs="Arial"/>
        </w:rPr>
        <w:tab/>
        <w:t>Insert:</w:t>
      </w:r>
    </w:p>
    <w:p w14:paraId="55B7655B" w14:textId="066CF5BE" w:rsidR="0046171A" w:rsidRDefault="0046171A" w:rsidP="0046171A">
      <w:pPr>
        <w:pStyle w:val="Notelevel1"/>
      </w:pPr>
      <w:r>
        <w:t>Note 2:  The minimum annual distribution rate may be lowered under Guidelines 19.2 and 19.</w:t>
      </w:r>
      <w:r w:rsidR="00724B9A">
        <w:t>7</w:t>
      </w:r>
      <w:r>
        <w:t xml:space="preserve"> for a financial year.</w:t>
      </w:r>
    </w:p>
    <w:p w14:paraId="2870B20B" w14:textId="46A6C874" w:rsidR="004E5CFB" w:rsidRPr="0046171A" w:rsidRDefault="007B38D6" w:rsidP="004E5CFB">
      <w:pPr>
        <w:pStyle w:val="ActHead8"/>
        <w:rPr>
          <w:rFonts w:cs="Arial"/>
        </w:rPr>
      </w:pPr>
      <w:r>
        <w:rPr>
          <w:rFonts w:cs="Arial"/>
        </w:rPr>
        <w:t>9</w:t>
      </w:r>
      <w:r w:rsidR="004E5CFB" w:rsidRPr="0046171A">
        <w:rPr>
          <w:rFonts w:cs="Arial"/>
        </w:rPr>
        <w:t xml:space="preserve">  Guideline 19.1</w:t>
      </w:r>
      <w:r w:rsidR="00995C47" w:rsidRPr="0046171A">
        <w:rPr>
          <w:rFonts w:cs="Arial"/>
        </w:rPr>
        <w:t xml:space="preserve"> (not including the note)</w:t>
      </w:r>
    </w:p>
    <w:p w14:paraId="066B2A97" w14:textId="58176E26" w:rsidR="004E5CFB" w:rsidRPr="0046171A" w:rsidRDefault="004E5CFB" w:rsidP="004E5CFB">
      <w:pPr>
        <w:pStyle w:val="Blocks"/>
        <w:rPr>
          <w:rFonts w:ascii="Arial" w:hAnsi="Arial" w:cs="Arial"/>
        </w:rPr>
      </w:pPr>
      <w:r w:rsidRPr="0046171A">
        <w:rPr>
          <w:rFonts w:ascii="Arial" w:hAnsi="Arial" w:cs="Arial"/>
        </w:rPr>
        <w:tab/>
        <w:t>Repeal all the words after “year” (first occurring), substitute “if any expenses of the fund in relation to that financial year are paid directly or indirectly from the fund’s assets or income.</w:t>
      </w:r>
      <w:r w:rsidR="00065761" w:rsidRPr="0046171A">
        <w:rPr>
          <w:rFonts w:ascii="Arial" w:hAnsi="Arial" w:cs="Arial"/>
        </w:rPr>
        <w:t>”</w:t>
      </w:r>
    </w:p>
    <w:p w14:paraId="584D871F" w14:textId="4AAF986C" w:rsidR="004E5CFB" w:rsidRPr="0046171A" w:rsidRDefault="007B38D6" w:rsidP="004E5CFB">
      <w:pPr>
        <w:pStyle w:val="ItemHead"/>
        <w:rPr>
          <w:rFonts w:cs="Arial"/>
        </w:rPr>
      </w:pPr>
      <w:r>
        <w:rPr>
          <w:rFonts w:cs="Arial"/>
        </w:rPr>
        <w:t>10</w:t>
      </w:r>
      <w:r w:rsidR="004E5CFB" w:rsidRPr="0046171A">
        <w:rPr>
          <w:rFonts w:cs="Arial"/>
        </w:rPr>
        <w:t xml:space="preserve">  Guideline 19.1 (note)</w:t>
      </w:r>
    </w:p>
    <w:p w14:paraId="314586CE" w14:textId="5DAEC899" w:rsidR="004E5CFB" w:rsidRPr="00C25520" w:rsidRDefault="004E5CFB" w:rsidP="004E5CFB">
      <w:pPr>
        <w:pStyle w:val="Blocks"/>
        <w:rPr>
          <w:rFonts w:ascii="Arial" w:hAnsi="Arial" w:cs="Arial"/>
        </w:rPr>
      </w:pPr>
      <w:r w:rsidRPr="0046171A">
        <w:rPr>
          <w:rFonts w:ascii="Arial" w:hAnsi="Arial" w:cs="Arial"/>
        </w:rPr>
        <w:tab/>
        <w:t>Repeal all the words after “minimum annual distribution</w:t>
      </w:r>
      <w:r w:rsidR="009E291A" w:rsidRPr="0046171A">
        <w:rPr>
          <w:rFonts w:ascii="Arial" w:hAnsi="Arial" w:cs="Arial"/>
        </w:rPr>
        <w:t xml:space="preserve"> is</w:t>
      </w:r>
      <w:r w:rsidRPr="0046171A">
        <w:rPr>
          <w:rFonts w:ascii="Arial" w:hAnsi="Arial" w:cs="Arial"/>
        </w:rPr>
        <w:t xml:space="preserve">”, substitute “the amount calculated under Guideline 19.  If </w:t>
      </w:r>
      <w:r w:rsidR="000E117C" w:rsidRPr="0046171A">
        <w:rPr>
          <w:rFonts w:ascii="Arial" w:hAnsi="Arial" w:cs="Arial"/>
        </w:rPr>
        <w:t xml:space="preserve">any of </w:t>
      </w:r>
      <w:r w:rsidRPr="0046171A">
        <w:rPr>
          <w:rFonts w:ascii="Arial" w:hAnsi="Arial" w:cs="Arial"/>
        </w:rPr>
        <w:t xml:space="preserve">a fund’s expenses are paid out of the fund’s assets or income, its minimum distribution is $8,800 or the amount calculated under Guideline 19 whichever is </w:t>
      </w:r>
      <w:r w:rsidRPr="00C25520">
        <w:rPr>
          <w:rFonts w:ascii="Arial" w:hAnsi="Arial" w:cs="Arial"/>
        </w:rPr>
        <w:t>greater.”</w:t>
      </w:r>
    </w:p>
    <w:p w14:paraId="37584D8D" w14:textId="25827518" w:rsidR="00085F7C" w:rsidRPr="00C25520" w:rsidRDefault="00085F7C" w:rsidP="00085F7C">
      <w:pPr>
        <w:pStyle w:val="ActHead8"/>
        <w:rPr>
          <w:rFonts w:cs="Arial"/>
        </w:rPr>
      </w:pPr>
      <w:r w:rsidRPr="00C25520">
        <w:rPr>
          <w:rFonts w:cs="Arial"/>
        </w:rPr>
        <w:t>1</w:t>
      </w:r>
      <w:r w:rsidR="007B38D6" w:rsidRPr="00C25520">
        <w:rPr>
          <w:rFonts w:cs="Arial"/>
        </w:rPr>
        <w:t>1</w:t>
      </w:r>
      <w:r w:rsidRPr="00C25520">
        <w:rPr>
          <w:rFonts w:cs="Arial"/>
        </w:rPr>
        <w:t xml:space="preserve">  Guideline 19.3 (at the end of the Guideline and after the examples)</w:t>
      </w:r>
    </w:p>
    <w:p w14:paraId="51A3F3E9" w14:textId="77777777" w:rsidR="00085F7C" w:rsidRPr="00C25520" w:rsidRDefault="00085F7C" w:rsidP="00085F7C">
      <w:pPr>
        <w:pStyle w:val="Blocks"/>
        <w:rPr>
          <w:rFonts w:ascii="Arial" w:hAnsi="Arial" w:cs="Arial"/>
        </w:rPr>
      </w:pPr>
      <w:r w:rsidRPr="00C25520">
        <w:rPr>
          <w:rFonts w:ascii="Arial" w:hAnsi="Arial" w:cs="Arial"/>
        </w:rPr>
        <w:tab/>
        <w:t>Insert:</w:t>
      </w:r>
    </w:p>
    <w:p w14:paraId="062229A9" w14:textId="75F0E787" w:rsidR="00085F7C" w:rsidRPr="00C25520" w:rsidRDefault="00085F7C" w:rsidP="00085F7C">
      <w:pPr>
        <w:pStyle w:val="Notelevel2"/>
      </w:pPr>
      <w:r w:rsidRPr="00C25520">
        <w:t xml:space="preserve">Example 4:  If a </w:t>
      </w:r>
      <w:r w:rsidR="00FC0A62">
        <w:t>public</w:t>
      </w:r>
      <w:r w:rsidRPr="00C25520">
        <w:t xml:space="preserve"> ancillary fund lends money to a deductible gift recipient at a discount to the interest rate which would be charged on a comparable loan sourced from a financial institution at arm’s length, the fund is providing a benefit whose market value is equal to the discount.</w:t>
      </w:r>
    </w:p>
    <w:p w14:paraId="4AFA6AF6" w14:textId="5A14DB57" w:rsidR="00686AE8" w:rsidRDefault="00686AE8" w:rsidP="00686AE8">
      <w:pPr>
        <w:pStyle w:val="Notelevel2"/>
      </w:pPr>
      <w:r w:rsidRPr="00C25520">
        <w:t xml:space="preserve">Example 5:  If a </w:t>
      </w:r>
      <w:r w:rsidR="00FC0A62">
        <w:t>public</w:t>
      </w:r>
      <w:r w:rsidRPr="00C25520">
        <w:t xml:space="preserve"> ancillary fund guarantees a loan provided by a financial institution to a deductible gift recipient, the fund is providing a benefit whose market value is equal to the discount to the interest rate which would be charged on a comparable </w:t>
      </w:r>
      <w:r>
        <w:t>arm’s length</w:t>
      </w:r>
      <w:r w:rsidRPr="00C25520">
        <w:t xml:space="preserve"> unsecured loan sourced from </w:t>
      </w:r>
      <w:r>
        <w:t>that</w:t>
      </w:r>
      <w:r w:rsidRPr="00C25520">
        <w:t xml:space="preserve"> financia</w:t>
      </w:r>
      <w:r>
        <w:t>l institution.</w:t>
      </w:r>
    </w:p>
    <w:p w14:paraId="03E63AB5" w14:textId="77777777" w:rsidR="00686AE8" w:rsidRPr="00C25520" w:rsidRDefault="00686AE8" w:rsidP="00686AE8">
      <w:pPr>
        <w:pStyle w:val="Notelevel2"/>
      </w:pPr>
      <w:r>
        <w:t>Example 6:  Continuing example 5, i</w:t>
      </w:r>
      <w:r w:rsidRPr="00C25520">
        <w:t>f the deductible gift recipient defaults on the loan and the fund is called on under the guarantee to make a payment to the financial institution on behalf of the deductible gift recipient, the payment is a distribution (being the provision of money, property or benefits).</w:t>
      </w:r>
    </w:p>
    <w:p w14:paraId="77C484ED" w14:textId="3266F557" w:rsidR="00523A4F" w:rsidRPr="00F82257" w:rsidRDefault="00686AE8" w:rsidP="00686AE8">
      <w:pPr>
        <w:pStyle w:val="Notelevel2"/>
      </w:pPr>
      <w:r w:rsidRPr="00C25520">
        <w:t xml:space="preserve"> </w:t>
      </w:r>
      <w:r w:rsidR="00523A4F" w:rsidRPr="00C25520">
        <w:t xml:space="preserve">Note 1:  The Commissioner may approve safe harbour valuation methodologies to assist trustees in calculating the market value of a benefit provided to a deductible gift recipient – see Subdivision 960-M of the </w:t>
      </w:r>
      <w:r w:rsidR="00523A4F" w:rsidRPr="00C25520">
        <w:rPr>
          <w:i w:val="0"/>
        </w:rPr>
        <w:t>Income Tax Assessment Act 1997</w:t>
      </w:r>
      <w:r w:rsidR="00523A4F" w:rsidRPr="00C25520">
        <w:t>.</w:t>
      </w:r>
    </w:p>
    <w:p w14:paraId="0A02F2BD" w14:textId="3D6A7B36" w:rsidR="00914375" w:rsidRPr="00C25520" w:rsidRDefault="007B38D6" w:rsidP="00914375">
      <w:pPr>
        <w:pStyle w:val="ActHead8"/>
        <w:rPr>
          <w:rFonts w:cs="Arial"/>
        </w:rPr>
      </w:pPr>
      <w:r w:rsidRPr="00C25520">
        <w:rPr>
          <w:rFonts w:cs="Arial"/>
        </w:rPr>
        <w:lastRenderedPageBreak/>
        <w:t>12</w:t>
      </w:r>
      <w:r w:rsidR="00914375" w:rsidRPr="00C25520">
        <w:rPr>
          <w:rFonts w:cs="Arial"/>
        </w:rPr>
        <w:t xml:space="preserve">  After Guideline 19.6 </w:t>
      </w:r>
    </w:p>
    <w:p w14:paraId="2E26EFC3" w14:textId="77777777" w:rsidR="00914375" w:rsidRPr="00C25520" w:rsidRDefault="00914375" w:rsidP="00914375">
      <w:pPr>
        <w:pStyle w:val="Blocks"/>
        <w:rPr>
          <w:rFonts w:ascii="Arial" w:hAnsi="Arial" w:cs="Arial"/>
        </w:rPr>
      </w:pPr>
      <w:r w:rsidRPr="00C25520">
        <w:rPr>
          <w:rFonts w:ascii="Arial" w:hAnsi="Arial" w:cs="Arial"/>
        </w:rPr>
        <w:tab/>
        <w:t>Insert:</w:t>
      </w:r>
    </w:p>
    <w:p w14:paraId="26C8E109" w14:textId="77777777" w:rsidR="00914375" w:rsidRPr="00C25520" w:rsidRDefault="00914375" w:rsidP="00914375">
      <w:pPr>
        <w:pStyle w:val="Blocks"/>
        <w:rPr>
          <w:rFonts w:ascii="Arial" w:hAnsi="Arial" w:cs="Arial"/>
          <w:i/>
        </w:rPr>
      </w:pPr>
      <w:r w:rsidRPr="00C25520">
        <w:rPr>
          <w:rFonts w:ascii="Arial" w:hAnsi="Arial" w:cs="Arial"/>
        </w:rPr>
        <w:tab/>
      </w:r>
      <w:r w:rsidRPr="00C25520">
        <w:rPr>
          <w:rFonts w:ascii="Arial" w:hAnsi="Arial" w:cs="Arial"/>
          <w:i/>
        </w:rPr>
        <w:t>Accessing a lower minimum distribution rate for a financial year</w:t>
      </w:r>
    </w:p>
    <w:p w14:paraId="036DDDE8" w14:textId="77777777" w:rsidR="00914375" w:rsidRPr="00C25520" w:rsidRDefault="00914375" w:rsidP="00914375">
      <w:pPr>
        <w:pStyle w:val="OutlineNumbered2"/>
        <w:ind w:left="1418" w:hanging="851"/>
      </w:pPr>
      <w:r w:rsidRPr="00C25520">
        <w:t>19.7.</w:t>
      </w:r>
      <w:r w:rsidRPr="00C25520">
        <w:tab/>
        <w:t>Upon application, in the *approved form, the Commissioner may reduce (but not to zero) the minimum annual distribution rate for a fund for a *financial year.  The reduction may be subject to any conditions the Commissioner thinks fit.</w:t>
      </w:r>
    </w:p>
    <w:p w14:paraId="28E6B346" w14:textId="77777777" w:rsidR="00914375" w:rsidRPr="00C25520" w:rsidRDefault="00914375" w:rsidP="00914375">
      <w:pPr>
        <w:pStyle w:val="OutlineNumbered3"/>
        <w:ind w:left="2160" w:hanging="1026"/>
      </w:pPr>
      <w:r w:rsidRPr="00C25520">
        <w:t>19.7.1.</w:t>
      </w:r>
      <w:r w:rsidRPr="00C25520">
        <w:tab/>
        <w:t>Recognising the purpose and object of the fund, the Commissioner must only reduce the minimum annual distribution rate if the Commissioner is satisfied that there are circumstances that warrant the Commissioner reducing the rate.</w:t>
      </w:r>
    </w:p>
    <w:p w14:paraId="35783B6E" w14:textId="77777777" w:rsidR="00914375" w:rsidRPr="00C25520" w:rsidRDefault="00914375" w:rsidP="00914375">
      <w:pPr>
        <w:pStyle w:val="OutlineNumbered3"/>
        <w:ind w:left="2160" w:hanging="1026"/>
      </w:pPr>
      <w:r w:rsidRPr="00C25520">
        <w:t>19.7.2.</w:t>
      </w:r>
      <w:r w:rsidRPr="00C25520">
        <w:tab/>
        <w:t>The Commissioner may reduce the minimum annual distribution rate at any time, including after the relevant financial year has finished.</w:t>
      </w:r>
    </w:p>
    <w:p w14:paraId="608CAAE0" w14:textId="0573890A" w:rsidR="00914375" w:rsidRPr="00C25520" w:rsidRDefault="00914375" w:rsidP="00914375">
      <w:pPr>
        <w:pStyle w:val="OutlineNumbered3"/>
        <w:ind w:left="2160" w:hanging="1026"/>
      </w:pPr>
      <w:r w:rsidRPr="00C25520">
        <w:t>19.7.3.</w:t>
      </w:r>
      <w:r w:rsidRPr="00C25520">
        <w:tab/>
        <w:t xml:space="preserve">In determining whether to reduce the rate and what the reduced rate should be, the Commissioner </w:t>
      </w:r>
      <w:r w:rsidR="00587436" w:rsidRPr="00C25520">
        <w:t>must</w:t>
      </w:r>
      <w:r w:rsidRPr="00C25520">
        <w:t xml:space="preserve"> have regard to:</w:t>
      </w:r>
    </w:p>
    <w:p w14:paraId="0F842AE5"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general market conditions in Australia; and</w:t>
      </w:r>
    </w:p>
    <w:p w14:paraId="5C6E4CA9"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past, current and expected levels of returns from the fund’s investments; and</w:t>
      </w:r>
    </w:p>
    <w:p w14:paraId="0E7FD573"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long-term impact on the assets of the fund from not reducing the rate for a *financial year; and</w:t>
      </w:r>
    </w:p>
    <w:p w14:paraId="592C5F63"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level of distributions made by the fund in previous financial years; and</w:t>
      </w:r>
    </w:p>
    <w:p w14:paraId="1654452A"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 xml:space="preserve">the investment strategy and distribution strategy of the fund; and </w:t>
      </w:r>
    </w:p>
    <w:p w14:paraId="39EE1AD3"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size of the fund; and</w:t>
      </w:r>
    </w:p>
    <w:p w14:paraId="7E87DDD3"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compliance history of the fund and the trustee; and</w:t>
      </w:r>
    </w:p>
    <w:p w14:paraId="3D55EB4D" w14:textId="77777777" w:rsidR="00914375" w:rsidRPr="00C25520" w:rsidRDefault="00914375" w:rsidP="00727F95">
      <w:pPr>
        <w:pStyle w:val="bulletlevel2"/>
        <w:keepNext w:val="0"/>
        <w:keepLines w:val="0"/>
        <w:numPr>
          <w:ilvl w:val="0"/>
          <w:numId w:val="2"/>
        </w:numPr>
        <w:tabs>
          <w:tab w:val="clear" w:pos="607"/>
          <w:tab w:val="num" w:pos="1440"/>
        </w:tabs>
        <w:ind w:left="2551" w:hanging="357"/>
      </w:pPr>
      <w:r w:rsidRPr="00C25520">
        <w:t>the fees and expenses of the fund; and</w:t>
      </w:r>
    </w:p>
    <w:p w14:paraId="2430C85C" w14:textId="77777777" w:rsidR="00914375" w:rsidRPr="00C25520" w:rsidRDefault="00914375" w:rsidP="00914375">
      <w:pPr>
        <w:pStyle w:val="bulletlevel2"/>
        <w:numPr>
          <w:ilvl w:val="0"/>
          <w:numId w:val="2"/>
        </w:numPr>
        <w:tabs>
          <w:tab w:val="clear" w:pos="607"/>
          <w:tab w:val="num" w:pos="1440"/>
        </w:tabs>
        <w:ind w:left="2552" w:hanging="360"/>
      </w:pPr>
      <w:r w:rsidRPr="00C25520">
        <w:lastRenderedPageBreak/>
        <w:t>the terms and other circumstances relating to any gift to the fund under a will; and</w:t>
      </w:r>
    </w:p>
    <w:p w14:paraId="7E832DA9" w14:textId="77777777" w:rsidR="00914375" w:rsidRPr="00C25520" w:rsidRDefault="00914375" w:rsidP="00914375">
      <w:pPr>
        <w:pStyle w:val="bulletlevel2"/>
        <w:numPr>
          <w:ilvl w:val="0"/>
          <w:numId w:val="2"/>
        </w:numPr>
        <w:tabs>
          <w:tab w:val="clear" w:pos="607"/>
          <w:tab w:val="num" w:pos="1440"/>
        </w:tabs>
        <w:ind w:left="2552" w:hanging="360"/>
      </w:pPr>
      <w:r w:rsidRPr="00C25520">
        <w:t>any other matter the Commissioner considers relevant.</w:t>
      </w:r>
    </w:p>
    <w:p w14:paraId="280348C8" w14:textId="0E526540" w:rsidR="0046171A" w:rsidRPr="00C25520" w:rsidRDefault="0046171A" w:rsidP="00727F95">
      <w:pPr>
        <w:pStyle w:val="Notelevel1"/>
        <w:ind w:left="607"/>
      </w:pPr>
      <w:r w:rsidRPr="00C25520">
        <w:t>Note</w:t>
      </w:r>
      <w:r w:rsidR="00914375" w:rsidRPr="00C25520">
        <w:t xml:space="preserve"> 1</w:t>
      </w:r>
      <w:r w:rsidRPr="00C25520">
        <w:t>:  Having regard to the general market conditions in Australia, could include reviewing the Reserve Bank of Australia’s target for the cash rate (which is the overnight money market interest rate), the *base interest rate, current returns of other ancillary funds, and the performance of *approved stock exchanges.</w:t>
      </w:r>
      <w:r w:rsidR="00914375" w:rsidRPr="00C25520">
        <w:t xml:space="preserve">  It could also include examining changes in conditions over time.</w:t>
      </w:r>
    </w:p>
    <w:p w14:paraId="244B91C3" w14:textId="3EAEA2C5" w:rsidR="00A03015" w:rsidRPr="00C25520" w:rsidRDefault="00693B66" w:rsidP="00A03015">
      <w:pPr>
        <w:pStyle w:val="ActHead8"/>
        <w:rPr>
          <w:rFonts w:cs="Arial"/>
        </w:rPr>
      </w:pPr>
      <w:r w:rsidRPr="00C25520">
        <w:rPr>
          <w:rFonts w:cs="Arial"/>
        </w:rPr>
        <w:t>1</w:t>
      </w:r>
      <w:r w:rsidR="007B38D6" w:rsidRPr="00C25520">
        <w:rPr>
          <w:rFonts w:cs="Arial"/>
        </w:rPr>
        <w:t>3</w:t>
      </w:r>
      <w:r w:rsidR="00A03015" w:rsidRPr="00C25520">
        <w:rPr>
          <w:rFonts w:cs="Arial"/>
        </w:rPr>
        <w:t xml:space="preserve">  Guideline 20.1 (note 3)</w:t>
      </w:r>
      <w:bookmarkEnd w:id="23"/>
    </w:p>
    <w:p w14:paraId="0223A65B" w14:textId="77777777" w:rsidR="00A03015" w:rsidRPr="00C25520" w:rsidRDefault="00A03015" w:rsidP="00A03015">
      <w:pPr>
        <w:pStyle w:val="Blocks"/>
        <w:rPr>
          <w:rFonts w:ascii="Arial" w:hAnsi="Arial" w:cs="Arial"/>
        </w:rPr>
      </w:pPr>
      <w:r w:rsidRPr="00C25520">
        <w:rPr>
          <w:rFonts w:ascii="Arial" w:hAnsi="Arial" w:cs="Arial"/>
        </w:rPr>
        <w:tab/>
        <w:t>Omit “(through the Australian Valuation Office)”.</w:t>
      </w:r>
    </w:p>
    <w:p w14:paraId="2CB1B399" w14:textId="0A352AFF" w:rsidR="00A03015" w:rsidRPr="00F82257" w:rsidRDefault="00693B66" w:rsidP="00A03015">
      <w:pPr>
        <w:pStyle w:val="ActHead8"/>
        <w:rPr>
          <w:rFonts w:cs="Arial"/>
        </w:rPr>
      </w:pPr>
      <w:bookmarkStart w:id="24" w:name="_Toc392252367"/>
      <w:r w:rsidRPr="00C25520">
        <w:rPr>
          <w:rFonts w:cs="Arial"/>
        </w:rPr>
        <w:t>1</w:t>
      </w:r>
      <w:r w:rsidR="007B38D6" w:rsidRPr="00C25520">
        <w:rPr>
          <w:rFonts w:cs="Arial"/>
        </w:rPr>
        <w:t>4</w:t>
      </w:r>
      <w:r w:rsidR="00A03015" w:rsidRPr="00C25520">
        <w:rPr>
          <w:rFonts w:cs="Arial"/>
        </w:rPr>
        <w:t xml:space="preserve">  Guideline 21.1</w:t>
      </w:r>
      <w:bookmarkEnd w:id="24"/>
    </w:p>
    <w:p w14:paraId="3843B373" w14:textId="77777777" w:rsidR="00A03015" w:rsidRPr="00F82257" w:rsidRDefault="00A03015" w:rsidP="00A03015">
      <w:pPr>
        <w:pStyle w:val="Blocks"/>
        <w:rPr>
          <w:rFonts w:ascii="Arial" w:hAnsi="Arial" w:cs="Arial"/>
        </w:rPr>
      </w:pPr>
      <w:r w:rsidRPr="00F82257">
        <w:rPr>
          <w:rFonts w:ascii="Arial" w:hAnsi="Arial" w:cs="Arial"/>
        </w:rPr>
        <w:tab/>
        <w:t>Omit “(through the Australian Valuation Office)”.</w:t>
      </w:r>
    </w:p>
    <w:p w14:paraId="18481C78" w14:textId="0FA0AFF4" w:rsidR="00A03015" w:rsidRPr="00F82257" w:rsidRDefault="00693B66" w:rsidP="00A03015">
      <w:pPr>
        <w:pStyle w:val="ActHead8"/>
        <w:rPr>
          <w:rFonts w:cs="Arial"/>
        </w:rPr>
      </w:pPr>
      <w:bookmarkStart w:id="25" w:name="_Toc392252368"/>
      <w:r w:rsidRPr="00F82257">
        <w:rPr>
          <w:rFonts w:cs="Arial"/>
        </w:rPr>
        <w:t>1</w:t>
      </w:r>
      <w:r w:rsidR="007B38D6">
        <w:rPr>
          <w:rFonts w:cs="Arial"/>
        </w:rPr>
        <w:t>5</w:t>
      </w:r>
      <w:r w:rsidR="00A03015" w:rsidRPr="00F82257">
        <w:rPr>
          <w:rFonts w:cs="Arial"/>
        </w:rPr>
        <w:t xml:space="preserve">  Guideline 21.1.1 (note)</w:t>
      </w:r>
      <w:bookmarkEnd w:id="25"/>
    </w:p>
    <w:p w14:paraId="2178EB55" w14:textId="77777777" w:rsidR="00A03015" w:rsidRPr="00F82257" w:rsidRDefault="00A03015" w:rsidP="00A03015">
      <w:pPr>
        <w:pStyle w:val="Blocks"/>
        <w:rPr>
          <w:rFonts w:ascii="Arial" w:hAnsi="Arial" w:cs="Arial"/>
        </w:rPr>
      </w:pPr>
      <w:r w:rsidRPr="00F82257">
        <w:rPr>
          <w:rFonts w:ascii="Arial" w:hAnsi="Arial" w:cs="Arial"/>
        </w:rPr>
        <w:tab/>
        <w:t>Omit “(through the Australian Valuation Office)”.</w:t>
      </w:r>
    </w:p>
    <w:p w14:paraId="36E8D726" w14:textId="578680F3" w:rsidR="00A03015" w:rsidRPr="00F82257" w:rsidRDefault="00693B66" w:rsidP="00A03015">
      <w:pPr>
        <w:pStyle w:val="ActHead8"/>
        <w:rPr>
          <w:rFonts w:cs="Arial"/>
        </w:rPr>
      </w:pPr>
      <w:bookmarkStart w:id="26" w:name="_Toc392252369"/>
      <w:r w:rsidRPr="00F82257">
        <w:rPr>
          <w:rFonts w:cs="Arial"/>
        </w:rPr>
        <w:t>1</w:t>
      </w:r>
      <w:r w:rsidR="007B38D6">
        <w:rPr>
          <w:rFonts w:cs="Arial"/>
        </w:rPr>
        <w:t>6</w:t>
      </w:r>
      <w:r w:rsidR="00A03015" w:rsidRPr="00F82257">
        <w:rPr>
          <w:rFonts w:cs="Arial"/>
        </w:rPr>
        <w:t xml:space="preserve">  Guideline 22 (note)</w:t>
      </w:r>
      <w:bookmarkEnd w:id="26"/>
    </w:p>
    <w:p w14:paraId="1D929A48" w14:textId="77777777" w:rsidR="00A03015" w:rsidRPr="00F82257" w:rsidRDefault="00A03015" w:rsidP="00A03015">
      <w:pPr>
        <w:pStyle w:val="Blocks"/>
        <w:rPr>
          <w:rFonts w:ascii="Arial" w:hAnsi="Arial" w:cs="Arial"/>
        </w:rPr>
      </w:pPr>
      <w:r w:rsidRPr="00F82257">
        <w:rPr>
          <w:rFonts w:ascii="Arial" w:hAnsi="Arial" w:cs="Arial"/>
        </w:rPr>
        <w:tab/>
        <w:t>Omit “(through the Australian Valuation Office)” (wherever occurring).</w:t>
      </w:r>
    </w:p>
    <w:p w14:paraId="1C358EF4" w14:textId="6DC54EF7" w:rsidR="00A03015" w:rsidRPr="00F82257" w:rsidRDefault="00693B66" w:rsidP="00A03015">
      <w:pPr>
        <w:pStyle w:val="ActHead8"/>
        <w:rPr>
          <w:rFonts w:cs="Arial"/>
        </w:rPr>
      </w:pPr>
      <w:r w:rsidRPr="00F82257">
        <w:rPr>
          <w:rFonts w:cs="Arial"/>
        </w:rPr>
        <w:t>1</w:t>
      </w:r>
      <w:r w:rsidR="007B38D6">
        <w:rPr>
          <w:rFonts w:cs="Arial"/>
        </w:rPr>
        <w:t>7</w:t>
      </w:r>
      <w:r w:rsidR="00A03015" w:rsidRPr="00F82257">
        <w:rPr>
          <w:rFonts w:cs="Arial"/>
        </w:rPr>
        <w:t xml:space="preserve">  Guideline 26.1 (at the end of the Guideline)</w:t>
      </w:r>
    </w:p>
    <w:p w14:paraId="4DB9F577" w14:textId="77777777" w:rsidR="00A03015" w:rsidRPr="00C25520" w:rsidRDefault="00A03015" w:rsidP="00A03015">
      <w:pPr>
        <w:pStyle w:val="Blocks"/>
        <w:rPr>
          <w:rFonts w:ascii="Arial" w:hAnsi="Arial" w:cs="Arial"/>
        </w:rPr>
      </w:pPr>
      <w:r w:rsidRPr="00F82257">
        <w:rPr>
          <w:rFonts w:ascii="Arial" w:hAnsi="Arial" w:cs="Arial"/>
        </w:rPr>
        <w:tab/>
      </w:r>
      <w:r w:rsidRPr="00C25520">
        <w:rPr>
          <w:rFonts w:ascii="Arial" w:hAnsi="Arial" w:cs="Arial"/>
        </w:rPr>
        <w:t>Add:</w:t>
      </w:r>
    </w:p>
    <w:p w14:paraId="7DE4B521" w14:textId="44AFF51E" w:rsidR="00E602E4" w:rsidRPr="00C25520" w:rsidRDefault="00E602E4" w:rsidP="00E602E4">
      <w:pPr>
        <w:pStyle w:val="Notelevel1"/>
        <w:keepNext/>
        <w:keepLines/>
      </w:pPr>
      <w:r w:rsidRPr="00C25520">
        <w:t>Note:  If a fund is required to prepare, and does prepare, a financial report in accordance with Subdivision 60-C of the Australian Charities and Not-for-profits Commission Act 2012, it will meet this requirement.</w:t>
      </w:r>
    </w:p>
    <w:p w14:paraId="1F8FEE86" w14:textId="4D9F1220" w:rsidR="00A03015" w:rsidRPr="00C25520" w:rsidRDefault="00E602E4" w:rsidP="00E602E4">
      <w:pPr>
        <w:pStyle w:val="ActHead8"/>
        <w:rPr>
          <w:rFonts w:cs="Arial"/>
        </w:rPr>
      </w:pPr>
      <w:r w:rsidRPr="00C25520">
        <w:rPr>
          <w:rFonts w:cs="Arial"/>
        </w:rPr>
        <w:t xml:space="preserve"> </w:t>
      </w:r>
      <w:r w:rsidR="00693B66" w:rsidRPr="00C25520">
        <w:rPr>
          <w:rFonts w:cs="Arial"/>
        </w:rPr>
        <w:t>1</w:t>
      </w:r>
      <w:r w:rsidR="007B38D6" w:rsidRPr="00C25520">
        <w:rPr>
          <w:rFonts w:cs="Arial"/>
        </w:rPr>
        <w:t>8</w:t>
      </w:r>
      <w:r w:rsidR="00A03015" w:rsidRPr="00C25520">
        <w:rPr>
          <w:rFonts w:cs="Arial"/>
        </w:rPr>
        <w:t xml:space="preserve">  Guideline 27</w:t>
      </w:r>
    </w:p>
    <w:p w14:paraId="6FBE4831" w14:textId="77777777" w:rsidR="00A03015" w:rsidRPr="00F82257" w:rsidRDefault="00A03015" w:rsidP="00A03015">
      <w:pPr>
        <w:pStyle w:val="Blocks"/>
        <w:ind w:firstLine="0"/>
        <w:rPr>
          <w:rFonts w:ascii="Arial" w:hAnsi="Arial" w:cs="Arial"/>
        </w:rPr>
      </w:pPr>
      <w:r w:rsidRPr="00C25520">
        <w:rPr>
          <w:rFonts w:ascii="Arial" w:hAnsi="Arial" w:cs="Arial"/>
        </w:rPr>
        <w:t>Omit “request</w:t>
      </w:r>
      <w:r w:rsidRPr="00F82257">
        <w:rPr>
          <w:rFonts w:ascii="Arial" w:hAnsi="Arial" w:cs="Arial"/>
        </w:rPr>
        <w:t>.”, substitute “request, unless the financial statements have already been given to the Commissioner of the Australian Charities and Not</w:t>
      </w:r>
      <w:r w:rsidRPr="00F82257">
        <w:rPr>
          <w:rFonts w:ascii="Arial" w:hAnsi="Arial" w:cs="Arial"/>
        </w:rPr>
        <w:noBreakHyphen/>
        <w:t>for-profits Commission.”</w:t>
      </w:r>
    </w:p>
    <w:p w14:paraId="71E484DF" w14:textId="7332334D" w:rsidR="00A03015" w:rsidRPr="00F82257" w:rsidRDefault="00693B66" w:rsidP="00A03015">
      <w:pPr>
        <w:pStyle w:val="ActHead8"/>
        <w:rPr>
          <w:rFonts w:cs="Arial"/>
        </w:rPr>
      </w:pPr>
      <w:r w:rsidRPr="00F82257">
        <w:rPr>
          <w:rFonts w:cs="Arial"/>
        </w:rPr>
        <w:t>1</w:t>
      </w:r>
      <w:r w:rsidR="007B38D6">
        <w:rPr>
          <w:rFonts w:cs="Arial"/>
        </w:rPr>
        <w:t>9</w:t>
      </w:r>
      <w:r w:rsidR="00A03015" w:rsidRPr="00F82257">
        <w:rPr>
          <w:rFonts w:cs="Arial"/>
        </w:rPr>
        <w:t xml:space="preserve">  Guideline 29</w:t>
      </w:r>
    </w:p>
    <w:p w14:paraId="66CA4FA0" w14:textId="4A37AB90" w:rsidR="00A03015" w:rsidRPr="00F82257" w:rsidRDefault="00A03015" w:rsidP="00A03015">
      <w:pPr>
        <w:pStyle w:val="Blocks"/>
        <w:ind w:firstLine="0"/>
        <w:rPr>
          <w:rFonts w:ascii="Arial" w:hAnsi="Arial" w:cs="Arial"/>
        </w:rPr>
      </w:pPr>
      <w:r w:rsidRPr="00F82257">
        <w:rPr>
          <w:rFonts w:ascii="Arial" w:hAnsi="Arial" w:cs="Arial"/>
        </w:rPr>
        <w:t>Omit “request.”, substitute “request, unless the report has already been given to the Commissioner of the Australian Charities and Not</w:t>
      </w:r>
      <w:r w:rsidR="00D92429" w:rsidRPr="00F82257">
        <w:rPr>
          <w:rFonts w:ascii="Arial" w:hAnsi="Arial" w:cs="Arial"/>
        </w:rPr>
        <w:noBreakHyphen/>
      </w:r>
      <w:r w:rsidRPr="00F82257">
        <w:rPr>
          <w:rFonts w:ascii="Arial" w:hAnsi="Arial" w:cs="Arial"/>
        </w:rPr>
        <w:t>for</w:t>
      </w:r>
      <w:r w:rsidR="00D92429" w:rsidRPr="00F82257">
        <w:rPr>
          <w:rFonts w:ascii="Arial" w:hAnsi="Arial" w:cs="Arial"/>
        </w:rPr>
        <w:noBreakHyphen/>
      </w:r>
      <w:r w:rsidRPr="00F82257">
        <w:rPr>
          <w:rFonts w:ascii="Arial" w:hAnsi="Arial" w:cs="Arial"/>
        </w:rPr>
        <w:t>profits Commission.”</w:t>
      </w:r>
    </w:p>
    <w:p w14:paraId="7A5DADA0" w14:textId="23AF902A" w:rsidR="00A03015" w:rsidRPr="00F82257" w:rsidRDefault="007B38D6" w:rsidP="00A03015">
      <w:pPr>
        <w:pStyle w:val="ActHead8"/>
        <w:rPr>
          <w:rFonts w:cs="Arial"/>
        </w:rPr>
      </w:pPr>
      <w:r>
        <w:rPr>
          <w:rFonts w:cs="Arial"/>
        </w:rPr>
        <w:lastRenderedPageBreak/>
        <w:t>20</w:t>
      </w:r>
      <w:r w:rsidR="00A03015" w:rsidRPr="00F82257">
        <w:rPr>
          <w:rFonts w:cs="Arial"/>
        </w:rPr>
        <w:t xml:space="preserve">  Guideline 30.2</w:t>
      </w:r>
    </w:p>
    <w:p w14:paraId="76DAC0AB" w14:textId="77777777" w:rsidR="00A03015" w:rsidRPr="00F82257" w:rsidRDefault="00A03015" w:rsidP="00A03015">
      <w:pPr>
        <w:pStyle w:val="Blocks"/>
        <w:ind w:firstLine="0"/>
        <w:rPr>
          <w:rFonts w:ascii="Arial" w:hAnsi="Arial" w:cs="Arial"/>
        </w:rPr>
      </w:pPr>
      <w:r w:rsidRPr="00F82257">
        <w:rPr>
          <w:rFonts w:ascii="Arial" w:hAnsi="Arial" w:cs="Arial"/>
        </w:rPr>
        <w:t>At the end of the guideline, add:</w:t>
      </w:r>
    </w:p>
    <w:p w14:paraId="411E4F64" w14:textId="77777777" w:rsidR="00A03015" w:rsidRPr="00F82257" w:rsidRDefault="00A03015" w:rsidP="0075371B">
      <w:pPr>
        <w:pStyle w:val="bulletlevel2"/>
        <w:numPr>
          <w:ilvl w:val="0"/>
          <w:numId w:val="2"/>
        </w:numPr>
        <w:tabs>
          <w:tab w:val="clear" w:pos="607"/>
          <w:tab w:val="num" w:pos="1440"/>
        </w:tabs>
        <w:ind w:left="1980" w:hanging="360"/>
      </w:pPr>
      <w:r w:rsidRPr="00F82257">
        <w:t>status of the fund as a *registered charity (where applicable); and</w:t>
      </w:r>
    </w:p>
    <w:p w14:paraId="42D87F20" w14:textId="6045DD9F" w:rsidR="00A03015" w:rsidRPr="00C25520" w:rsidRDefault="00ED6EE2" w:rsidP="0075371B">
      <w:pPr>
        <w:pStyle w:val="bulletlevel2"/>
        <w:numPr>
          <w:ilvl w:val="0"/>
          <w:numId w:val="2"/>
        </w:numPr>
        <w:tabs>
          <w:tab w:val="clear" w:pos="607"/>
          <w:tab w:val="num" w:pos="1440"/>
        </w:tabs>
        <w:ind w:left="1980" w:hanging="360"/>
      </w:pPr>
      <w:r w:rsidRPr="00F82257">
        <w:t>real or perceived</w:t>
      </w:r>
      <w:r w:rsidR="00A03015" w:rsidRPr="00F82257">
        <w:t xml:space="preserve"> material conflicts of interest in holding particular investments</w:t>
      </w:r>
      <w:r w:rsidR="00EF02DD" w:rsidRPr="00F82257">
        <w:t xml:space="preserve"> (including those relating to </w:t>
      </w:r>
      <w:r w:rsidR="00EF02DD" w:rsidRPr="00C25520">
        <w:t>individuals involved in the decision-making of the fund)</w:t>
      </w:r>
      <w:r w:rsidR="00CA08A7" w:rsidRPr="00C25520">
        <w:t>; and</w:t>
      </w:r>
    </w:p>
    <w:p w14:paraId="10E8C987" w14:textId="77777777" w:rsidR="005E1367" w:rsidRPr="00C25520" w:rsidRDefault="005E1367" w:rsidP="005E1367">
      <w:pPr>
        <w:pStyle w:val="bulletlevel2"/>
        <w:numPr>
          <w:ilvl w:val="0"/>
          <w:numId w:val="2"/>
        </w:numPr>
        <w:tabs>
          <w:tab w:val="clear" w:pos="607"/>
          <w:tab w:val="num" w:pos="1440"/>
        </w:tabs>
        <w:ind w:left="1980" w:hanging="360"/>
      </w:pPr>
      <w:r w:rsidRPr="00C25520">
        <w:t>the terms and other circumstances relating to any gift to the fund under a will.</w:t>
      </w:r>
    </w:p>
    <w:p w14:paraId="0691D9A0" w14:textId="4F419334" w:rsidR="00A03015" w:rsidRPr="00C25520" w:rsidRDefault="005E1367" w:rsidP="005E1367">
      <w:pPr>
        <w:pStyle w:val="ActHead8"/>
        <w:rPr>
          <w:rFonts w:cs="Arial"/>
        </w:rPr>
      </w:pPr>
      <w:r w:rsidRPr="00C25520">
        <w:rPr>
          <w:rFonts w:cs="Arial"/>
        </w:rPr>
        <w:t xml:space="preserve"> </w:t>
      </w:r>
      <w:r w:rsidR="007B38D6" w:rsidRPr="00C25520">
        <w:rPr>
          <w:rFonts w:cs="Arial"/>
        </w:rPr>
        <w:t>21</w:t>
      </w:r>
      <w:r w:rsidR="00A03015" w:rsidRPr="00C25520">
        <w:rPr>
          <w:rFonts w:cs="Arial"/>
        </w:rPr>
        <w:t xml:space="preserve">  Guideline 31 (the penalty amount)</w:t>
      </w:r>
    </w:p>
    <w:p w14:paraId="2456914A" w14:textId="77777777" w:rsidR="00A03015" w:rsidRPr="00C25520" w:rsidRDefault="00A03015" w:rsidP="00A03015">
      <w:pPr>
        <w:pStyle w:val="Blocks"/>
        <w:ind w:firstLine="0"/>
        <w:rPr>
          <w:rFonts w:ascii="Arial" w:hAnsi="Arial" w:cs="Arial"/>
        </w:rPr>
      </w:pPr>
      <w:r w:rsidRPr="00C25520">
        <w:rPr>
          <w:rFonts w:ascii="Arial" w:hAnsi="Arial" w:cs="Arial"/>
        </w:rPr>
        <w:t>Omit “10”, substitute “15”.</w:t>
      </w:r>
    </w:p>
    <w:p w14:paraId="28108645" w14:textId="2DECC03F" w:rsidR="00A03015" w:rsidRPr="00C25520" w:rsidRDefault="007B38D6" w:rsidP="00A03015">
      <w:pPr>
        <w:pStyle w:val="ActHead8"/>
        <w:rPr>
          <w:rFonts w:cs="Arial"/>
        </w:rPr>
      </w:pPr>
      <w:r w:rsidRPr="00C25520">
        <w:rPr>
          <w:rFonts w:cs="Arial"/>
        </w:rPr>
        <w:t>22</w:t>
      </w:r>
      <w:r w:rsidR="00A03015" w:rsidRPr="00C25520">
        <w:rPr>
          <w:rFonts w:cs="Arial"/>
        </w:rPr>
        <w:t xml:space="preserve">  Guideline 32</w:t>
      </w:r>
    </w:p>
    <w:p w14:paraId="1CFBDC5C" w14:textId="77777777" w:rsidR="00A03015" w:rsidRPr="00C25520" w:rsidRDefault="00A03015" w:rsidP="00A03015">
      <w:pPr>
        <w:pStyle w:val="Blocks"/>
        <w:ind w:firstLine="0"/>
        <w:rPr>
          <w:rFonts w:ascii="Arial" w:hAnsi="Arial" w:cs="Arial"/>
        </w:rPr>
      </w:pPr>
      <w:r w:rsidRPr="00C25520">
        <w:rPr>
          <w:rFonts w:ascii="Arial" w:hAnsi="Arial" w:cs="Arial"/>
        </w:rPr>
        <w:t>Omit “an auditor”, substitute “an auditor, a reviewer,”.</w:t>
      </w:r>
    </w:p>
    <w:p w14:paraId="74149DAB" w14:textId="0463D699" w:rsidR="00A26E90" w:rsidRPr="00C25520" w:rsidRDefault="007B38D6" w:rsidP="00A26E90">
      <w:pPr>
        <w:pStyle w:val="ActHead8"/>
        <w:keepNext w:val="0"/>
        <w:keepLines w:val="0"/>
        <w:rPr>
          <w:rFonts w:cs="Arial"/>
        </w:rPr>
      </w:pPr>
      <w:r w:rsidRPr="00C25520">
        <w:rPr>
          <w:rFonts w:cs="Arial"/>
        </w:rPr>
        <w:t>23</w:t>
      </w:r>
      <w:r w:rsidR="00A26E90" w:rsidRPr="00C25520">
        <w:rPr>
          <w:rFonts w:cs="Arial"/>
        </w:rPr>
        <w:t xml:space="preserve">  Guideline 34</w:t>
      </w:r>
    </w:p>
    <w:p w14:paraId="55F1AF9E" w14:textId="77777777" w:rsidR="00A26E90" w:rsidRPr="00C25520" w:rsidRDefault="00A26E90" w:rsidP="00A26E90">
      <w:pPr>
        <w:pStyle w:val="Blocks"/>
        <w:ind w:firstLine="0"/>
        <w:rPr>
          <w:rFonts w:ascii="Arial" w:hAnsi="Arial" w:cs="Arial"/>
        </w:rPr>
      </w:pPr>
      <w:r w:rsidRPr="00C25520">
        <w:rPr>
          <w:rFonts w:ascii="Arial" w:hAnsi="Arial" w:cs="Arial"/>
        </w:rPr>
        <w:t>Omit “basis.”, substitute “unless another guideline allows otherwise.”</w:t>
      </w:r>
    </w:p>
    <w:p w14:paraId="0541805B" w14:textId="0483700B" w:rsidR="00A03015" w:rsidRPr="00F82257" w:rsidRDefault="006A61F0" w:rsidP="00A03015">
      <w:pPr>
        <w:pStyle w:val="ActHead8"/>
        <w:rPr>
          <w:rFonts w:cs="Arial"/>
        </w:rPr>
      </w:pPr>
      <w:r w:rsidRPr="00C25520">
        <w:rPr>
          <w:rFonts w:cs="Arial"/>
        </w:rPr>
        <w:t>24</w:t>
      </w:r>
      <w:r w:rsidR="00A03015" w:rsidRPr="00C25520">
        <w:rPr>
          <w:rFonts w:cs="Arial"/>
        </w:rPr>
        <w:t xml:space="preserve">  Guideline 35.1</w:t>
      </w:r>
    </w:p>
    <w:p w14:paraId="3CE5C8BF" w14:textId="77777777" w:rsidR="00A03015" w:rsidRPr="000D4C49" w:rsidRDefault="00A03015" w:rsidP="00A03015">
      <w:pPr>
        <w:pStyle w:val="Blocks"/>
        <w:rPr>
          <w:rFonts w:ascii="Arial" w:hAnsi="Arial" w:cs="Arial"/>
        </w:rPr>
      </w:pPr>
      <w:r w:rsidRPr="00F82257">
        <w:rPr>
          <w:rFonts w:ascii="Arial" w:hAnsi="Arial" w:cs="Arial"/>
        </w:rPr>
        <w:tab/>
        <w:t>Repeal the Gu</w:t>
      </w:r>
      <w:r w:rsidRPr="000D4C49">
        <w:rPr>
          <w:rFonts w:ascii="Arial" w:hAnsi="Arial" w:cs="Arial"/>
        </w:rPr>
        <w:t>ideline, substitute:</w:t>
      </w:r>
    </w:p>
    <w:p w14:paraId="56532F3C" w14:textId="77777777" w:rsidR="00A03015" w:rsidRPr="000D4C49" w:rsidRDefault="00A03015" w:rsidP="00F12C33">
      <w:pPr>
        <w:pStyle w:val="OutlineNumbered2"/>
        <w:ind w:left="1418" w:hanging="851"/>
      </w:pPr>
      <w:r w:rsidRPr="000D4C49">
        <w:t>35.1</w:t>
      </w:r>
      <w:r w:rsidRPr="000D4C49">
        <w:tab/>
        <w:t>However, this guideline does not apply to:</w:t>
      </w:r>
    </w:p>
    <w:p w14:paraId="5048078F" w14:textId="77777777" w:rsidR="00A03015" w:rsidRPr="00C25520" w:rsidRDefault="00A03015" w:rsidP="00F12C33">
      <w:pPr>
        <w:pStyle w:val="bulletlevel2"/>
        <w:keepNext w:val="0"/>
        <w:keepLines w:val="0"/>
        <w:numPr>
          <w:ilvl w:val="0"/>
          <w:numId w:val="2"/>
        </w:numPr>
        <w:tabs>
          <w:tab w:val="clear" w:pos="607"/>
          <w:tab w:val="num" w:pos="1440"/>
        </w:tabs>
        <w:ind w:left="1980" w:hanging="360"/>
      </w:pPr>
      <w:r w:rsidRPr="000D4C49">
        <w:t xml:space="preserve">the acquisition of a financial instrument excluded by the </w:t>
      </w:r>
      <w:r w:rsidRPr="00C25520">
        <w:t>Commissioner from that guideline; or</w:t>
      </w:r>
    </w:p>
    <w:p w14:paraId="7656CEF7" w14:textId="2E7B7789" w:rsidR="00A03015" w:rsidRPr="00C25520" w:rsidRDefault="00EF12E7" w:rsidP="00F12C33">
      <w:pPr>
        <w:pStyle w:val="bulletlevel2"/>
        <w:keepNext w:val="0"/>
        <w:keepLines w:val="0"/>
        <w:numPr>
          <w:ilvl w:val="0"/>
          <w:numId w:val="2"/>
        </w:numPr>
        <w:tabs>
          <w:tab w:val="clear" w:pos="607"/>
          <w:tab w:val="num" w:pos="1440"/>
        </w:tabs>
        <w:ind w:left="1980" w:hanging="360"/>
      </w:pPr>
      <w:r w:rsidRPr="00C25520">
        <w:t xml:space="preserve">an agreement to </w:t>
      </w:r>
      <w:r w:rsidR="00A03015" w:rsidRPr="00C25520">
        <w:t xml:space="preserve">guarantee </w:t>
      </w:r>
      <w:r w:rsidRPr="00C25520">
        <w:t xml:space="preserve">the repayment of any money lent </w:t>
      </w:r>
      <w:r w:rsidR="00F456E0" w:rsidRPr="00C25520">
        <w:t xml:space="preserve">by a creditor </w:t>
      </w:r>
      <w:r w:rsidR="00A03015" w:rsidRPr="00C25520">
        <w:t>for the sole benefit of one or more *deductible gift recipients.</w:t>
      </w:r>
    </w:p>
    <w:p w14:paraId="7B4EC7A6" w14:textId="640EDFCA" w:rsidR="00A03015" w:rsidRPr="00C25520" w:rsidRDefault="006A61F0" w:rsidP="00F12C33">
      <w:pPr>
        <w:pStyle w:val="ActHead8"/>
        <w:keepLines w:val="0"/>
        <w:rPr>
          <w:rFonts w:cs="Arial"/>
        </w:rPr>
      </w:pPr>
      <w:r w:rsidRPr="00C25520">
        <w:rPr>
          <w:rFonts w:cs="Arial"/>
        </w:rPr>
        <w:t>25</w:t>
      </w:r>
      <w:r w:rsidR="00A03015" w:rsidRPr="00C25520">
        <w:rPr>
          <w:rFonts w:cs="Arial"/>
        </w:rPr>
        <w:t xml:space="preserve">  Guideline 44 (note)</w:t>
      </w:r>
    </w:p>
    <w:p w14:paraId="184E1721" w14:textId="77777777" w:rsidR="00A03015" w:rsidRPr="00C25520" w:rsidRDefault="00A03015" w:rsidP="00F12C33">
      <w:pPr>
        <w:pStyle w:val="Blocks"/>
        <w:keepNext/>
        <w:rPr>
          <w:rFonts w:ascii="Arial" w:hAnsi="Arial" w:cs="Arial"/>
        </w:rPr>
      </w:pPr>
      <w:r w:rsidRPr="00C25520">
        <w:rPr>
          <w:rFonts w:ascii="Arial" w:hAnsi="Arial" w:cs="Arial"/>
        </w:rPr>
        <w:tab/>
        <w:t>Omit “Note”, substitute “Note 1”.</w:t>
      </w:r>
    </w:p>
    <w:p w14:paraId="06DA0F27" w14:textId="091E6121" w:rsidR="00A03015" w:rsidRPr="00C25520" w:rsidRDefault="00693B66" w:rsidP="00A03015">
      <w:pPr>
        <w:pStyle w:val="ItemHead"/>
        <w:rPr>
          <w:rFonts w:cs="Arial"/>
        </w:rPr>
      </w:pPr>
      <w:r w:rsidRPr="00C25520">
        <w:rPr>
          <w:rFonts w:cs="Arial"/>
        </w:rPr>
        <w:t>2</w:t>
      </w:r>
      <w:r w:rsidR="006A61F0" w:rsidRPr="00C25520">
        <w:rPr>
          <w:rFonts w:cs="Arial"/>
        </w:rPr>
        <w:t>6</w:t>
      </w:r>
      <w:r w:rsidR="00A03015" w:rsidRPr="00C25520">
        <w:rPr>
          <w:rFonts w:cs="Arial"/>
        </w:rPr>
        <w:t xml:space="preserve">  Guideline 44 (at the end of the Guideline)</w:t>
      </w:r>
    </w:p>
    <w:p w14:paraId="76840D8D" w14:textId="77777777" w:rsidR="00A03015" w:rsidRPr="00C25520" w:rsidRDefault="00A03015" w:rsidP="00A03015">
      <w:pPr>
        <w:pStyle w:val="Blocks"/>
        <w:rPr>
          <w:rFonts w:ascii="Arial" w:hAnsi="Arial" w:cs="Arial"/>
        </w:rPr>
      </w:pPr>
      <w:r w:rsidRPr="00C25520">
        <w:rPr>
          <w:rFonts w:ascii="Arial" w:hAnsi="Arial" w:cs="Arial"/>
        </w:rPr>
        <w:tab/>
        <w:t>Insert:</w:t>
      </w:r>
    </w:p>
    <w:p w14:paraId="4308D7E1" w14:textId="45381512" w:rsidR="00A03015" w:rsidRPr="00C25520" w:rsidRDefault="00A03015" w:rsidP="00A03015">
      <w:pPr>
        <w:pStyle w:val="Notelevel1"/>
      </w:pPr>
      <w:r w:rsidRPr="00C25520">
        <w:lastRenderedPageBreak/>
        <w:t xml:space="preserve">Note 2:  Due to the public nature of the fund, it </w:t>
      </w:r>
      <w:r w:rsidR="000B2143" w:rsidRPr="00C25520">
        <w:t>will generally be</w:t>
      </w:r>
      <w:r w:rsidRPr="00C25520">
        <w:t xml:space="preserve"> good practice for a trustee to review, amongst other things, the purpose(s) of the fund and any non-binding preferences indicated by donors, before making distributions</w:t>
      </w:r>
      <w:r w:rsidR="000B2143" w:rsidRPr="00C25520">
        <w:t>, unless the governing rules of the fund provide otherwise</w:t>
      </w:r>
      <w:r w:rsidRPr="00C25520">
        <w:t>.</w:t>
      </w:r>
    </w:p>
    <w:p w14:paraId="11602FFA" w14:textId="179B24B0" w:rsidR="00611E1D" w:rsidRPr="00C25520" w:rsidRDefault="00693B66" w:rsidP="00611E1D">
      <w:pPr>
        <w:pStyle w:val="ActHead8"/>
        <w:rPr>
          <w:rFonts w:cs="Arial"/>
        </w:rPr>
      </w:pPr>
      <w:r w:rsidRPr="00C25520">
        <w:rPr>
          <w:rFonts w:cs="Arial"/>
        </w:rPr>
        <w:t>2</w:t>
      </w:r>
      <w:r w:rsidR="006A61F0" w:rsidRPr="00C25520">
        <w:rPr>
          <w:rFonts w:cs="Arial"/>
        </w:rPr>
        <w:t>7</w:t>
      </w:r>
      <w:r w:rsidR="00611E1D" w:rsidRPr="00C25520">
        <w:rPr>
          <w:rFonts w:cs="Arial"/>
        </w:rPr>
        <w:t xml:space="preserve">  Guideline 50</w:t>
      </w:r>
    </w:p>
    <w:p w14:paraId="321D5054" w14:textId="398B7E1E" w:rsidR="00611E1D" w:rsidRPr="00C25520" w:rsidRDefault="00611E1D" w:rsidP="00611E1D">
      <w:pPr>
        <w:pStyle w:val="Blocks"/>
        <w:rPr>
          <w:rFonts w:ascii="Arial" w:hAnsi="Arial" w:cs="Arial"/>
        </w:rPr>
      </w:pPr>
      <w:r w:rsidRPr="00C25520">
        <w:rPr>
          <w:rFonts w:ascii="Arial" w:hAnsi="Arial" w:cs="Arial"/>
        </w:rPr>
        <w:tab/>
      </w:r>
      <w:r w:rsidR="00F95C75" w:rsidRPr="00C25520">
        <w:rPr>
          <w:rFonts w:ascii="Arial" w:hAnsi="Arial" w:cs="Arial"/>
        </w:rPr>
        <w:t>At the end of the guideline, add:</w:t>
      </w:r>
    </w:p>
    <w:p w14:paraId="49AA7ED0" w14:textId="7A9A53F5" w:rsidR="00F95C75" w:rsidRPr="00C25520" w:rsidRDefault="00F95C75" w:rsidP="00F95C75">
      <w:pPr>
        <w:pStyle w:val="OutlineNumbered2"/>
        <w:ind w:left="1418" w:hanging="851"/>
      </w:pPr>
      <w:r w:rsidRPr="00C25520">
        <w:t>50.1.</w:t>
      </w:r>
      <w:r w:rsidRPr="00C25520">
        <w:tab/>
        <w:t>The Commissioner must not agree to the transfer of assets between *ancillary funds if the transfer involves moving assets contributed, either directly or indirectly, by the general public from a public ancillary fund to a private ancillary fund.</w:t>
      </w:r>
    </w:p>
    <w:p w14:paraId="454E9DBE" w14:textId="517546ED" w:rsidR="00A03015" w:rsidRPr="00C25520" w:rsidRDefault="00693B66" w:rsidP="00A03015">
      <w:pPr>
        <w:pStyle w:val="ActHead8"/>
        <w:rPr>
          <w:rFonts w:cs="Arial"/>
        </w:rPr>
      </w:pPr>
      <w:r w:rsidRPr="00C25520">
        <w:rPr>
          <w:rFonts w:cs="Arial"/>
        </w:rPr>
        <w:t>2</w:t>
      </w:r>
      <w:r w:rsidR="006A61F0" w:rsidRPr="00C25520">
        <w:rPr>
          <w:rFonts w:cs="Arial"/>
        </w:rPr>
        <w:t>8</w:t>
      </w:r>
      <w:r w:rsidR="004E4902" w:rsidRPr="00C25520">
        <w:rPr>
          <w:rFonts w:cs="Arial"/>
        </w:rPr>
        <w:t xml:space="preserve">  </w:t>
      </w:r>
      <w:r w:rsidR="00A03015" w:rsidRPr="00C25520">
        <w:rPr>
          <w:rFonts w:cs="Arial"/>
        </w:rPr>
        <w:t>Guidelines 52 and 53</w:t>
      </w:r>
    </w:p>
    <w:p w14:paraId="7406550B" w14:textId="77777777" w:rsidR="00A03015" w:rsidRPr="00C25520" w:rsidRDefault="00A03015" w:rsidP="00A03015">
      <w:pPr>
        <w:pStyle w:val="Blocks"/>
        <w:rPr>
          <w:rFonts w:ascii="Arial" w:hAnsi="Arial" w:cs="Arial"/>
        </w:rPr>
      </w:pPr>
      <w:r w:rsidRPr="00C25520">
        <w:rPr>
          <w:rFonts w:ascii="Arial" w:hAnsi="Arial" w:cs="Arial"/>
        </w:rPr>
        <w:tab/>
        <w:t>Repeal the Guidelines (including the headings).</w:t>
      </w:r>
    </w:p>
    <w:p w14:paraId="31F96ABA" w14:textId="78422469" w:rsidR="00A03015" w:rsidRPr="00C25520" w:rsidRDefault="00693B66" w:rsidP="00D572BB">
      <w:pPr>
        <w:pStyle w:val="ItemHead"/>
        <w:spacing w:after="240"/>
        <w:rPr>
          <w:rFonts w:cs="Arial"/>
        </w:rPr>
      </w:pPr>
      <w:r w:rsidRPr="00C25520">
        <w:rPr>
          <w:rFonts w:cs="Arial"/>
        </w:rPr>
        <w:t>2</w:t>
      </w:r>
      <w:r w:rsidR="006A61F0" w:rsidRPr="00C25520">
        <w:rPr>
          <w:rFonts w:cs="Arial"/>
        </w:rPr>
        <w:t>9</w:t>
      </w:r>
      <w:r w:rsidR="004E4902" w:rsidRPr="00C25520">
        <w:rPr>
          <w:rFonts w:cs="Arial"/>
        </w:rPr>
        <w:t xml:space="preserve">  </w:t>
      </w:r>
      <w:r w:rsidR="00A03015" w:rsidRPr="00C25520">
        <w:rPr>
          <w:rFonts w:cs="Arial"/>
        </w:rPr>
        <w:t>Guidelines 54 and 55</w:t>
      </w:r>
    </w:p>
    <w:p w14:paraId="4880326B" w14:textId="77777777" w:rsidR="001D3FAD" w:rsidRPr="000D4C49" w:rsidRDefault="00A03015" w:rsidP="00D572BB">
      <w:pPr>
        <w:spacing w:after="240"/>
        <w:ind w:firstLine="709"/>
        <w:rPr>
          <w:rFonts w:ascii="Arial" w:hAnsi="Arial" w:cs="Arial"/>
          <w:sz w:val="24"/>
          <w:szCs w:val="24"/>
        </w:rPr>
      </w:pPr>
      <w:r w:rsidRPr="00C25520">
        <w:rPr>
          <w:rFonts w:ascii="Arial" w:hAnsi="Arial" w:cs="Arial"/>
          <w:sz w:val="24"/>
          <w:szCs w:val="24"/>
        </w:rPr>
        <w:t>Repeal the Guidelines (not including the headings).</w:t>
      </w:r>
    </w:p>
    <w:sectPr w:rsidR="001D3FAD" w:rsidRPr="000D4C49" w:rsidSect="00546553">
      <w:headerReference w:type="even" r:id="rId26"/>
      <w:headerReference w:type="default" r:id="rId27"/>
      <w:headerReference w:type="first" r:id="rId28"/>
      <w:pgSz w:w="11906" w:h="16838"/>
      <w:pgMar w:top="2381"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14881" w14:textId="77777777" w:rsidR="00A77239" w:rsidRDefault="00A77239" w:rsidP="00A03015">
      <w:pPr>
        <w:spacing w:line="240" w:lineRule="auto"/>
      </w:pPr>
      <w:r>
        <w:separator/>
      </w:r>
    </w:p>
  </w:endnote>
  <w:endnote w:type="continuationSeparator" w:id="0">
    <w:p w14:paraId="40E487A0" w14:textId="77777777" w:rsidR="00A77239" w:rsidRDefault="00A77239" w:rsidP="00A03015">
      <w:pPr>
        <w:spacing w:line="240" w:lineRule="auto"/>
      </w:pPr>
      <w:r>
        <w:continuationSeparator/>
      </w:r>
    </w:p>
  </w:endnote>
  <w:endnote w:type="continuationNotice" w:id="1">
    <w:p w14:paraId="50E113B7" w14:textId="77777777" w:rsidR="00A77239" w:rsidRDefault="00A772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77239" w:rsidRPr="00CA472C" w14:paraId="23AD4B5E" w14:textId="77777777" w:rsidTr="000E14B4">
      <w:tc>
        <w:tcPr>
          <w:tcW w:w="8472" w:type="dxa"/>
        </w:tcPr>
        <w:p w14:paraId="0E385F50" w14:textId="77777777" w:rsidR="00A77239" w:rsidRPr="00CA472C" w:rsidRDefault="00A77239" w:rsidP="000E14B4">
          <w:pPr>
            <w:jc w:val="right"/>
            <w:rPr>
              <w:rFonts w:cs="Times New Roman"/>
              <w:sz w:val="18"/>
            </w:rPr>
          </w:pPr>
        </w:p>
      </w:tc>
    </w:tr>
  </w:tbl>
  <w:p w14:paraId="4A311DAE" w14:textId="77777777" w:rsidR="00A77239" w:rsidRDefault="00A77239" w:rsidP="000E14B4">
    <w:pPr>
      <w:pStyle w:val="Footer"/>
      <w:rPr>
        <w:sz w:val="18"/>
      </w:rPr>
    </w:pPr>
    <w:r>
      <w:rPr>
        <w:sz w:val="18"/>
      </w:rPr>
      <w:t>OPC60122</w:t>
    </w:r>
    <w:r w:rsidRPr="00CA472C">
      <w:rPr>
        <w:sz w:val="18"/>
      </w:rPr>
      <w:t xml:space="preserve">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77239" w14:paraId="52836FB4" w14:textId="77777777" w:rsidTr="000E14B4">
      <w:tc>
        <w:tcPr>
          <w:tcW w:w="8472" w:type="dxa"/>
        </w:tcPr>
        <w:p w14:paraId="645CADC6" w14:textId="77777777" w:rsidR="00A77239" w:rsidRDefault="00A77239" w:rsidP="000E14B4">
          <w:pPr>
            <w:rPr>
              <w:sz w:val="18"/>
            </w:rPr>
          </w:pPr>
        </w:p>
      </w:tc>
    </w:tr>
  </w:tbl>
  <w:p w14:paraId="17612003" w14:textId="77777777" w:rsidR="00A77239" w:rsidRPr="007500C8" w:rsidRDefault="00A77239" w:rsidP="00A03015">
    <w:pPr>
      <w:pStyle w:val="SecurityClassification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81E86" w14:textId="77777777" w:rsidR="00A77239" w:rsidRPr="00CA472C" w:rsidRDefault="00A77239" w:rsidP="000E14B4">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A77239" w:rsidRPr="00CA472C" w14:paraId="232BEDED" w14:textId="77777777" w:rsidTr="000E14B4">
      <w:tc>
        <w:tcPr>
          <w:tcW w:w="709" w:type="dxa"/>
          <w:tcBorders>
            <w:top w:val="nil"/>
            <w:left w:val="nil"/>
            <w:bottom w:val="nil"/>
            <w:right w:val="nil"/>
          </w:tcBorders>
        </w:tcPr>
        <w:p w14:paraId="7F27ED8B" w14:textId="77777777" w:rsidR="00A77239" w:rsidRPr="00CA472C" w:rsidRDefault="00A77239" w:rsidP="000E14B4">
          <w:pPr>
            <w:spacing w:line="0" w:lineRule="atLeast"/>
            <w:rPr>
              <w:rFonts w:cs="Times New Roman"/>
              <w:sz w:val="18"/>
            </w:rPr>
          </w:pPr>
          <w:r w:rsidRPr="00CA472C">
            <w:rPr>
              <w:rFonts w:cs="Times New Roman"/>
              <w:i/>
              <w:sz w:val="18"/>
            </w:rPr>
            <w:fldChar w:fldCharType="begin"/>
          </w:r>
          <w:r w:rsidRPr="00CA472C">
            <w:rPr>
              <w:rFonts w:cs="Times New Roman"/>
              <w:i/>
              <w:sz w:val="18"/>
            </w:rPr>
            <w:instrText xml:space="preserve"> PAGE </w:instrText>
          </w:r>
          <w:r w:rsidRPr="00CA472C">
            <w:rPr>
              <w:rFonts w:cs="Times New Roman"/>
              <w:i/>
              <w:sz w:val="18"/>
            </w:rPr>
            <w:fldChar w:fldCharType="separate"/>
          </w:r>
          <w:r>
            <w:rPr>
              <w:rFonts w:cs="Times New Roman"/>
              <w:i/>
              <w:noProof/>
              <w:sz w:val="18"/>
            </w:rPr>
            <w:t>iv</w:t>
          </w:r>
          <w:r w:rsidRPr="00CA472C">
            <w:rPr>
              <w:rFonts w:cs="Times New Roman"/>
              <w:i/>
              <w:sz w:val="18"/>
            </w:rPr>
            <w:fldChar w:fldCharType="end"/>
          </w:r>
        </w:p>
      </w:tc>
      <w:tc>
        <w:tcPr>
          <w:tcW w:w="6379" w:type="dxa"/>
          <w:tcBorders>
            <w:top w:val="nil"/>
            <w:left w:val="nil"/>
            <w:bottom w:val="nil"/>
            <w:right w:val="nil"/>
          </w:tcBorders>
        </w:tcPr>
        <w:p w14:paraId="39D0D8CB" w14:textId="77777777" w:rsidR="00A77239" w:rsidRPr="00CA472C" w:rsidRDefault="00A77239" w:rsidP="000E14B4">
          <w:pPr>
            <w:spacing w:line="0" w:lineRule="atLeast"/>
            <w:jc w:val="center"/>
            <w:rPr>
              <w:rFonts w:cs="Times New Roman"/>
              <w:sz w:val="18"/>
            </w:rPr>
          </w:pPr>
          <w:r w:rsidRPr="00CA472C">
            <w:rPr>
              <w:rFonts w:cs="Times New Roman"/>
              <w:i/>
              <w:sz w:val="18"/>
            </w:rPr>
            <w:fldChar w:fldCharType="begin"/>
          </w:r>
          <w:r w:rsidRPr="00CA472C">
            <w:rPr>
              <w:rFonts w:cs="Times New Roman"/>
              <w:i/>
              <w:sz w:val="18"/>
            </w:rPr>
            <w:instrText xml:space="preserve"> DOCPROPERTY ShortT </w:instrText>
          </w:r>
          <w:r w:rsidRPr="00CA472C">
            <w:rPr>
              <w:rFonts w:cs="Times New Roman"/>
              <w:i/>
              <w:sz w:val="18"/>
            </w:rPr>
            <w:fldChar w:fldCharType="separate"/>
          </w:r>
          <w:r w:rsidR="00FC0A62">
            <w:rPr>
              <w:rFonts w:cs="Times New Roman"/>
              <w:b/>
              <w:bCs/>
              <w:i/>
              <w:sz w:val="18"/>
              <w:lang w:val="en-US"/>
            </w:rPr>
            <w:t>Error! Unknown document property name.</w:t>
          </w:r>
          <w:r w:rsidRPr="00CA472C">
            <w:rPr>
              <w:rFonts w:cs="Times New Roman"/>
              <w:i/>
              <w:sz w:val="18"/>
            </w:rPr>
            <w:fldChar w:fldCharType="end"/>
          </w:r>
        </w:p>
      </w:tc>
      <w:tc>
        <w:tcPr>
          <w:tcW w:w="1383" w:type="dxa"/>
          <w:tcBorders>
            <w:top w:val="nil"/>
            <w:left w:val="nil"/>
            <w:bottom w:val="nil"/>
            <w:right w:val="nil"/>
          </w:tcBorders>
        </w:tcPr>
        <w:p w14:paraId="1C19C1C9" w14:textId="77777777" w:rsidR="00A77239" w:rsidRPr="00CA472C" w:rsidRDefault="00A77239" w:rsidP="000E14B4">
          <w:pPr>
            <w:spacing w:line="0" w:lineRule="atLeast"/>
            <w:jc w:val="right"/>
            <w:rPr>
              <w:rFonts w:cs="Times New Roman"/>
              <w:sz w:val="18"/>
            </w:rPr>
          </w:pPr>
        </w:p>
      </w:tc>
    </w:tr>
    <w:tr w:rsidR="00A77239" w:rsidRPr="00CA472C" w14:paraId="021EAAE4" w14:textId="77777777" w:rsidTr="000E1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7534F86" w14:textId="77777777" w:rsidR="00A77239" w:rsidRPr="00CA472C" w:rsidRDefault="00A77239" w:rsidP="000E14B4">
          <w:pPr>
            <w:jc w:val="right"/>
            <w:rPr>
              <w:rFonts w:cs="Times New Roman"/>
              <w:sz w:val="18"/>
            </w:rPr>
          </w:pPr>
        </w:p>
      </w:tc>
    </w:tr>
  </w:tbl>
  <w:p w14:paraId="6D8E8CD2" w14:textId="77777777" w:rsidR="00A77239" w:rsidRDefault="00A77239" w:rsidP="000E14B4">
    <w:pPr>
      <w:rPr>
        <w:rFonts w:cs="Times New Roman"/>
        <w:i/>
        <w:sz w:val="18"/>
      </w:rPr>
    </w:pPr>
    <w:r>
      <w:rPr>
        <w:rFonts w:cs="Times New Roman"/>
        <w:i/>
        <w:sz w:val="18"/>
      </w:rPr>
      <w:t>OPC60122</w:t>
    </w:r>
    <w:r w:rsidRPr="00CA472C">
      <w:rPr>
        <w:rFonts w:cs="Times New Roman"/>
        <w:i/>
        <w:sz w:val="18"/>
      </w:rPr>
      <w:t xml:space="preserve">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8B79" w14:textId="77777777" w:rsidR="00A77239" w:rsidRPr="00E33C1C" w:rsidRDefault="00A77239" w:rsidP="000E14B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77239" w14:paraId="1CB4569E" w14:textId="77777777" w:rsidTr="000E14B4">
      <w:tc>
        <w:tcPr>
          <w:tcW w:w="1383" w:type="dxa"/>
          <w:tcBorders>
            <w:top w:val="nil"/>
            <w:left w:val="nil"/>
            <w:bottom w:val="nil"/>
            <w:right w:val="nil"/>
          </w:tcBorders>
        </w:tcPr>
        <w:p w14:paraId="596B70D4" w14:textId="77777777" w:rsidR="00A77239" w:rsidRDefault="00A77239" w:rsidP="000E14B4">
          <w:pPr>
            <w:spacing w:line="0" w:lineRule="atLeast"/>
            <w:rPr>
              <w:sz w:val="18"/>
            </w:rPr>
          </w:pPr>
        </w:p>
      </w:tc>
      <w:tc>
        <w:tcPr>
          <w:tcW w:w="6380" w:type="dxa"/>
          <w:tcBorders>
            <w:top w:val="nil"/>
            <w:left w:val="nil"/>
            <w:bottom w:val="nil"/>
            <w:right w:val="nil"/>
          </w:tcBorders>
        </w:tcPr>
        <w:p w14:paraId="09D466FC" w14:textId="2F10D7B1" w:rsidR="00A77239" w:rsidRDefault="00A77239" w:rsidP="00EE332B">
          <w:pPr>
            <w:spacing w:line="0" w:lineRule="atLeast"/>
            <w:jc w:val="center"/>
            <w:rPr>
              <w:sz w:val="18"/>
            </w:rPr>
          </w:pPr>
          <w:r w:rsidRPr="00B17754">
            <w:rPr>
              <w:i/>
              <w:sz w:val="18"/>
            </w:rPr>
            <w:t xml:space="preserve">Private Ancillary Fund and Public Ancillary Fund Amendment Guidelines </w:t>
          </w:r>
          <w:r>
            <w:rPr>
              <w:i/>
              <w:sz w:val="18"/>
            </w:rPr>
            <w:t>2016</w:t>
          </w:r>
        </w:p>
      </w:tc>
      <w:tc>
        <w:tcPr>
          <w:tcW w:w="709" w:type="dxa"/>
          <w:tcBorders>
            <w:top w:val="nil"/>
            <w:left w:val="nil"/>
            <w:bottom w:val="nil"/>
            <w:right w:val="nil"/>
          </w:tcBorders>
        </w:tcPr>
        <w:p w14:paraId="347F8F97" w14:textId="77777777" w:rsidR="00A77239" w:rsidRDefault="00A77239" w:rsidP="000E14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4033">
            <w:rPr>
              <w:i/>
              <w:noProof/>
              <w:sz w:val="18"/>
            </w:rPr>
            <w:t>i</w:t>
          </w:r>
          <w:r w:rsidRPr="00ED79B6">
            <w:rPr>
              <w:i/>
              <w:sz w:val="18"/>
            </w:rPr>
            <w:fldChar w:fldCharType="end"/>
          </w:r>
        </w:p>
      </w:tc>
    </w:tr>
    <w:tr w:rsidR="00A77239" w14:paraId="3991B14F" w14:textId="77777777" w:rsidTr="000E1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D6BBF2B" w14:textId="77777777" w:rsidR="00A77239" w:rsidRDefault="00A77239" w:rsidP="000E14B4">
          <w:pPr>
            <w:rPr>
              <w:sz w:val="18"/>
            </w:rPr>
          </w:pPr>
        </w:p>
      </w:tc>
    </w:tr>
  </w:tbl>
  <w:p w14:paraId="254BF1A0" w14:textId="77777777" w:rsidR="00A77239" w:rsidRPr="00ED79B6" w:rsidRDefault="00A77239" w:rsidP="00A03015">
    <w:pPr>
      <w:pStyle w:val="SecurityClassification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8A072" w14:textId="77777777" w:rsidR="00A77239" w:rsidRPr="00E33C1C" w:rsidRDefault="00A77239" w:rsidP="000E14B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77239" w14:paraId="0AB914CC" w14:textId="77777777" w:rsidTr="000E14B4">
      <w:tc>
        <w:tcPr>
          <w:tcW w:w="1384" w:type="dxa"/>
          <w:tcBorders>
            <w:top w:val="nil"/>
            <w:left w:val="nil"/>
            <w:bottom w:val="nil"/>
            <w:right w:val="nil"/>
          </w:tcBorders>
        </w:tcPr>
        <w:p w14:paraId="3C4022CF" w14:textId="77777777" w:rsidR="00A77239" w:rsidRDefault="00A77239" w:rsidP="000E14B4">
          <w:pPr>
            <w:spacing w:line="0" w:lineRule="atLeast"/>
            <w:rPr>
              <w:sz w:val="18"/>
            </w:rPr>
          </w:pPr>
        </w:p>
      </w:tc>
      <w:tc>
        <w:tcPr>
          <w:tcW w:w="6379" w:type="dxa"/>
          <w:tcBorders>
            <w:top w:val="nil"/>
            <w:left w:val="nil"/>
            <w:bottom w:val="nil"/>
            <w:right w:val="nil"/>
          </w:tcBorders>
        </w:tcPr>
        <w:p w14:paraId="03844089" w14:textId="2FF55D98" w:rsidR="00A77239" w:rsidRDefault="00A77239" w:rsidP="00EE332B">
          <w:pPr>
            <w:spacing w:line="0" w:lineRule="atLeast"/>
            <w:jc w:val="center"/>
            <w:rPr>
              <w:sz w:val="18"/>
            </w:rPr>
          </w:pPr>
          <w:r w:rsidRPr="00B17754">
            <w:rPr>
              <w:i/>
              <w:sz w:val="18"/>
            </w:rPr>
            <w:t xml:space="preserve">Private Ancillary Fund and Public Ancillary Fund Amendment Guidelines </w:t>
          </w:r>
          <w:r>
            <w:rPr>
              <w:i/>
              <w:sz w:val="18"/>
            </w:rPr>
            <w:t>2016</w:t>
          </w:r>
        </w:p>
      </w:tc>
      <w:tc>
        <w:tcPr>
          <w:tcW w:w="709" w:type="dxa"/>
          <w:tcBorders>
            <w:top w:val="nil"/>
            <w:left w:val="nil"/>
            <w:bottom w:val="nil"/>
            <w:right w:val="nil"/>
          </w:tcBorders>
        </w:tcPr>
        <w:p w14:paraId="03AC7960" w14:textId="546BF48B" w:rsidR="00A77239" w:rsidRDefault="004F4033" w:rsidP="000E14B4">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3</w:t>
          </w:r>
          <w:r>
            <w:rPr>
              <w:i/>
              <w:sz w:val="18"/>
            </w:rPr>
            <w:fldChar w:fldCharType="end"/>
          </w:r>
        </w:p>
      </w:tc>
    </w:tr>
    <w:tr w:rsidR="00A77239" w14:paraId="5F4E06C3" w14:textId="77777777" w:rsidTr="000E14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95F7D12" w14:textId="77777777" w:rsidR="00A77239" w:rsidRDefault="00A77239" w:rsidP="000E14B4">
          <w:pPr>
            <w:rPr>
              <w:sz w:val="18"/>
            </w:rPr>
          </w:pPr>
        </w:p>
      </w:tc>
    </w:tr>
  </w:tbl>
  <w:p w14:paraId="4F663DFB" w14:textId="77777777" w:rsidR="00A77239" w:rsidRPr="00ED79B6" w:rsidRDefault="00A77239" w:rsidP="00A03015">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4B0DE" w14:textId="77777777" w:rsidR="00A77239" w:rsidRDefault="00A77239" w:rsidP="00A03015">
      <w:pPr>
        <w:spacing w:line="240" w:lineRule="auto"/>
      </w:pPr>
      <w:r>
        <w:separator/>
      </w:r>
    </w:p>
  </w:footnote>
  <w:footnote w:type="continuationSeparator" w:id="0">
    <w:p w14:paraId="676A6B0B" w14:textId="77777777" w:rsidR="00A77239" w:rsidRDefault="00A77239" w:rsidP="00A03015">
      <w:pPr>
        <w:spacing w:line="240" w:lineRule="auto"/>
      </w:pPr>
      <w:r>
        <w:continuationSeparator/>
      </w:r>
    </w:p>
  </w:footnote>
  <w:footnote w:type="continuationNotice" w:id="1">
    <w:p w14:paraId="2FE35D63" w14:textId="77777777" w:rsidR="00A77239" w:rsidRDefault="00A7723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6E3E" w14:textId="39DDCA80" w:rsidR="00A77239" w:rsidRPr="00A03015" w:rsidRDefault="00A77239" w:rsidP="00A03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C6730" w14:textId="0CAE561D" w:rsidR="00A77239" w:rsidRPr="007A1328" w:rsidRDefault="00A77239" w:rsidP="000E14B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A1F74A0" w14:textId="77777777" w:rsidR="00A77239" w:rsidRPr="007A1328" w:rsidRDefault="00A77239" w:rsidP="000E14B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3CA1650" w14:textId="77777777" w:rsidR="00A77239" w:rsidRPr="00D43E73" w:rsidRDefault="00A77239" w:rsidP="000E14B4">
    <w:pPr>
      <w:pBdr>
        <w:bottom w:val="single" w:sz="6" w:space="1" w:color="auto"/>
      </w:pBdr>
      <w:jc w:val="right"/>
      <w:rPr>
        <w:sz w:val="20"/>
      </w:rPr>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BB9D" w14:textId="6CB6BF82" w:rsidR="00A77239" w:rsidRPr="00A03015" w:rsidRDefault="00A77239" w:rsidP="00A030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E340" w14:textId="3333BACF" w:rsidR="00A77239" w:rsidRDefault="00A77239" w:rsidP="000E14B4">
    <w:pPr>
      <w:jc w:val="right"/>
      <w:rPr>
        <w:b/>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C50BBCF" w14:textId="77777777" w:rsidR="00A77239" w:rsidRPr="007A1328" w:rsidRDefault="00A77239" w:rsidP="000E14B4">
    <w:pPr>
      <w:jc w:val="right"/>
      <w:rPr>
        <w:sz w:val="20"/>
      </w:rPr>
    </w:pPr>
  </w:p>
  <w:p w14:paraId="3041B876" w14:textId="77777777" w:rsidR="00A77239" w:rsidRPr="007A1328" w:rsidRDefault="00A77239" w:rsidP="000E14B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44E4C8C" w14:textId="77777777" w:rsidR="00A77239" w:rsidRPr="00D43E73" w:rsidRDefault="00A77239" w:rsidP="000E14B4">
    <w:pPr>
      <w:pBdr>
        <w:bottom w:val="single" w:sz="6" w:space="1" w:color="auto"/>
      </w:pBdr>
      <w:rPr>
        <w:sz w:val="20"/>
      </w:rPr>
    </w:pPr>
    <w:r w:rsidRPr="00D43E73">
      <w:rPr>
        <w:b/>
        <w:sz w:val="20"/>
      </w:rPr>
      <w:t>Schedule 1</w:t>
    </w:r>
    <w:r w:rsidRPr="00D43E73">
      <w:rPr>
        <w:sz w:val="20"/>
      </w:rPr>
      <w:tab/>
      <w:t xml:space="preserve">Amendments to the </w:t>
    </w:r>
    <w:r w:rsidRPr="002E5094">
      <w:rPr>
        <w:i/>
        <w:sz w:val="20"/>
      </w:rPr>
      <w:t>Private Ancillary Fund Guidelines 2009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1D766" w14:textId="62927109" w:rsidR="00A77239" w:rsidRPr="007A1328" w:rsidRDefault="00A77239" w:rsidP="000E14B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1414097" w14:textId="77777777" w:rsidR="00A77239" w:rsidRPr="00D43E73" w:rsidRDefault="00A77239" w:rsidP="000E14B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r w:rsidRPr="00D43E73">
      <w:rPr>
        <w:sz w:val="20"/>
      </w:rPr>
      <w:fldChar w:fldCharType="begin"/>
    </w:r>
    <w:r w:rsidRPr="00D43E73">
      <w:rPr>
        <w:sz w:val="20"/>
      </w:rPr>
      <w:instrText xml:space="preserve"> STYLEREF CharDivText </w:instrText>
    </w:r>
    <w:r w:rsidRPr="00D43E73">
      <w:rPr>
        <w:sz w:val="20"/>
      </w:rPr>
      <w:fldChar w:fldCharType="end"/>
    </w:r>
    <w:r w:rsidRPr="00D43E73">
      <w:rPr>
        <w:b/>
        <w:sz w:val="20"/>
      </w:rPr>
      <w:fldChar w:fldCharType="begin"/>
    </w:r>
    <w:r w:rsidRPr="00D43E73">
      <w:rPr>
        <w:b/>
        <w:sz w:val="20"/>
      </w:rPr>
      <w:instrText xml:space="preserve"> STYLEREF CharDivNo </w:instrText>
    </w:r>
    <w:r w:rsidRPr="00D43E73">
      <w:rPr>
        <w:b/>
        <w:sz w:val="20"/>
      </w:rPr>
      <w:fldChar w:fldCharType="end"/>
    </w:r>
  </w:p>
  <w:p w14:paraId="7F57C734" w14:textId="7AC662A3" w:rsidR="00A77239" w:rsidRPr="00D43E73" w:rsidRDefault="00A77239" w:rsidP="000E14B4">
    <w:pPr>
      <w:pBdr>
        <w:bottom w:val="single" w:sz="6" w:space="1" w:color="auto"/>
      </w:pBdr>
      <w:rPr>
        <w:sz w:val="20"/>
      </w:rPr>
    </w:pPr>
    <w:r w:rsidRPr="00D43E73">
      <w:rPr>
        <w:b/>
        <w:sz w:val="20"/>
      </w:rPr>
      <w:t xml:space="preserve">Schedule </w:t>
    </w:r>
    <w:r>
      <w:rPr>
        <w:b/>
        <w:sz w:val="20"/>
      </w:rPr>
      <w:t>1</w:t>
    </w:r>
    <w:r>
      <w:rPr>
        <w:sz w:val="20"/>
      </w:rPr>
      <w:tab/>
      <w:t xml:space="preserve">Amendments to the </w:t>
    </w:r>
    <w:r>
      <w:rPr>
        <w:i/>
        <w:sz w:val="20"/>
      </w:rPr>
      <w:t>Private</w:t>
    </w:r>
    <w:r w:rsidRPr="00A03015">
      <w:rPr>
        <w:i/>
        <w:sz w:val="20"/>
      </w:rPr>
      <w:t xml:space="preserve"> </w:t>
    </w:r>
    <w:r>
      <w:rPr>
        <w:i/>
        <w:sz w:val="20"/>
      </w:rPr>
      <w:t>Ancillary Fund Guidelines 2009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8E76D" w14:textId="483EFB19" w:rsidR="00A77239" w:rsidRDefault="00A7723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27526" w14:textId="60B9AFB9" w:rsidR="00A77239" w:rsidRDefault="00A7723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D577" w14:textId="4E9740CB" w:rsidR="00A77239" w:rsidRPr="007A1328" w:rsidRDefault="00A77239" w:rsidP="000E14B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C683575" w14:textId="77777777" w:rsidR="00A77239" w:rsidRPr="00D43E73" w:rsidRDefault="00A77239" w:rsidP="000E14B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r w:rsidRPr="00D43E73">
      <w:rPr>
        <w:sz w:val="20"/>
      </w:rPr>
      <w:fldChar w:fldCharType="begin"/>
    </w:r>
    <w:r w:rsidRPr="00D43E73">
      <w:rPr>
        <w:sz w:val="20"/>
      </w:rPr>
      <w:instrText xml:space="preserve"> STYLEREF CharDivText </w:instrText>
    </w:r>
    <w:r w:rsidRPr="00D43E73">
      <w:rPr>
        <w:sz w:val="20"/>
      </w:rPr>
      <w:fldChar w:fldCharType="end"/>
    </w:r>
    <w:r w:rsidRPr="00D43E73">
      <w:rPr>
        <w:b/>
        <w:sz w:val="20"/>
      </w:rPr>
      <w:fldChar w:fldCharType="begin"/>
    </w:r>
    <w:r w:rsidRPr="00D43E73">
      <w:rPr>
        <w:b/>
        <w:sz w:val="20"/>
      </w:rPr>
      <w:instrText xml:space="preserve"> STYLEREF CharDivNo </w:instrText>
    </w:r>
    <w:r w:rsidRPr="00D43E73">
      <w:rPr>
        <w:b/>
        <w:sz w:val="20"/>
      </w:rPr>
      <w:fldChar w:fldCharType="end"/>
    </w:r>
  </w:p>
  <w:p w14:paraId="74D7B3AD" w14:textId="77777777" w:rsidR="00A77239" w:rsidRPr="00D43E73" w:rsidRDefault="00A77239" w:rsidP="000E14B4">
    <w:pPr>
      <w:pBdr>
        <w:bottom w:val="single" w:sz="6" w:space="1" w:color="auto"/>
      </w:pBdr>
      <w:rPr>
        <w:sz w:val="20"/>
      </w:rPr>
    </w:pPr>
    <w:r w:rsidRPr="00D43E73">
      <w:rPr>
        <w:b/>
        <w:sz w:val="20"/>
      </w:rPr>
      <w:t xml:space="preserve">Schedule </w:t>
    </w:r>
    <w:r>
      <w:rPr>
        <w:b/>
        <w:sz w:val="20"/>
      </w:rPr>
      <w:t>2</w:t>
    </w:r>
    <w:r>
      <w:rPr>
        <w:sz w:val="20"/>
      </w:rPr>
      <w:tab/>
      <w:t xml:space="preserve">Amendments to the </w:t>
    </w:r>
    <w:r w:rsidRPr="00A03015">
      <w:rPr>
        <w:i/>
        <w:sz w:val="20"/>
      </w:rPr>
      <w:t xml:space="preserve">Public </w:t>
    </w:r>
    <w:r>
      <w:rPr>
        <w:i/>
        <w:sz w:val="20"/>
      </w:rPr>
      <w:t>Ancillary Fund Guidelines 2011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10BA" w14:textId="27075E4E" w:rsidR="00A77239" w:rsidRDefault="00A77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6C7C"/>
    <w:multiLevelType w:val="hybridMultilevel"/>
    <w:tmpl w:val="0A468F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D2B4F04"/>
    <w:multiLevelType w:val="multilevel"/>
    <w:tmpl w:val="42FAD012"/>
    <w:lvl w:ilvl="0">
      <w:start w:val="52"/>
      <w:numFmt w:val="decimal"/>
      <w:lvlText w:val="%1."/>
      <w:lvlJc w:val="left"/>
      <w:pPr>
        <w:tabs>
          <w:tab w:val="num" w:pos="709"/>
        </w:tabs>
        <w:ind w:left="709" w:hanging="567"/>
      </w:pPr>
      <w:rPr>
        <w:rFonts w:hint="default"/>
        <w:i w:val="0"/>
      </w:rPr>
    </w:lvl>
    <w:lvl w:ilvl="1">
      <w:start w:val="1"/>
      <w:numFmt w:val="decimal"/>
      <w:lvlText w:val="%1.%2."/>
      <w:lvlJc w:val="left"/>
      <w:pPr>
        <w:tabs>
          <w:tab w:val="num" w:pos="2727"/>
        </w:tabs>
        <w:ind w:left="2727"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1CD71F8E"/>
    <w:multiLevelType w:val="hybridMultilevel"/>
    <w:tmpl w:val="78AE45E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209247A2"/>
    <w:multiLevelType w:val="multilevel"/>
    <w:tmpl w:val="F9468ABE"/>
    <w:lvl w:ilvl="0">
      <w:start w:val="1"/>
      <w:numFmt w:val="bullet"/>
      <w:lvlText w:val="•"/>
      <w:lvlJc w:val="left"/>
      <w:pPr>
        <w:tabs>
          <w:tab w:val="num" w:pos="607"/>
        </w:tabs>
        <w:ind w:left="607" w:hanging="472"/>
      </w:pPr>
      <w:rPr>
        <w:rFonts w:ascii="Times New Roman" w:hAnsi="Times New Roman" w:cs="Times New Roman"/>
      </w:rPr>
    </w:lvl>
    <w:lvl w:ilvl="1">
      <w:start w:val="1"/>
      <w:numFmt w:val="bullet"/>
      <w:lvlText w:val="–"/>
      <w:lvlJc w:val="left"/>
      <w:pPr>
        <w:tabs>
          <w:tab w:val="num" w:pos="1079"/>
        </w:tabs>
        <w:ind w:left="1079" w:hanging="472"/>
      </w:pPr>
      <w:rPr>
        <w:rFonts w:ascii="Times New Roman" w:hAnsi="Times New Roman" w:cs="Times New Roman"/>
      </w:rPr>
    </w:lvl>
    <w:lvl w:ilvl="2">
      <w:start w:val="1"/>
      <w:numFmt w:val="bullet"/>
      <w:lvlText w:val=":"/>
      <w:lvlJc w:val="left"/>
      <w:pPr>
        <w:tabs>
          <w:tab w:val="num" w:pos="1551"/>
        </w:tabs>
        <w:ind w:left="1551" w:hanging="472"/>
      </w:pPr>
      <w:rPr>
        <w:rFonts w:ascii="Times New Roman" w:hAnsi="Times New Roman" w:cs="Times New Roman"/>
      </w:rPr>
    </w:lvl>
    <w:lvl w:ilvl="3">
      <w:start w:val="1"/>
      <w:numFmt w:val="decimal"/>
      <w:lvlText w:val="(%4)"/>
      <w:lvlJc w:val="left"/>
      <w:pPr>
        <w:tabs>
          <w:tab w:val="num" w:pos="1575"/>
        </w:tabs>
        <w:ind w:left="1575" w:hanging="360"/>
      </w:pPr>
    </w:lvl>
    <w:lvl w:ilvl="4">
      <w:start w:val="1"/>
      <w:numFmt w:val="lowerLetter"/>
      <w:lvlText w:val="(%5)"/>
      <w:lvlJc w:val="left"/>
      <w:pPr>
        <w:tabs>
          <w:tab w:val="num" w:pos="1935"/>
        </w:tabs>
        <w:ind w:left="1935" w:hanging="360"/>
      </w:pPr>
    </w:lvl>
    <w:lvl w:ilvl="5">
      <w:start w:val="1"/>
      <w:numFmt w:val="lowerRoman"/>
      <w:lvlText w:val="(%6)"/>
      <w:lvlJc w:val="left"/>
      <w:pPr>
        <w:tabs>
          <w:tab w:val="num" w:pos="2295"/>
        </w:tabs>
        <w:ind w:left="2295" w:hanging="360"/>
      </w:pPr>
    </w:lvl>
    <w:lvl w:ilvl="6">
      <w:start w:val="1"/>
      <w:numFmt w:val="decimal"/>
      <w:lvlText w:val="%7."/>
      <w:lvlJc w:val="left"/>
      <w:pPr>
        <w:tabs>
          <w:tab w:val="num" w:pos="2655"/>
        </w:tabs>
        <w:ind w:left="2655" w:hanging="360"/>
      </w:pPr>
    </w:lvl>
    <w:lvl w:ilvl="7">
      <w:start w:val="1"/>
      <w:numFmt w:val="lowerLetter"/>
      <w:lvlText w:val="%8."/>
      <w:lvlJc w:val="left"/>
      <w:pPr>
        <w:tabs>
          <w:tab w:val="num" w:pos="3015"/>
        </w:tabs>
        <w:ind w:left="3015" w:hanging="360"/>
      </w:pPr>
    </w:lvl>
    <w:lvl w:ilvl="8">
      <w:start w:val="1"/>
      <w:numFmt w:val="lowerRoman"/>
      <w:lvlText w:val="%9."/>
      <w:lvlJc w:val="left"/>
      <w:pPr>
        <w:tabs>
          <w:tab w:val="num" w:pos="3375"/>
        </w:tabs>
        <w:ind w:left="3375" w:hanging="360"/>
      </w:pPr>
    </w:lvl>
  </w:abstractNum>
  <w:num w:numId="1">
    <w:abstractNumId w:val="1"/>
  </w:num>
  <w:num w:numId="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A03015"/>
    <w:rsid w:val="000347B1"/>
    <w:rsid w:val="00055BBF"/>
    <w:rsid w:val="00065761"/>
    <w:rsid w:val="000726C2"/>
    <w:rsid w:val="00074145"/>
    <w:rsid w:val="00085F7C"/>
    <w:rsid w:val="000A551A"/>
    <w:rsid w:val="000B16EB"/>
    <w:rsid w:val="000B2143"/>
    <w:rsid w:val="000D4C49"/>
    <w:rsid w:val="000E117C"/>
    <w:rsid w:val="000E14B4"/>
    <w:rsid w:val="000F1D6F"/>
    <w:rsid w:val="000F4890"/>
    <w:rsid w:val="00106DFF"/>
    <w:rsid w:val="00146DEF"/>
    <w:rsid w:val="001A78D6"/>
    <w:rsid w:val="001B3C80"/>
    <w:rsid w:val="001B5769"/>
    <w:rsid w:val="001D3FAD"/>
    <w:rsid w:val="001E13AC"/>
    <w:rsid w:val="001E58CC"/>
    <w:rsid w:val="001E7DAE"/>
    <w:rsid w:val="002062BD"/>
    <w:rsid w:val="00225C22"/>
    <w:rsid w:val="00247586"/>
    <w:rsid w:val="002960E7"/>
    <w:rsid w:val="002B488F"/>
    <w:rsid w:val="002C2F68"/>
    <w:rsid w:val="002D04F0"/>
    <w:rsid w:val="002D1F3A"/>
    <w:rsid w:val="002D4814"/>
    <w:rsid w:val="002D6B43"/>
    <w:rsid w:val="002E1CF4"/>
    <w:rsid w:val="00315295"/>
    <w:rsid w:val="00326355"/>
    <w:rsid w:val="00326D16"/>
    <w:rsid w:val="0034015D"/>
    <w:rsid w:val="00393C43"/>
    <w:rsid w:val="00397AE3"/>
    <w:rsid w:val="003C0B9D"/>
    <w:rsid w:val="003F0A11"/>
    <w:rsid w:val="00406025"/>
    <w:rsid w:val="00423176"/>
    <w:rsid w:val="00425388"/>
    <w:rsid w:val="004579E4"/>
    <w:rsid w:val="00460446"/>
    <w:rsid w:val="0046171A"/>
    <w:rsid w:val="00461EF1"/>
    <w:rsid w:val="0047103C"/>
    <w:rsid w:val="00472320"/>
    <w:rsid w:val="004733E3"/>
    <w:rsid w:val="004951A1"/>
    <w:rsid w:val="004C2F0E"/>
    <w:rsid w:val="004C66F4"/>
    <w:rsid w:val="004E4902"/>
    <w:rsid w:val="004E5CFB"/>
    <w:rsid w:val="004F4033"/>
    <w:rsid w:val="004F4805"/>
    <w:rsid w:val="004F6049"/>
    <w:rsid w:val="00523A4F"/>
    <w:rsid w:val="00540B43"/>
    <w:rsid w:val="00546553"/>
    <w:rsid w:val="005539C9"/>
    <w:rsid w:val="0058228B"/>
    <w:rsid w:val="00587436"/>
    <w:rsid w:val="005B18FD"/>
    <w:rsid w:val="005E1367"/>
    <w:rsid w:val="00600C21"/>
    <w:rsid w:val="00611E1D"/>
    <w:rsid w:val="006156A6"/>
    <w:rsid w:val="00622B66"/>
    <w:rsid w:val="00622DF2"/>
    <w:rsid w:val="00625AB0"/>
    <w:rsid w:val="006321B5"/>
    <w:rsid w:val="006326B1"/>
    <w:rsid w:val="00653404"/>
    <w:rsid w:val="00657099"/>
    <w:rsid w:val="00683DE4"/>
    <w:rsid w:val="00686AE8"/>
    <w:rsid w:val="00693B66"/>
    <w:rsid w:val="006A61F0"/>
    <w:rsid w:val="006F5688"/>
    <w:rsid w:val="006F7818"/>
    <w:rsid w:val="00703408"/>
    <w:rsid w:val="00703694"/>
    <w:rsid w:val="0072455F"/>
    <w:rsid w:val="00724B9A"/>
    <w:rsid w:val="00727F95"/>
    <w:rsid w:val="00742800"/>
    <w:rsid w:val="0075371B"/>
    <w:rsid w:val="00764050"/>
    <w:rsid w:val="0077450B"/>
    <w:rsid w:val="007B38D6"/>
    <w:rsid w:val="007D1869"/>
    <w:rsid w:val="00811405"/>
    <w:rsid w:val="008146ED"/>
    <w:rsid w:val="0082519E"/>
    <w:rsid w:val="00827CDB"/>
    <w:rsid w:val="00834443"/>
    <w:rsid w:val="008539AB"/>
    <w:rsid w:val="008668FB"/>
    <w:rsid w:val="00887ABA"/>
    <w:rsid w:val="00891FE5"/>
    <w:rsid w:val="008A10CD"/>
    <w:rsid w:val="008A3822"/>
    <w:rsid w:val="008A7109"/>
    <w:rsid w:val="008C09F0"/>
    <w:rsid w:val="00914375"/>
    <w:rsid w:val="00915286"/>
    <w:rsid w:val="00924633"/>
    <w:rsid w:val="00944E89"/>
    <w:rsid w:val="00951649"/>
    <w:rsid w:val="00974CE2"/>
    <w:rsid w:val="00981DA4"/>
    <w:rsid w:val="00982653"/>
    <w:rsid w:val="00995C47"/>
    <w:rsid w:val="009D0864"/>
    <w:rsid w:val="009E291A"/>
    <w:rsid w:val="00A02278"/>
    <w:rsid w:val="00A03015"/>
    <w:rsid w:val="00A1629B"/>
    <w:rsid w:val="00A26E90"/>
    <w:rsid w:val="00A3795A"/>
    <w:rsid w:val="00A46966"/>
    <w:rsid w:val="00A51588"/>
    <w:rsid w:val="00A77239"/>
    <w:rsid w:val="00A8062D"/>
    <w:rsid w:val="00A827A6"/>
    <w:rsid w:val="00A97C68"/>
    <w:rsid w:val="00AC7F84"/>
    <w:rsid w:val="00AD39F5"/>
    <w:rsid w:val="00B074BC"/>
    <w:rsid w:val="00B210E3"/>
    <w:rsid w:val="00B26B6C"/>
    <w:rsid w:val="00B338B2"/>
    <w:rsid w:val="00B86B34"/>
    <w:rsid w:val="00B92F39"/>
    <w:rsid w:val="00BB2CA6"/>
    <w:rsid w:val="00BD3B7C"/>
    <w:rsid w:val="00BE5051"/>
    <w:rsid w:val="00BF3FE2"/>
    <w:rsid w:val="00C25520"/>
    <w:rsid w:val="00C41B06"/>
    <w:rsid w:val="00CA08A7"/>
    <w:rsid w:val="00CD0831"/>
    <w:rsid w:val="00CD7148"/>
    <w:rsid w:val="00CF2D9F"/>
    <w:rsid w:val="00D07DE5"/>
    <w:rsid w:val="00D14AFD"/>
    <w:rsid w:val="00D572BB"/>
    <w:rsid w:val="00D92429"/>
    <w:rsid w:val="00D96947"/>
    <w:rsid w:val="00DA279B"/>
    <w:rsid w:val="00DB543F"/>
    <w:rsid w:val="00DF167E"/>
    <w:rsid w:val="00E22CEA"/>
    <w:rsid w:val="00E47F50"/>
    <w:rsid w:val="00E51EF9"/>
    <w:rsid w:val="00E602E4"/>
    <w:rsid w:val="00EA4E78"/>
    <w:rsid w:val="00EC3B62"/>
    <w:rsid w:val="00ED2BFA"/>
    <w:rsid w:val="00ED6EE2"/>
    <w:rsid w:val="00ED7EDF"/>
    <w:rsid w:val="00EE332B"/>
    <w:rsid w:val="00EF02DD"/>
    <w:rsid w:val="00EF12E7"/>
    <w:rsid w:val="00F12C33"/>
    <w:rsid w:val="00F14635"/>
    <w:rsid w:val="00F32920"/>
    <w:rsid w:val="00F34115"/>
    <w:rsid w:val="00F44E23"/>
    <w:rsid w:val="00F456E0"/>
    <w:rsid w:val="00F46BA3"/>
    <w:rsid w:val="00F60C95"/>
    <w:rsid w:val="00F63498"/>
    <w:rsid w:val="00F67840"/>
    <w:rsid w:val="00F82257"/>
    <w:rsid w:val="00F95C75"/>
    <w:rsid w:val="00FA04EB"/>
    <w:rsid w:val="00FA4752"/>
    <w:rsid w:val="00FB399B"/>
    <w:rsid w:val="00FC0A62"/>
    <w:rsid w:val="00FD39C7"/>
    <w:rsid w:val="00FE1CE2"/>
    <w:rsid w:val="00FF1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E2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015"/>
    <w:pPr>
      <w:spacing w:after="0" w:line="260" w:lineRule="atLeast"/>
    </w:pPr>
    <w:rPr>
      <w:rFonts w:ascii="Times New Roman" w:hAnsi="Times New Roman"/>
      <w:szCs w:val="20"/>
    </w:rPr>
  </w:style>
  <w:style w:type="paragraph" w:styleId="Heading2">
    <w:name w:val="heading 2"/>
    <w:basedOn w:val="Normal"/>
    <w:next w:val="Normal"/>
    <w:link w:val="Heading2Char"/>
    <w:qFormat/>
    <w:rsid w:val="00A030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3015"/>
    <w:rPr>
      <w:rFonts w:ascii="Arial" w:hAnsi="Arial" w:cs="Arial"/>
      <w:b/>
      <w:bCs/>
      <w:i/>
      <w:iCs/>
      <w:sz w:val="28"/>
      <w:szCs w:val="28"/>
    </w:rPr>
  </w:style>
  <w:style w:type="paragraph" w:styleId="Footer">
    <w:name w:val="footer"/>
    <w:link w:val="FooterChar"/>
    <w:rsid w:val="00A0301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A03015"/>
    <w:rPr>
      <w:rFonts w:ascii="Times New Roman" w:eastAsia="Times New Roman" w:hAnsi="Times New Roman" w:cs="Times New Roman"/>
      <w:szCs w:val="24"/>
      <w:lang w:eastAsia="en-AU"/>
    </w:rPr>
  </w:style>
  <w:style w:type="paragraph" w:styleId="Header">
    <w:name w:val="header"/>
    <w:basedOn w:val="Normal"/>
    <w:link w:val="HeaderChar"/>
    <w:unhideWhenUsed/>
    <w:rsid w:val="00A03015"/>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A03015"/>
    <w:rPr>
      <w:rFonts w:ascii="Times New Roman" w:eastAsia="Times New Roman" w:hAnsi="Times New Roman" w:cs="Times New Roman"/>
      <w:sz w:val="16"/>
      <w:szCs w:val="20"/>
      <w:lang w:eastAsia="en-AU"/>
    </w:rPr>
  </w:style>
  <w:style w:type="table" w:styleId="TableGrid">
    <w:name w:val="Table Grid"/>
    <w:basedOn w:val="TableNormal"/>
    <w:uiPriority w:val="59"/>
    <w:rsid w:val="00A0301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No">
    <w:name w:val="CharChapNo"/>
    <w:basedOn w:val="DefaultParagraphFont"/>
    <w:qFormat/>
    <w:rsid w:val="00A03015"/>
  </w:style>
  <w:style w:type="character" w:customStyle="1" w:styleId="CharChapText">
    <w:name w:val="CharChapText"/>
    <w:basedOn w:val="DefaultParagraphFont"/>
    <w:qFormat/>
    <w:rsid w:val="00A03015"/>
  </w:style>
  <w:style w:type="character" w:customStyle="1" w:styleId="CharDivNo">
    <w:name w:val="CharDivNo"/>
    <w:basedOn w:val="DefaultParagraphFont"/>
    <w:qFormat/>
    <w:rsid w:val="00A03015"/>
  </w:style>
  <w:style w:type="character" w:customStyle="1" w:styleId="CharDivText">
    <w:name w:val="CharDivText"/>
    <w:basedOn w:val="DefaultParagraphFont"/>
    <w:qFormat/>
    <w:rsid w:val="00A03015"/>
  </w:style>
  <w:style w:type="character" w:customStyle="1" w:styleId="CharPartNo">
    <w:name w:val="CharPartNo"/>
    <w:basedOn w:val="DefaultParagraphFont"/>
    <w:qFormat/>
    <w:rsid w:val="00A03015"/>
  </w:style>
  <w:style w:type="character" w:customStyle="1" w:styleId="CharPartText">
    <w:name w:val="CharPartText"/>
    <w:basedOn w:val="DefaultParagraphFont"/>
    <w:qFormat/>
    <w:rsid w:val="00A03015"/>
  </w:style>
  <w:style w:type="character" w:customStyle="1" w:styleId="CharSectno">
    <w:name w:val="CharSectno"/>
    <w:basedOn w:val="DefaultParagraphFont"/>
    <w:qFormat/>
    <w:rsid w:val="00A03015"/>
  </w:style>
  <w:style w:type="paragraph" w:customStyle="1" w:styleId="ShortT">
    <w:name w:val="ShortT"/>
    <w:basedOn w:val="Normal"/>
    <w:next w:val="Normal"/>
    <w:qFormat/>
    <w:rsid w:val="00A03015"/>
    <w:pPr>
      <w:spacing w:line="240" w:lineRule="auto"/>
    </w:pPr>
    <w:rPr>
      <w:rFonts w:eastAsia="Times New Roman" w:cs="Times New Roman"/>
      <w:b/>
      <w:sz w:val="40"/>
      <w:lang w:eastAsia="en-AU"/>
    </w:rPr>
  </w:style>
  <w:style w:type="paragraph" w:styleId="TOC7">
    <w:name w:val="toc 7"/>
    <w:basedOn w:val="Normal"/>
    <w:next w:val="Normal"/>
    <w:uiPriority w:val="39"/>
    <w:unhideWhenUsed/>
    <w:rsid w:val="00A0301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0301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0301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7">
    <w:name w:val="ActHead 7"/>
    <w:aliases w:val="ap"/>
    <w:basedOn w:val="Normal"/>
    <w:next w:val="ItemHead"/>
    <w:qFormat/>
    <w:rsid w:val="00A03015"/>
    <w:pPr>
      <w:keepNext/>
      <w:keepLines/>
      <w:spacing w:before="280" w:line="240" w:lineRule="auto"/>
      <w:ind w:left="1134" w:hanging="1134"/>
      <w:outlineLvl w:val="6"/>
    </w:pPr>
    <w:rPr>
      <w:rFonts w:ascii="Arial" w:eastAsia="Times New Roman" w:hAnsi="Arial" w:cs="Times New Roman"/>
      <w:b/>
      <w:kern w:val="28"/>
      <w:sz w:val="28"/>
      <w:lang w:eastAsia="en-AU"/>
    </w:rPr>
  </w:style>
  <w:style w:type="paragraph" w:customStyle="1" w:styleId="ActHead8">
    <w:name w:val="ActHead 8"/>
    <w:aliases w:val="ad"/>
    <w:basedOn w:val="Normal"/>
    <w:next w:val="ItemHead"/>
    <w:qFormat/>
    <w:rsid w:val="00A03015"/>
    <w:pPr>
      <w:keepNext/>
      <w:keepLines/>
      <w:spacing w:before="240" w:line="240" w:lineRule="auto"/>
      <w:ind w:left="1134" w:hanging="1134"/>
      <w:outlineLvl w:val="7"/>
    </w:pPr>
    <w:rPr>
      <w:rFonts w:ascii="Arial" w:eastAsia="Times New Roman" w:hAnsi="Arial" w:cs="Times New Roman"/>
      <w:b/>
      <w:kern w:val="28"/>
      <w:sz w:val="26"/>
      <w:lang w:eastAsia="en-AU"/>
    </w:rPr>
  </w:style>
  <w:style w:type="paragraph" w:customStyle="1" w:styleId="ActHead9">
    <w:name w:val="ActHead 9"/>
    <w:aliases w:val="aat"/>
    <w:basedOn w:val="Normal"/>
    <w:next w:val="ItemHead"/>
    <w:qFormat/>
    <w:rsid w:val="00A03015"/>
    <w:pPr>
      <w:keepNext/>
      <w:keepLines/>
      <w:spacing w:before="280" w:line="240" w:lineRule="auto"/>
      <w:ind w:left="1134" w:hanging="1134"/>
      <w:outlineLvl w:val="8"/>
    </w:pPr>
    <w:rPr>
      <w:rFonts w:eastAsia="Times New Roman" w:cs="Times New Roman"/>
      <w:b/>
      <w:i/>
      <w:kern w:val="28"/>
      <w:sz w:val="28"/>
      <w:lang w:eastAsia="en-AU"/>
    </w:rPr>
  </w:style>
  <w:style w:type="paragraph" w:customStyle="1" w:styleId="Blocks">
    <w:name w:val="Blocks"/>
    <w:aliases w:val="bb"/>
    <w:basedOn w:val="Normal"/>
    <w:qFormat/>
    <w:rsid w:val="00A03015"/>
    <w:pPr>
      <w:spacing w:before="240" w:after="240" w:line="240" w:lineRule="auto"/>
      <w:ind w:left="709" w:hanging="709"/>
    </w:pPr>
    <w:rPr>
      <w:rFonts w:eastAsia="Times New Roman" w:cs="Times New Roman"/>
      <w:sz w:val="24"/>
      <w:lang w:eastAsia="en-AU"/>
    </w:rPr>
  </w:style>
  <w:style w:type="paragraph" w:customStyle="1" w:styleId="subsection">
    <w:name w:val="subsection"/>
    <w:aliases w:val="ss"/>
    <w:basedOn w:val="Normal"/>
    <w:rsid w:val="00A03015"/>
    <w:pPr>
      <w:tabs>
        <w:tab w:val="right" w:pos="1021"/>
      </w:tabs>
      <w:spacing w:before="180" w:line="240" w:lineRule="auto"/>
      <w:ind w:left="1134" w:hanging="1134"/>
    </w:pPr>
    <w:rPr>
      <w:rFonts w:eastAsia="Times New Roman" w:cs="Times New Roman"/>
      <w:lang w:eastAsia="en-AU"/>
    </w:rPr>
  </w:style>
  <w:style w:type="paragraph" w:customStyle="1" w:styleId="ItemHead">
    <w:name w:val="ItemHead"/>
    <w:aliases w:val="ih"/>
    <w:basedOn w:val="Normal"/>
    <w:next w:val="Normal"/>
    <w:rsid w:val="00A03015"/>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ignCoverPageEnd">
    <w:name w:val="SignCoverPageEnd"/>
    <w:basedOn w:val="Normal"/>
    <w:next w:val="Normal"/>
    <w:rsid w:val="00A03015"/>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A03015"/>
    <w:pPr>
      <w:pBdr>
        <w:top w:val="single" w:sz="4" w:space="1" w:color="auto"/>
      </w:pBdr>
      <w:spacing w:before="360"/>
      <w:ind w:right="397"/>
      <w:jc w:val="both"/>
    </w:pPr>
    <w:rPr>
      <w:rFonts w:eastAsia="Times New Roman" w:cs="Times New Roman"/>
      <w:lang w:eastAsia="en-AU"/>
    </w:rPr>
  </w:style>
  <w:style w:type="paragraph" w:customStyle="1" w:styleId="SecurityClassificationHeader">
    <w:name w:val="Security Classification Header"/>
    <w:link w:val="SecurityClassificationHeaderChar"/>
    <w:rsid w:val="00A03015"/>
    <w:pPr>
      <w:spacing w:before="240" w:after="60" w:line="240" w:lineRule="auto"/>
      <w:jc w:val="center"/>
    </w:pPr>
    <w:rPr>
      <w:rFonts w:ascii="Times New Roman" w:eastAsia="Times New Roman" w:hAnsi="Times New Roman"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A03015"/>
    <w:rPr>
      <w:rFonts w:ascii="Times New Roman" w:eastAsia="Times New Roman" w:hAnsi="Times New Roman" w:cs="Times New Roman"/>
      <w:b/>
      <w:caps/>
      <w:sz w:val="24"/>
      <w:szCs w:val="20"/>
      <w:lang w:eastAsia="en-AU"/>
    </w:rPr>
  </w:style>
  <w:style w:type="paragraph" w:customStyle="1" w:styleId="SecurityClassificationFooter">
    <w:name w:val="Security Classification Footer"/>
    <w:link w:val="SecurityClassificationFooterChar"/>
    <w:rsid w:val="00A03015"/>
    <w:pPr>
      <w:spacing w:before="60" w:after="240" w:line="240" w:lineRule="auto"/>
      <w:jc w:val="center"/>
    </w:pPr>
    <w:rPr>
      <w:rFonts w:ascii="Times New Roman" w:eastAsia="Times New Roman" w:hAnsi="Times New Roman"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A03015"/>
    <w:rPr>
      <w:rFonts w:ascii="Times New Roman" w:eastAsia="Times New Roman" w:hAnsi="Times New Roman" w:cs="Times New Roman"/>
      <w:b/>
      <w:caps/>
      <w:sz w:val="24"/>
      <w:szCs w:val="20"/>
      <w:lang w:eastAsia="en-AU"/>
    </w:rPr>
  </w:style>
  <w:style w:type="paragraph" w:customStyle="1" w:styleId="OutlineNumbered1">
    <w:name w:val="Outline Numbered 1"/>
    <w:basedOn w:val="Normal"/>
    <w:rsid w:val="00A03015"/>
    <w:pPr>
      <w:spacing w:after="240" w:line="260" w:lineRule="exact"/>
      <w:jc w:val="both"/>
    </w:pPr>
    <w:rPr>
      <w:rFonts w:ascii="Arial" w:eastAsia="Times New Roman" w:hAnsi="Arial" w:cs="Arial"/>
      <w:color w:val="000000"/>
      <w:sz w:val="24"/>
      <w:szCs w:val="24"/>
      <w:lang w:eastAsia="en-AU"/>
    </w:rPr>
  </w:style>
  <w:style w:type="paragraph" w:customStyle="1" w:styleId="OutlineNumbered2">
    <w:name w:val="Outline Numbered 2"/>
    <w:basedOn w:val="Normal"/>
    <w:rsid w:val="00A03015"/>
    <w:pPr>
      <w:spacing w:after="240" w:line="260" w:lineRule="exact"/>
      <w:jc w:val="both"/>
    </w:pPr>
    <w:rPr>
      <w:rFonts w:ascii="Arial" w:eastAsia="Times New Roman" w:hAnsi="Arial" w:cs="Arial"/>
      <w:color w:val="000000"/>
      <w:sz w:val="24"/>
      <w:szCs w:val="24"/>
      <w:lang w:eastAsia="en-AU"/>
    </w:rPr>
  </w:style>
  <w:style w:type="paragraph" w:customStyle="1" w:styleId="OutlineNumbered3">
    <w:name w:val="Outline Numbered 3"/>
    <w:basedOn w:val="Normal"/>
    <w:rsid w:val="00A03015"/>
    <w:pPr>
      <w:spacing w:after="240" w:line="260" w:lineRule="exact"/>
      <w:jc w:val="both"/>
    </w:pPr>
    <w:rPr>
      <w:rFonts w:ascii="Arial" w:eastAsia="Times New Roman" w:hAnsi="Arial" w:cs="Arial"/>
      <w:color w:val="000000"/>
      <w:sz w:val="24"/>
      <w:szCs w:val="24"/>
      <w:lang w:eastAsia="en-AU"/>
    </w:rPr>
  </w:style>
  <w:style w:type="paragraph" w:customStyle="1" w:styleId="Notelevel1">
    <w:name w:val="Note level 1"/>
    <w:basedOn w:val="OutlineNumbered2"/>
    <w:rsid w:val="00A03015"/>
    <w:pPr>
      <w:ind w:left="540"/>
    </w:pPr>
    <w:rPr>
      <w:i/>
      <w:sz w:val="18"/>
      <w:szCs w:val="18"/>
    </w:rPr>
  </w:style>
  <w:style w:type="paragraph" w:customStyle="1" w:styleId="Notelevel2">
    <w:name w:val="Note level 2"/>
    <w:basedOn w:val="Normal"/>
    <w:rsid w:val="00A03015"/>
    <w:pPr>
      <w:spacing w:after="320" w:line="240" w:lineRule="auto"/>
      <w:ind w:left="1260"/>
    </w:pPr>
    <w:rPr>
      <w:rFonts w:ascii="Arial" w:eastAsia="Times New Roman" w:hAnsi="Arial" w:cs="Arial"/>
      <w:i/>
      <w:sz w:val="18"/>
      <w:szCs w:val="18"/>
      <w:lang w:eastAsia="en-AU"/>
    </w:rPr>
  </w:style>
  <w:style w:type="paragraph" w:customStyle="1" w:styleId="bullet">
    <w:name w:val="bullet"/>
    <w:basedOn w:val="Normal"/>
    <w:rsid w:val="00A03015"/>
    <w:pPr>
      <w:spacing w:after="160" w:line="240" w:lineRule="auto"/>
    </w:pPr>
    <w:rPr>
      <w:rFonts w:ascii="Arial" w:eastAsia="Times New Roman" w:hAnsi="Arial" w:cs="Arial"/>
      <w:sz w:val="24"/>
      <w:lang w:eastAsia="en-AU"/>
    </w:rPr>
  </w:style>
  <w:style w:type="paragraph" w:customStyle="1" w:styleId="dash">
    <w:name w:val="dash"/>
    <w:basedOn w:val="Normal"/>
    <w:rsid w:val="00A03015"/>
    <w:pPr>
      <w:spacing w:line="240" w:lineRule="auto"/>
    </w:pPr>
    <w:rPr>
      <w:rFonts w:ascii="Arial" w:eastAsia="Times New Roman" w:hAnsi="Arial" w:cs="Arial"/>
      <w:color w:val="000080"/>
      <w:sz w:val="20"/>
      <w:lang w:eastAsia="en-AU"/>
    </w:rPr>
  </w:style>
  <w:style w:type="paragraph" w:styleId="BalloonText">
    <w:name w:val="Balloon Text"/>
    <w:basedOn w:val="Normal"/>
    <w:link w:val="BalloonTextChar"/>
    <w:uiPriority w:val="99"/>
    <w:semiHidden/>
    <w:unhideWhenUsed/>
    <w:rsid w:val="00A030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15"/>
    <w:rPr>
      <w:rFonts w:ascii="Tahoma" w:hAnsi="Tahoma" w:cs="Tahoma"/>
      <w:sz w:val="16"/>
      <w:szCs w:val="16"/>
    </w:rPr>
  </w:style>
  <w:style w:type="character" w:styleId="CommentReference">
    <w:name w:val="annotation reference"/>
    <w:basedOn w:val="DefaultParagraphFont"/>
    <w:uiPriority w:val="99"/>
    <w:semiHidden/>
    <w:unhideWhenUsed/>
    <w:rsid w:val="00326D16"/>
    <w:rPr>
      <w:sz w:val="16"/>
      <w:szCs w:val="16"/>
    </w:rPr>
  </w:style>
  <w:style w:type="paragraph" w:styleId="CommentText">
    <w:name w:val="annotation text"/>
    <w:basedOn w:val="Normal"/>
    <w:link w:val="CommentTextChar"/>
    <w:uiPriority w:val="99"/>
    <w:semiHidden/>
    <w:unhideWhenUsed/>
    <w:rsid w:val="00326D16"/>
    <w:pPr>
      <w:spacing w:line="240" w:lineRule="auto"/>
    </w:pPr>
    <w:rPr>
      <w:sz w:val="20"/>
    </w:rPr>
  </w:style>
  <w:style w:type="character" w:customStyle="1" w:styleId="CommentTextChar">
    <w:name w:val="Comment Text Char"/>
    <w:basedOn w:val="DefaultParagraphFont"/>
    <w:link w:val="CommentText"/>
    <w:uiPriority w:val="99"/>
    <w:semiHidden/>
    <w:rsid w:val="00326D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6D16"/>
    <w:rPr>
      <w:b/>
      <w:bCs/>
    </w:rPr>
  </w:style>
  <w:style w:type="character" w:customStyle="1" w:styleId="CommentSubjectChar">
    <w:name w:val="Comment Subject Char"/>
    <w:basedOn w:val="CommentTextChar"/>
    <w:link w:val="CommentSubject"/>
    <w:uiPriority w:val="99"/>
    <w:semiHidden/>
    <w:rsid w:val="00326D16"/>
    <w:rPr>
      <w:rFonts w:ascii="Times New Roman" w:hAnsi="Times New Roman"/>
      <w:b/>
      <w:bCs/>
      <w:sz w:val="20"/>
      <w:szCs w:val="20"/>
    </w:rPr>
  </w:style>
  <w:style w:type="paragraph" w:styleId="Revision">
    <w:name w:val="Revision"/>
    <w:hidden/>
    <w:uiPriority w:val="99"/>
    <w:semiHidden/>
    <w:rsid w:val="00326D16"/>
    <w:pPr>
      <w:spacing w:after="0" w:line="240" w:lineRule="auto"/>
    </w:pPr>
    <w:rPr>
      <w:rFonts w:ascii="Times New Roman" w:hAnsi="Times New Roman"/>
      <w:szCs w:val="20"/>
    </w:rPr>
  </w:style>
  <w:style w:type="paragraph" w:styleId="ListParagraph">
    <w:name w:val="List Paragraph"/>
    <w:basedOn w:val="Normal"/>
    <w:uiPriority w:val="34"/>
    <w:qFormat/>
    <w:rsid w:val="001E7DAE"/>
    <w:pPr>
      <w:spacing w:line="240" w:lineRule="auto"/>
      <w:ind w:left="720"/>
    </w:pPr>
    <w:rPr>
      <w:rFonts w:ascii="Calibri" w:hAnsi="Calibri" w:cs="Times New Roman"/>
      <w:szCs w:val="22"/>
    </w:rPr>
  </w:style>
  <w:style w:type="character" w:styleId="Hyperlink">
    <w:name w:val="Hyperlink"/>
    <w:basedOn w:val="DefaultParagraphFont"/>
    <w:uiPriority w:val="99"/>
    <w:unhideWhenUsed/>
    <w:rsid w:val="000E117C"/>
    <w:rPr>
      <w:color w:val="0000FF" w:themeColor="hyperlink"/>
      <w:u w:val="single"/>
    </w:rPr>
  </w:style>
  <w:style w:type="paragraph" w:customStyle="1" w:styleId="bulletlevel2">
    <w:name w:val="bullet level 2"/>
    <w:basedOn w:val="bullet"/>
    <w:rsid w:val="00B26B6C"/>
    <w:pPr>
      <w:keepNext/>
      <w:keepLines/>
    </w:pPr>
    <w:rPr>
      <w:szCs w:val="24"/>
    </w:rPr>
  </w:style>
  <w:style w:type="paragraph" w:styleId="TOC2">
    <w:name w:val="toc 2"/>
    <w:basedOn w:val="Normal"/>
    <w:next w:val="Normal"/>
    <w:autoRedefine/>
    <w:uiPriority w:val="39"/>
    <w:unhideWhenUsed/>
    <w:rsid w:val="00F82257"/>
    <w:pPr>
      <w:spacing w:after="100"/>
      <w:ind w:left="220"/>
    </w:pPr>
  </w:style>
  <w:style w:type="paragraph" w:styleId="FootnoteText">
    <w:name w:val="footnote text"/>
    <w:basedOn w:val="Normal"/>
    <w:link w:val="FootnoteTextChar"/>
    <w:uiPriority w:val="99"/>
    <w:semiHidden/>
    <w:unhideWhenUsed/>
    <w:rsid w:val="004F4033"/>
    <w:pPr>
      <w:spacing w:line="240" w:lineRule="auto"/>
    </w:pPr>
    <w:rPr>
      <w:sz w:val="20"/>
    </w:rPr>
  </w:style>
  <w:style w:type="character" w:customStyle="1" w:styleId="FootnoteTextChar">
    <w:name w:val="Footnote Text Char"/>
    <w:basedOn w:val="DefaultParagraphFont"/>
    <w:link w:val="FootnoteText"/>
    <w:uiPriority w:val="99"/>
    <w:semiHidden/>
    <w:rsid w:val="004F4033"/>
    <w:rPr>
      <w:rFonts w:ascii="Times New Roman" w:hAnsi="Times New Roman"/>
      <w:sz w:val="20"/>
      <w:szCs w:val="20"/>
    </w:rPr>
  </w:style>
  <w:style w:type="character" w:styleId="FootnoteReference">
    <w:name w:val="footnote reference"/>
    <w:basedOn w:val="DefaultParagraphFont"/>
    <w:uiPriority w:val="99"/>
    <w:semiHidden/>
    <w:unhideWhenUsed/>
    <w:rsid w:val="004F40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3015"/>
    <w:pPr>
      <w:spacing w:after="0" w:line="260" w:lineRule="atLeast"/>
    </w:pPr>
    <w:rPr>
      <w:rFonts w:ascii="Times New Roman" w:hAnsi="Times New Roman"/>
      <w:szCs w:val="20"/>
    </w:rPr>
  </w:style>
  <w:style w:type="paragraph" w:styleId="Heading2">
    <w:name w:val="heading 2"/>
    <w:basedOn w:val="Normal"/>
    <w:next w:val="Normal"/>
    <w:link w:val="Heading2Char"/>
    <w:qFormat/>
    <w:rsid w:val="00A030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3015"/>
    <w:rPr>
      <w:rFonts w:ascii="Arial" w:hAnsi="Arial" w:cs="Arial"/>
      <w:b/>
      <w:bCs/>
      <w:i/>
      <w:iCs/>
      <w:sz w:val="28"/>
      <w:szCs w:val="28"/>
    </w:rPr>
  </w:style>
  <w:style w:type="paragraph" w:styleId="Footer">
    <w:name w:val="footer"/>
    <w:link w:val="FooterChar"/>
    <w:rsid w:val="00A0301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A03015"/>
    <w:rPr>
      <w:rFonts w:ascii="Times New Roman" w:eastAsia="Times New Roman" w:hAnsi="Times New Roman" w:cs="Times New Roman"/>
      <w:szCs w:val="24"/>
      <w:lang w:eastAsia="en-AU"/>
    </w:rPr>
  </w:style>
  <w:style w:type="paragraph" w:styleId="Header">
    <w:name w:val="header"/>
    <w:basedOn w:val="Normal"/>
    <w:link w:val="HeaderChar"/>
    <w:unhideWhenUsed/>
    <w:rsid w:val="00A03015"/>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A03015"/>
    <w:rPr>
      <w:rFonts w:ascii="Times New Roman" w:eastAsia="Times New Roman" w:hAnsi="Times New Roman" w:cs="Times New Roman"/>
      <w:sz w:val="16"/>
      <w:szCs w:val="20"/>
      <w:lang w:eastAsia="en-AU"/>
    </w:rPr>
  </w:style>
  <w:style w:type="table" w:styleId="TableGrid">
    <w:name w:val="Table Grid"/>
    <w:basedOn w:val="TableNormal"/>
    <w:uiPriority w:val="59"/>
    <w:rsid w:val="00A0301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No">
    <w:name w:val="CharChapNo"/>
    <w:basedOn w:val="DefaultParagraphFont"/>
    <w:qFormat/>
    <w:rsid w:val="00A03015"/>
  </w:style>
  <w:style w:type="character" w:customStyle="1" w:styleId="CharChapText">
    <w:name w:val="CharChapText"/>
    <w:basedOn w:val="DefaultParagraphFont"/>
    <w:qFormat/>
    <w:rsid w:val="00A03015"/>
  </w:style>
  <w:style w:type="character" w:customStyle="1" w:styleId="CharDivNo">
    <w:name w:val="CharDivNo"/>
    <w:basedOn w:val="DefaultParagraphFont"/>
    <w:qFormat/>
    <w:rsid w:val="00A03015"/>
  </w:style>
  <w:style w:type="character" w:customStyle="1" w:styleId="CharDivText">
    <w:name w:val="CharDivText"/>
    <w:basedOn w:val="DefaultParagraphFont"/>
    <w:qFormat/>
    <w:rsid w:val="00A03015"/>
  </w:style>
  <w:style w:type="character" w:customStyle="1" w:styleId="CharPartNo">
    <w:name w:val="CharPartNo"/>
    <w:basedOn w:val="DefaultParagraphFont"/>
    <w:qFormat/>
    <w:rsid w:val="00A03015"/>
  </w:style>
  <w:style w:type="character" w:customStyle="1" w:styleId="CharPartText">
    <w:name w:val="CharPartText"/>
    <w:basedOn w:val="DefaultParagraphFont"/>
    <w:qFormat/>
    <w:rsid w:val="00A03015"/>
  </w:style>
  <w:style w:type="character" w:customStyle="1" w:styleId="CharSectno">
    <w:name w:val="CharSectno"/>
    <w:basedOn w:val="DefaultParagraphFont"/>
    <w:qFormat/>
    <w:rsid w:val="00A03015"/>
  </w:style>
  <w:style w:type="paragraph" w:customStyle="1" w:styleId="ShortT">
    <w:name w:val="ShortT"/>
    <w:basedOn w:val="Normal"/>
    <w:next w:val="Normal"/>
    <w:qFormat/>
    <w:rsid w:val="00A03015"/>
    <w:pPr>
      <w:spacing w:line="240" w:lineRule="auto"/>
    </w:pPr>
    <w:rPr>
      <w:rFonts w:eastAsia="Times New Roman" w:cs="Times New Roman"/>
      <w:b/>
      <w:sz w:val="40"/>
      <w:lang w:eastAsia="en-AU"/>
    </w:rPr>
  </w:style>
  <w:style w:type="paragraph" w:styleId="TOC7">
    <w:name w:val="toc 7"/>
    <w:basedOn w:val="Normal"/>
    <w:next w:val="Normal"/>
    <w:uiPriority w:val="39"/>
    <w:unhideWhenUsed/>
    <w:rsid w:val="00A0301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0301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0301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7">
    <w:name w:val="ActHead 7"/>
    <w:aliases w:val="ap"/>
    <w:basedOn w:val="Normal"/>
    <w:next w:val="ItemHead"/>
    <w:qFormat/>
    <w:rsid w:val="00A03015"/>
    <w:pPr>
      <w:keepNext/>
      <w:keepLines/>
      <w:spacing w:before="280" w:line="240" w:lineRule="auto"/>
      <w:ind w:left="1134" w:hanging="1134"/>
      <w:outlineLvl w:val="6"/>
    </w:pPr>
    <w:rPr>
      <w:rFonts w:ascii="Arial" w:eastAsia="Times New Roman" w:hAnsi="Arial" w:cs="Times New Roman"/>
      <w:b/>
      <w:kern w:val="28"/>
      <w:sz w:val="28"/>
      <w:lang w:eastAsia="en-AU"/>
    </w:rPr>
  </w:style>
  <w:style w:type="paragraph" w:customStyle="1" w:styleId="ActHead8">
    <w:name w:val="ActHead 8"/>
    <w:aliases w:val="ad"/>
    <w:basedOn w:val="Normal"/>
    <w:next w:val="ItemHead"/>
    <w:qFormat/>
    <w:rsid w:val="00A03015"/>
    <w:pPr>
      <w:keepNext/>
      <w:keepLines/>
      <w:spacing w:before="240" w:line="240" w:lineRule="auto"/>
      <w:ind w:left="1134" w:hanging="1134"/>
      <w:outlineLvl w:val="7"/>
    </w:pPr>
    <w:rPr>
      <w:rFonts w:ascii="Arial" w:eastAsia="Times New Roman" w:hAnsi="Arial" w:cs="Times New Roman"/>
      <w:b/>
      <w:kern w:val="28"/>
      <w:sz w:val="26"/>
      <w:lang w:eastAsia="en-AU"/>
    </w:rPr>
  </w:style>
  <w:style w:type="paragraph" w:customStyle="1" w:styleId="ActHead9">
    <w:name w:val="ActHead 9"/>
    <w:aliases w:val="aat"/>
    <w:basedOn w:val="Normal"/>
    <w:next w:val="ItemHead"/>
    <w:qFormat/>
    <w:rsid w:val="00A03015"/>
    <w:pPr>
      <w:keepNext/>
      <w:keepLines/>
      <w:spacing w:before="280" w:line="240" w:lineRule="auto"/>
      <w:ind w:left="1134" w:hanging="1134"/>
      <w:outlineLvl w:val="8"/>
    </w:pPr>
    <w:rPr>
      <w:rFonts w:eastAsia="Times New Roman" w:cs="Times New Roman"/>
      <w:b/>
      <w:i/>
      <w:kern w:val="28"/>
      <w:sz w:val="28"/>
      <w:lang w:eastAsia="en-AU"/>
    </w:rPr>
  </w:style>
  <w:style w:type="paragraph" w:customStyle="1" w:styleId="Blocks">
    <w:name w:val="Blocks"/>
    <w:aliases w:val="bb"/>
    <w:basedOn w:val="Normal"/>
    <w:qFormat/>
    <w:rsid w:val="00A03015"/>
    <w:pPr>
      <w:spacing w:before="240" w:after="240" w:line="240" w:lineRule="auto"/>
      <w:ind w:left="709" w:hanging="709"/>
    </w:pPr>
    <w:rPr>
      <w:rFonts w:eastAsia="Times New Roman" w:cs="Times New Roman"/>
      <w:sz w:val="24"/>
      <w:lang w:eastAsia="en-AU"/>
    </w:rPr>
  </w:style>
  <w:style w:type="paragraph" w:customStyle="1" w:styleId="subsection">
    <w:name w:val="subsection"/>
    <w:aliases w:val="ss"/>
    <w:basedOn w:val="Normal"/>
    <w:rsid w:val="00A03015"/>
    <w:pPr>
      <w:tabs>
        <w:tab w:val="right" w:pos="1021"/>
      </w:tabs>
      <w:spacing w:before="180" w:line="240" w:lineRule="auto"/>
      <w:ind w:left="1134" w:hanging="1134"/>
    </w:pPr>
    <w:rPr>
      <w:rFonts w:eastAsia="Times New Roman" w:cs="Times New Roman"/>
      <w:lang w:eastAsia="en-AU"/>
    </w:rPr>
  </w:style>
  <w:style w:type="paragraph" w:customStyle="1" w:styleId="ItemHead">
    <w:name w:val="ItemHead"/>
    <w:aliases w:val="ih"/>
    <w:basedOn w:val="Normal"/>
    <w:next w:val="Normal"/>
    <w:rsid w:val="00A03015"/>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ignCoverPageEnd">
    <w:name w:val="SignCoverPageEnd"/>
    <w:basedOn w:val="Normal"/>
    <w:next w:val="Normal"/>
    <w:rsid w:val="00A03015"/>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A03015"/>
    <w:pPr>
      <w:pBdr>
        <w:top w:val="single" w:sz="4" w:space="1" w:color="auto"/>
      </w:pBdr>
      <w:spacing w:before="360"/>
      <w:ind w:right="397"/>
      <w:jc w:val="both"/>
    </w:pPr>
    <w:rPr>
      <w:rFonts w:eastAsia="Times New Roman" w:cs="Times New Roman"/>
      <w:lang w:eastAsia="en-AU"/>
    </w:rPr>
  </w:style>
  <w:style w:type="paragraph" w:customStyle="1" w:styleId="SecurityClassificationHeader">
    <w:name w:val="Security Classification Header"/>
    <w:link w:val="SecurityClassificationHeaderChar"/>
    <w:rsid w:val="00A03015"/>
    <w:pPr>
      <w:spacing w:before="240" w:after="60" w:line="240" w:lineRule="auto"/>
      <w:jc w:val="center"/>
    </w:pPr>
    <w:rPr>
      <w:rFonts w:ascii="Times New Roman" w:eastAsia="Times New Roman" w:hAnsi="Times New Roman"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A03015"/>
    <w:rPr>
      <w:rFonts w:ascii="Times New Roman" w:eastAsia="Times New Roman" w:hAnsi="Times New Roman" w:cs="Times New Roman"/>
      <w:b/>
      <w:caps/>
      <w:sz w:val="24"/>
      <w:szCs w:val="20"/>
      <w:lang w:eastAsia="en-AU"/>
    </w:rPr>
  </w:style>
  <w:style w:type="paragraph" w:customStyle="1" w:styleId="SecurityClassificationFooter">
    <w:name w:val="Security Classification Footer"/>
    <w:link w:val="SecurityClassificationFooterChar"/>
    <w:rsid w:val="00A03015"/>
    <w:pPr>
      <w:spacing w:before="60" w:after="240" w:line="240" w:lineRule="auto"/>
      <w:jc w:val="center"/>
    </w:pPr>
    <w:rPr>
      <w:rFonts w:ascii="Times New Roman" w:eastAsia="Times New Roman" w:hAnsi="Times New Roman"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A03015"/>
    <w:rPr>
      <w:rFonts w:ascii="Times New Roman" w:eastAsia="Times New Roman" w:hAnsi="Times New Roman" w:cs="Times New Roman"/>
      <w:b/>
      <w:caps/>
      <w:sz w:val="24"/>
      <w:szCs w:val="20"/>
      <w:lang w:eastAsia="en-AU"/>
    </w:rPr>
  </w:style>
  <w:style w:type="paragraph" w:customStyle="1" w:styleId="OutlineNumbered1">
    <w:name w:val="Outline Numbered 1"/>
    <w:basedOn w:val="Normal"/>
    <w:rsid w:val="00A03015"/>
    <w:pPr>
      <w:spacing w:after="240" w:line="260" w:lineRule="exact"/>
      <w:jc w:val="both"/>
    </w:pPr>
    <w:rPr>
      <w:rFonts w:ascii="Arial" w:eastAsia="Times New Roman" w:hAnsi="Arial" w:cs="Arial"/>
      <w:color w:val="000000"/>
      <w:sz w:val="24"/>
      <w:szCs w:val="24"/>
      <w:lang w:eastAsia="en-AU"/>
    </w:rPr>
  </w:style>
  <w:style w:type="paragraph" w:customStyle="1" w:styleId="OutlineNumbered2">
    <w:name w:val="Outline Numbered 2"/>
    <w:basedOn w:val="Normal"/>
    <w:rsid w:val="00A03015"/>
    <w:pPr>
      <w:spacing w:after="240" w:line="260" w:lineRule="exact"/>
      <w:jc w:val="both"/>
    </w:pPr>
    <w:rPr>
      <w:rFonts w:ascii="Arial" w:eastAsia="Times New Roman" w:hAnsi="Arial" w:cs="Arial"/>
      <w:color w:val="000000"/>
      <w:sz w:val="24"/>
      <w:szCs w:val="24"/>
      <w:lang w:eastAsia="en-AU"/>
    </w:rPr>
  </w:style>
  <w:style w:type="paragraph" w:customStyle="1" w:styleId="OutlineNumbered3">
    <w:name w:val="Outline Numbered 3"/>
    <w:basedOn w:val="Normal"/>
    <w:rsid w:val="00A03015"/>
    <w:pPr>
      <w:spacing w:after="240" w:line="260" w:lineRule="exact"/>
      <w:jc w:val="both"/>
    </w:pPr>
    <w:rPr>
      <w:rFonts w:ascii="Arial" w:eastAsia="Times New Roman" w:hAnsi="Arial" w:cs="Arial"/>
      <w:color w:val="000000"/>
      <w:sz w:val="24"/>
      <w:szCs w:val="24"/>
      <w:lang w:eastAsia="en-AU"/>
    </w:rPr>
  </w:style>
  <w:style w:type="paragraph" w:customStyle="1" w:styleId="Notelevel1">
    <w:name w:val="Note level 1"/>
    <w:basedOn w:val="OutlineNumbered2"/>
    <w:rsid w:val="00A03015"/>
    <w:pPr>
      <w:ind w:left="540"/>
    </w:pPr>
    <w:rPr>
      <w:i/>
      <w:sz w:val="18"/>
      <w:szCs w:val="18"/>
    </w:rPr>
  </w:style>
  <w:style w:type="paragraph" w:customStyle="1" w:styleId="Notelevel2">
    <w:name w:val="Note level 2"/>
    <w:basedOn w:val="Normal"/>
    <w:rsid w:val="00A03015"/>
    <w:pPr>
      <w:spacing w:after="320" w:line="240" w:lineRule="auto"/>
      <w:ind w:left="1260"/>
    </w:pPr>
    <w:rPr>
      <w:rFonts w:ascii="Arial" w:eastAsia="Times New Roman" w:hAnsi="Arial" w:cs="Arial"/>
      <w:i/>
      <w:sz w:val="18"/>
      <w:szCs w:val="18"/>
      <w:lang w:eastAsia="en-AU"/>
    </w:rPr>
  </w:style>
  <w:style w:type="paragraph" w:customStyle="1" w:styleId="bullet">
    <w:name w:val="bullet"/>
    <w:basedOn w:val="Normal"/>
    <w:rsid w:val="00A03015"/>
    <w:pPr>
      <w:spacing w:after="160" w:line="240" w:lineRule="auto"/>
    </w:pPr>
    <w:rPr>
      <w:rFonts w:ascii="Arial" w:eastAsia="Times New Roman" w:hAnsi="Arial" w:cs="Arial"/>
      <w:sz w:val="24"/>
      <w:lang w:eastAsia="en-AU"/>
    </w:rPr>
  </w:style>
  <w:style w:type="paragraph" w:customStyle="1" w:styleId="dash">
    <w:name w:val="dash"/>
    <w:basedOn w:val="Normal"/>
    <w:rsid w:val="00A03015"/>
    <w:pPr>
      <w:spacing w:line="240" w:lineRule="auto"/>
    </w:pPr>
    <w:rPr>
      <w:rFonts w:ascii="Arial" w:eastAsia="Times New Roman" w:hAnsi="Arial" w:cs="Arial"/>
      <w:color w:val="000080"/>
      <w:sz w:val="20"/>
      <w:lang w:eastAsia="en-AU"/>
    </w:rPr>
  </w:style>
  <w:style w:type="paragraph" w:styleId="BalloonText">
    <w:name w:val="Balloon Text"/>
    <w:basedOn w:val="Normal"/>
    <w:link w:val="BalloonTextChar"/>
    <w:uiPriority w:val="99"/>
    <w:semiHidden/>
    <w:unhideWhenUsed/>
    <w:rsid w:val="00A030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15"/>
    <w:rPr>
      <w:rFonts w:ascii="Tahoma" w:hAnsi="Tahoma" w:cs="Tahoma"/>
      <w:sz w:val="16"/>
      <w:szCs w:val="16"/>
    </w:rPr>
  </w:style>
  <w:style w:type="character" w:styleId="CommentReference">
    <w:name w:val="annotation reference"/>
    <w:basedOn w:val="DefaultParagraphFont"/>
    <w:uiPriority w:val="99"/>
    <w:semiHidden/>
    <w:unhideWhenUsed/>
    <w:rsid w:val="00326D16"/>
    <w:rPr>
      <w:sz w:val="16"/>
      <w:szCs w:val="16"/>
    </w:rPr>
  </w:style>
  <w:style w:type="paragraph" w:styleId="CommentText">
    <w:name w:val="annotation text"/>
    <w:basedOn w:val="Normal"/>
    <w:link w:val="CommentTextChar"/>
    <w:uiPriority w:val="99"/>
    <w:semiHidden/>
    <w:unhideWhenUsed/>
    <w:rsid w:val="00326D16"/>
    <w:pPr>
      <w:spacing w:line="240" w:lineRule="auto"/>
    </w:pPr>
    <w:rPr>
      <w:sz w:val="20"/>
    </w:rPr>
  </w:style>
  <w:style w:type="character" w:customStyle="1" w:styleId="CommentTextChar">
    <w:name w:val="Comment Text Char"/>
    <w:basedOn w:val="DefaultParagraphFont"/>
    <w:link w:val="CommentText"/>
    <w:uiPriority w:val="99"/>
    <w:semiHidden/>
    <w:rsid w:val="00326D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6D16"/>
    <w:rPr>
      <w:b/>
      <w:bCs/>
    </w:rPr>
  </w:style>
  <w:style w:type="character" w:customStyle="1" w:styleId="CommentSubjectChar">
    <w:name w:val="Comment Subject Char"/>
    <w:basedOn w:val="CommentTextChar"/>
    <w:link w:val="CommentSubject"/>
    <w:uiPriority w:val="99"/>
    <w:semiHidden/>
    <w:rsid w:val="00326D16"/>
    <w:rPr>
      <w:rFonts w:ascii="Times New Roman" w:hAnsi="Times New Roman"/>
      <w:b/>
      <w:bCs/>
      <w:sz w:val="20"/>
      <w:szCs w:val="20"/>
    </w:rPr>
  </w:style>
  <w:style w:type="paragraph" w:styleId="Revision">
    <w:name w:val="Revision"/>
    <w:hidden/>
    <w:uiPriority w:val="99"/>
    <w:semiHidden/>
    <w:rsid w:val="00326D16"/>
    <w:pPr>
      <w:spacing w:after="0" w:line="240" w:lineRule="auto"/>
    </w:pPr>
    <w:rPr>
      <w:rFonts w:ascii="Times New Roman" w:hAnsi="Times New Roman"/>
      <w:szCs w:val="20"/>
    </w:rPr>
  </w:style>
  <w:style w:type="paragraph" w:styleId="ListParagraph">
    <w:name w:val="List Paragraph"/>
    <w:basedOn w:val="Normal"/>
    <w:uiPriority w:val="34"/>
    <w:qFormat/>
    <w:rsid w:val="001E7DAE"/>
    <w:pPr>
      <w:spacing w:line="240" w:lineRule="auto"/>
      <w:ind w:left="720"/>
    </w:pPr>
    <w:rPr>
      <w:rFonts w:ascii="Calibri" w:hAnsi="Calibri" w:cs="Times New Roman"/>
      <w:szCs w:val="22"/>
    </w:rPr>
  </w:style>
  <w:style w:type="character" w:styleId="Hyperlink">
    <w:name w:val="Hyperlink"/>
    <w:basedOn w:val="DefaultParagraphFont"/>
    <w:uiPriority w:val="99"/>
    <w:unhideWhenUsed/>
    <w:rsid w:val="000E117C"/>
    <w:rPr>
      <w:color w:val="0000FF" w:themeColor="hyperlink"/>
      <w:u w:val="single"/>
    </w:rPr>
  </w:style>
  <w:style w:type="paragraph" w:customStyle="1" w:styleId="bulletlevel2">
    <w:name w:val="bullet level 2"/>
    <w:basedOn w:val="bullet"/>
    <w:rsid w:val="00B26B6C"/>
    <w:pPr>
      <w:keepNext/>
      <w:keepLines/>
    </w:pPr>
    <w:rPr>
      <w:szCs w:val="24"/>
    </w:rPr>
  </w:style>
  <w:style w:type="paragraph" w:styleId="TOC2">
    <w:name w:val="toc 2"/>
    <w:basedOn w:val="Normal"/>
    <w:next w:val="Normal"/>
    <w:autoRedefine/>
    <w:uiPriority w:val="39"/>
    <w:unhideWhenUsed/>
    <w:rsid w:val="00F82257"/>
    <w:pPr>
      <w:spacing w:after="100"/>
      <w:ind w:left="220"/>
    </w:pPr>
  </w:style>
  <w:style w:type="paragraph" w:styleId="FootnoteText">
    <w:name w:val="footnote text"/>
    <w:basedOn w:val="Normal"/>
    <w:link w:val="FootnoteTextChar"/>
    <w:uiPriority w:val="99"/>
    <w:semiHidden/>
    <w:unhideWhenUsed/>
    <w:rsid w:val="004F4033"/>
    <w:pPr>
      <w:spacing w:line="240" w:lineRule="auto"/>
    </w:pPr>
    <w:rPr>
      <w:sz w:val="20"/>
    </w:rPr>
  </w:style>
  <w:style w:type="character" w:customStyle="1" w:styleId="FootnoteTextChar">
    <w:name w:val="Footnote Text Char"/>
    <w:basedOn w:val="DefaultParagraphFont"/>
    <w:link w:val="FootnoteText"/>
    <w:uiPriority w:val="99"/>
    <w:semiHidden/>
    <w:rsid w:val="004F4033"/>
    <w:rPr>
      <w:rFonts w:ascii="Times New Roman" w:hAnsi="Times New Roman"/>
      <w:sz w:val="20"/>
      <w:szCs w:val="20"/>
    </w:rPr>
  </w:style>
  <w:style w:type="character" w:styleId="FootnoteReference">
    <w:name w:val="footnote reference"/>
    <w:basedOn w:val="DefaultParagraphFont"/>
    <w:uiPriority w:val="99"/>
    <w:semiHidden/>
    <w:unhideWhenUsed/>
    <w:rsid w:val="004F4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6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2016RG-111-5989</_dlc_DocId>
    <_dlc_DocIdUrl xmlns="9f7bc583-7cbe-45b9-a2bd-8bbb6543b37e">
      <Url>http://tweb/sites/rg/ldp/lmu/_layouts/15/DocIdRedir.aspx?ID=2016RG-111-5989</Url>
      <Description>2016RG-111-5989</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3C54-D907-47C4-89CD-22D852065220}"/>
</file>

<file path=customXml/itemProps2.xml><?xml version="1.0" encoding="utf-8"?>
<ds:datastoreItem xmlns:ds="http://schemas.openxmlformats.org/officeDocument/2006/customXml" ds:itemID="{BCBF43F0-3298-466F-B8D2-3C906DA14B16}"/>
</file>

<file path=customXml/itemProps3.xml><?xml version="1.0" encoding="utf-8"?>
<ds:datastoreItem xmlns:ds="http://schemas.openxmlformats.org/officeDocument/2006/customXml" ds:itemID="{41EF83C5-45E3-4D07-9202-FBC57A2B9AA3}"/>
</file>

<file path=customXml/itemProps4.xml><?xml version="1.0" encoding="utf-8"?>
<ds:datastoreItem xmlns:ds="http://schemas.openxmlformats.org/officeDocument/2006/customXml" ds:itemID="{2242AD06-54CE-46AD-AAD1-C00CB1BBAD8B}"/>
</file>

<file path=customXml/itemProps5.xml><?xml version="1.0" encoding="utf-8"?>
<ds:datastoreItem xmlns:ds="http://schemas.openxmlformats.org/officeDocument/2006/customXml" ds:itemID="{F78DA470-BBA7-48F4-BE25-4B8FA38A9A2F}"/>
</file>

<file path=customXml/itemProps6.xml><?xml version="1.0" encoding="utf-8"?>
<ds:datastoreItem xmlns:ds="http://schemas.openxmlformats.org/officeDocument/2006/customXml" ds:itemID="{D691D828-DC04-4E41-9F50-0D730315BDBE}"/>
</file>

<file path=docProps/app.xml><?xml version="1.0" encoding="utf-8"?>
<Properties xmlns="http://schemas.openxmlformats.org/officeDocument/2006/extended-properties" xmlns:vt="http://schemas.openxmlformats.org/officeDocument/2006/docPropsVTypes">
  <Template>Normal.dotm</Template>
  <TotalTime>4</TotalTime>
  <Pages>17</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Beresford, Laurel</dc:creator>
  <cp:lastModifiedBy>Hogan, Kevin</cp:lastModifiedBy>
  <cp:revision>4</cp:revision>
  <cp:lastPrinted>2016-04-29T01:12:00Z</cp:lastPrinted>
  <dcterms:created xsi:type="dcterms:W3CDTF">2016-04-29T01:12:00Z</dcterms:created>
  <dcterms:modified xsi:type="dcterms:W3CDTF">2016-05-03T23:46:00Z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11;#TSY RA-9237 - Destroy 5 years after action completed|9f1a030e-81bf-44c5-98eb-4d5d869a40d5</vt:lpwstr>
  </property>
  <property fmtid="{D5CDD505-2E9C-101B-9397-08002B2CF9AE}" pid="4" name="_dlc_DocIdItemGuid">
    <vt:lpwstr>5e15a465-e5b2-484d-92e3-da6eb20df635</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{1a010be9-83b3-4740-abb7-452f2d1120fe}</vt:lpwstr>
  </property>
  <property fmtid="{D5CDD505-2E9C-101B-9397-08002B2CF9AE}" pid="8" name="RecordPoint_ActiveItemUniqueId">
    <vt:lpwstr>{5e15a465-e5b2-484d-92e3-da6eb20df635}</vt:lpwstr>
  </property>
  <property fmtid="{D5CDD505-2E9C-101B-9397-08002B2CF9AE}" pid="9" name="RecordPoint_ActiveItemWebId">
    <vt:lpwstr>{2602612e-a30f-4de0-b9eb-e01e73dc8005}</vt:lpwstr>
  </property>
  <property fmtid="{D5CDD505-2E9C-101B-9397-08002B2CF9AE}" pid="10" name="RecordPoint_RecordNumberSubmitted">
    <vt:lpwstr>R0000948723</vt:lpwstr>
  </property>
  <property fmtid="{D5CDD505-2E9C-101B-9397-08002B2CF9AE}" pid="11" name="RecordPoint_SubmissionCompleted">
    <vt:lpwstr>2016-05-04T09:47:04.3578280+10:00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-153065449</vt:i4>
  </property>
  <property fmtid="{D5CDD505-2E9C-101B-9397-08002B2CF9AE}" pid="16" name="_NewReviewCycle">
    <vt:lpwstr/>
  </property>
  <property fmtid="{D5CDD505-2E9C-101B-9397-08002B2CF9AE}" pid="17" name="_EmailSubject">
    <vt:lpwstr>MS16-001216 [SEC=PROTECTED, DLM=Sensitive:Legal]</vt:lpwstr>
  </property>
  <property fmtid="{D5CDD505-2E9C-101B-9397-08002B2CF9AE}" pid="18" name="_AuthorEmail">
    <vt:lpwstr>Michelle.Rak@treasury.gov.au</vt:lpwstr>
  </property>
  <property fmtid="{D5CDD505-2E9C-101B-9397-08002B2CF9AE}" pid="19" name="_AuthorEmailDisplayName">
    <vt:lpwstr>Rak, Michelle</vt:lpwstr>
  </property>
  <property fmtid="{D5CDD505-2E9C-101B-9397-08002B2CF9AE}" pid="20" name="_ReviewingToolsShownOnce">
    <vt:lpwstr/>
  </property>
</Properties>
</file>