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9EFC3" w14:textId="77777777" w:rsidR="00F109D4" w:rsidRPr="00503E44" w:rsidRDefault="00F109D4" w:rsidP="00E457F3">
      <w:pPr>
        <w:pStyle w:val="Heading1"/>
        <w:jc w:val="left"/>
      </w:pPr>
      <w:r w:rsidRPr="00503E44">
        <w:t>EXPLANATORY STATEMENT</w:t>
      </w:r>
    </w:p>
    <w:p w14:paraId="3769CC42" w14:textId="310E9B95" w:rsidR="00F109D4" w:rsidRPr="00503E44" w:rsidRDefault="00F109D4" w:rsidP="00A12209">
      <w:pPr>
        <w:pStyle w:val="Heading2"/>
      </w:pPr>
      <w:r w:rsidRPr="00503E44">
        <w:t xml:space="preserve">Issued by authority of the </w:t>
      </w:r>
      <w:r w:rsidR="005833BE" w:rsidRPr="00503E44">
        <w:t>Assistant Treasurer</w:t>
      </w:r>
    </w:p>
    <w:p w14:paraId="70CDC967" w14:textId="1377CF28" w:rsidR="00F109D4" w:rsidRPr="00503E44" w:rsidRDefault="003B20AE">
      <w:pPr>
        <w:jc w:val="center"/>
        <w:rPr>
          <w:i/>
        </w:rPr>
      </w:pPr>
      <w:r>
        <w:rPr>
          <w:i/>
        </w:rPr>
        <w:t>Taxation Adminis</w:t>
      </w:r>
      <w:bookmarkStart w:id="0" w:name="_GoBack"/>
      <w:bookmarkEnd w:id="0"/>
      <w:r>
        <w:rPr>
          <w:i/>
        </w:rPr>
        <w:t>tration Act 1953</w:t>
      </w:r>
    </w:p>
    <w:p w14:paraId="21B474EC" w14:textId="19DDE79A" w:rsidR="00F109D4" w:rsidRPr="00503E44" w:rsidRDefault="003B20AE">
      <w:pPr>
        <w:tabs>
          <w:tab w:val="left" w:pos="1418"/>
        </w:tabs>
        <w:spacing w:after="240"/>
        <w:jc w:val="center"/>
        <w:rPr>
          <w:i/>
        </w:rPr>
      </w:pPr>
      <w:r>
        <w:rPr>
          <w:i/>
        </w:rPr>
        <w:t>Private Ancillary Fund and Public Ancillar</w:t>
      </w:r>
      <w:r w:rsidR="008C09EB">
        <w:rPr>
          <w:i/>
        </w:rPr>
        <w:t>y Fund Amendment Guidelines 2016</w:t>
      </w:r>
    </w:p>
    <w:p w14:paraId="70AA90D5" w14:textId="0807B757" w:rsidR="00894DEB" w:rsidRDefault="000D6190">
      <w:r>
        <w:t xml:space="preserve">Sections 426-103 and 426-110 in Schedule 1 to the </w:t>
      </w:r>
      <w:r w:rsidRPr="00894DEB">
        <w:rPr>
          <w:i/>
        </w:rPr>
        <w:t>Taxation Administration Act 1953</w:t>
      </w:r>
      <w:r w:rsidR="0073626D">
        <w:t xml:space="preserve"> </w:t>
      </w:r>
      <w:r w:rsidR="00040B15">
        <w:t>(</w:t>
      </w:r>
      <w:r w:rsidR="00212813">
        <w:t xml:space="preserve">the </w:t>
      </w:r>
      <w:r w:rsidR="00040B15">
        <w:t xml:space="preserve">Act) </w:t>
      </w:r>
      <w:r w:rsidR="0073626D">
        <w:t>provide that the Minister must</w:t>
      </w:r>
      <w:r w:rsidR="00A21AEA">
        <w:t xml:space="preserve">, by legislative instrument, </w:t>
      </w:r>
      <w:r w:rsidR="0073626D">
        <w:t xml:space="preserve">set out </w:t>
      </w:r>
      <w:r>
        <w:t>rules</w:t>
      </w:r>
      <w:r w:rsidR="00A21AEA">
        <w:t xml:space="preserve"> in the form of guidelines</w:t>
      </w:r>
      <w:r>
        <w:t xml:space="preserve"> for public </w:t>
      </w:r>
      <w:r w:rsidR="00A21AEA">
        <w:t xml:space="preserve">ancillary funds </w:t>
      </w:r>
      <w:r>
        <w:t xml:space="preserve">and private </w:t>
      </w:r>
      <w:r w:rsidR="00894DEB">
        <w:t>ancillary funds and their trustees.</w:t>
      </w:r>
    </w:p>
    <w:p w14:paraId="728867BD" w14:textId="7600C2BB" w:rsidR="00A21AEA" w:rsidRPr="00A21AEA" w:rsidRDefault="00A21AEA">
      <w:pPr>
        <w:rPr>
          <w:b/>
        </w:rPr>
      </w:pPr>
      <w:r w:rsidRPr="00A21AEA">
        <w:rPr>
          <w:b/>
        </w:rPr>
        <w:t>Purpose</w:t>
      </w:r>
    </w:p>
    <w:p w14:paraId="330E5A88" w14:textId="1854891D" w:rsidR="00C97701" w:rsidRDefault="0073626D">
      <w:r w:rsidRPr="0073626D">
        <w:t xml:space="preserve">The </w:t>
      </w:r>
      <w:r w:rsidRPr="0073626D">
        <w:rPr>
          <w:i/>
        </w:rPr>
        <w:t>Private Ancillary Fund and Public Ancillary Fund Amendment Guidelines 201</w:t>
      </w:r>
      <w:r w:rsidR="008C09EB">
        <w:rPr>
          <w:i/>
        </w:rPr>
        <w:t>6</w:t>
      </w:r>
      <w:r>
        <w:t xml:space="preserve"> (</w:t>
      </w:r>
      <w:r w:rsidR="006021C2">
        <w:t>a</w:t>
      </w:r>
      <w:r>
        <w:t>mend</w:t>
      </w:r>
      <w:r w:rsidR="006021C2">
        <w:t>ing</w:t>
      </w:r>
      <w:r>
        <w:t xml:space="preserve"> </w:t>
      </w:r>
      <w:r w:rsidR="006021C2">
        <w:t>g</w:t>
      </w:r>
      <w:r>
        <w:t xml:space="preserve">uidelines) amend the </w:t>
      </w:r>
      <w:r w:rsidRPr="00C97701">
        <w:rPr>
          <w:i/>
        </w:rPr>
        <w:t>Private Ancillary Fund Guidelines 2009</w:t>
      </w:r>
      <w:r>
        <w:t xml:space="preserve"> and the </w:t>
      </w:r>
      <w:r w:rsidRPr="00C97701">
        <w:rPr>
          <w:i/>
        </w:rPr>
        <w:t>Public Ancillary Fund Guidelines 2011</w:t>
      </w:r>
      <w:r>
        <w:t xml:space="preserve"> </w:t>
      </w:r>
      <w:r w:rsidR="00C97701">
        <w:t>to:</w:t>
      </w:r>
    </w:p>
    <w:p w14:paraId="648BA9DA" w14:textId="2F9CC97B" w:rsidR="00C97701" w:rsidRDefault="00C97701" w:rsidP="00C97701">
      <w:pPr>
        <w:pStyle w:val="Bullet0"/>
      </w:pPr>
      <w:r>
        <w:t xml:space="preserve">update the </w:t>
      </w:r>
      <w:r w:rsidR="002A3C5F" w:rsidRPr="00C97701">
        <w:rPr>
          <w:i/>
        </w:rPr>
        <w:t>Private Ancillary Fund Guidelines 2009</w:t>
      </w:r>
      <w:r>
        <w:t xml:space="preserve"> to reflect improvements incorporated in the later made </w:t>
      </w:r>
      <w:r w:rsidR="002A3C5F" w:rsidRPr="00C97701">
        <w:rPr>
          <w:i/>
        </w:rPr>
        <w:t>Public Ancillary Fund Guidelines 2011</w:t>
      </w:r>
      <w:r>
        <w:t>;</w:t>
      </w:r>
    </w:p>
    <w:p w14:paraId="30C40516" w14:textId="0ECEE3B7" w:rsidR="00C97701" w:rsidRDefault="00C97701" w:rsidP="00C97701">
      <w:pPr>
        <w:pStyle w:val="Bullet0"/>
      </w:pPr>
      <w:r>
        <w:t xml:space="preserve">introduce portability into the </w:t>
      </w:r>
      <w:r w:rsidR="002A3C5F" w:rsidRPr="00C97701">
        <w:rPr>
          <w:i/>
        </w:rPr>
        <w:t>Private Ancillary Fund Guidelines 2009</w:t>
      </w:r>
      <w:r>
        <w:t>;</w:t>
      </w:r>
    </w:p>
    <w:p w14:paraId="7B389F45" w14:textId="01EF74B2" w:rsidR="00C97701" w:rsidRDefault="00C97701" w:rsidP="00C97701">
      <w:pPr>
        <w:pStyle w:val="Bullet0"/>
      </w:pPr>
      <w:r>
        <w:t>update both sets of Guidelines to reflect the introduction of the Australian Charities and Not-for-profits Commission (ACNC);</w:t>
      </w:r>
    </w:p>
    <w:p w14:paraId="13C183F1" w14:textId="026A5375" w:rsidR="00C97701" w:rsidRDefault="00C97701" w:rsidP="00C97701">
      <w:pPr>
        <w:pStyle w:val="Bullet0"/>
      </w:pPr>
      <w:r>
        <w:t>remove red tape by ensuring that material provided to the ACNC is not also requested separately by the A</w:t>
      </w:r>
      <w:r w:rsidR="0050368A">
        <w:t xml:space="preserve">ustralian Taxation Office </w:t>
      </w:r>
      <w:r>
        <w:t>and allow smaller private funds to seek a review instead of an audit;</w:t>
      </w:r>
    </w:p>
    <w:p w14:paraId="41F30DE2" w14:textId="408E5698" w:rsidR="00C97701" w:rsidRDefault="00C97701" w:rsidP="00C97701">
      <w:pPr>
        <w:pStyle w:val="Bullet0"/>
      </w:pPr>
      <w:r>
        <w:t>update the investment strategy rules to</w:t>
      </w:r>
      <w:r w:rsidR="00CD1CF9">
        <w:t>, amongst other things,</w:t>
      </w:r>
      <w:r>
        <w:t xml:space="preserve"> ensure funds must consider both their status </w:t>
      </w:r>
      <w:r w:rsidR="0048122A">
        <w:t>as a registered charity and conflicts of interest in prepa</w:t>
      </w:r>
      <w:r w:rsidR="002A3C5F">
        <w:t>ring and maintaining a strategy;</w:t>
      </w:r>
    </w:p>
    <w:p w14:paraId="51F986AB" w14:textId="5FF29D42" w:rsidR="007B0356" w:rsidRDefault="007B0356" w:rsidP="007B0356">
      <w:pPr>
        <w:pStyle w:val="Bullet0"/>
      </w:pPr>
      <w:r>
        <w:t xml:space="preserve">allowing </w:t>
      </w:r>
      <w:r w:rsidR="002A3C5F">
        <w:t>ancillary funds</w:t>
      </w:r>
      <w:r>
        <w:t xml:space="preserve"> to provide loan guarantees over borrowings of </w:t>
      </w:r>
      <w:r w:rsidR="002A3C5F">
        <w:t>deductible gift recipients</w:t>
      </w:r>
      <w:r>
        <w:t>;</w:t>
      </w:r>
    </w:p>
    <w:p w14:paraId="34AF5C30" w14:textId="239A26E4" w:rsidR="008C325E" w:rsidRDefault="008C325E" w:rsidP="007B0356">
      <w:pPr>
        <w:pStyle w:val="Bullet0"/>
      </w:pPr>
      <w:r>
        <w:t xml:space="preserve">provide further guidance on calculating the distribution in relation to social impact investments; </w:t>
      </w:r>
    </w:p>
    <w:p w14:paraId="37BC4FFD" w14:textId="0283B5DE" w:rsidR="00CD1CF9" w:rsidRPr="0073626D" w:rsidRDefault="008C325E" w:rsidP="007B0356">
      <w:pPr>
        <w:pStyle w:val="Bullet0"/>
      </w:pPr>
      <w:r>
        <w:t>give the Commissioner of Taxation the power to lower the annual minimum distribution rate of a fund in appropriate circumstances</w:t>
      </w:r>
      <w:r w:rsidR="00CD1CF9">
        <w:t>;</w:t>
      </w:r>
    </w:p>
    <w:p w14:paraId="09A1A63B" w14:textId="52435C94" w:rsidR="007B0356" w:rsidRDefault="007B0356" w:rsidP="007B0356">
      <w:pPr>
        <w:pStyle w:val="Bullet0"/>
      </w:pPr>
      <w:r>
        <w:t>remove references to the Australian Valuation Office following its closure on 30</w:t>
      </w:r>
      <w:r w:rsidR="0050368A">
        <w:t> </w:t>
      </w:r>
      <w:r>
        <w:t xml:space="preserve">June 2014; and </w:t>
      </w:r>
    </w:p>
    <w:p w14:paraId="481703EA" w14:textId="71E4538F" w:rsidR="007B0356" w:rsidRDefault="007B0356" w:rsidP="007B0356">
      <w:pPr>
        <w:pStyle w:val="Bullet0"/>
      </w:pPr>
      <w:proofErr w:type="gramStart"/>
      <w:r>
        <w:t>repeal</w:t>
      </w:r>
      <w:proofErr w:type="gramEnd"/>
      <w:r>
        <w:t xml:space="preserve"> spent guidelines.</w:t>
      </w:r>
    </w:p>
    <w:p w14:paraId="5611A219" w14:textId="163B708E" w:rsidR="0073626D" w:rsidRPr="00A21AEA" w:rsidRDefault="00A21AEA">
      <w:pPr>
        <w:rPr>
          <w:b/>
        </w:rPr>
      </w:pPr>
      <w:r w:rsidRPr="00A21AEA">
        <w:rPr>
          <w:b/>
        </w:rPr>
        <w:t>Context</w:t>
      </w:r>
    </w:p>
    <w:p w14:paraId="435BEE27" w14:textId="388CF080" w:rsidR="00A21AEA" w:rsidRDefault="00A21AEA">
      <w:r>
        <w:t xml:space="preserve">The </w:t>
      </w:r>
      <w:r w:rsidR="002A3C5F" w:rsidRPr="00C97701">
        <w:rPr>
          <w:i/>
        </w:rPr>
        <w:t>Private Ancillary Fund Guidelines 2009</w:t>
      </w:r>
      <w:r w:rsidR="002A3C5F">
        <w:t xml:space="preserve"> and the </w:t>
      </w:r>
      <w:r w:rsidR="002A3C5F" w:rsidRPr="00C97701">
        <w:rPr>
          <w:i/>
        </w:rPr>
        <w:t>Public Ancillary Fund Guidelines 2011</w:t>
      </w:r>
      <w:r w:rsidR="002A3C5F">
        <w:rPr>
          <w:i/>
        </w:rPr>
        <w:t xml:space="preserve"> </w:t>
      </w:r>
      <w:r>
        <w:t xml:space="preserve">were made in 2009 and 2011, </w:t>
      </w:r>
      <w:r w:rsidR="0048122A">
        <w:t xml:space="preserve">and set minimum standards for the governance and conduct of </w:t>
      </w:r>
      <w:r w:rsidR="002A3C5F">
        <w:t>ancillary funds</w:t>
      </w:r>
      <w:r w:rsidR="0048122A">
        <w:t xml:space="preserve"> and their trustees.  The introduction of </w:t>
      </w:r>
      <w:r w:rsidR="0048122A">
        <w:lastRenderedPageBreak/>
        <w:t xml:space="preserve">each set of Guidelines </w:t>
      </w:r>
      <w:r>
        <w:t xml:space="preserve">coincided with the commencement of a new </w:t>
      </w:r>
      <w:r w:rsidR="0048122A">
        <w:t>re</w:t>
      </w:r>
      <w:r>
        <w:t xml:space="preserve">gulatory regime governing </w:t>
      </w:r>
      <w:r w:rsidR="002A3C5F">
        <w:t>ancillary funds</w:t>
      </w:r>
      <w:r>
        <w:t>.</w:t>
      </w:r>
      <w:r w:rsidR="0048122A">
        <w:t xml:space="preserve">  Both sets of Guidelines have not been updated since they were made.</w:t>
      </w:r>
    </w:p>
    <w:p w14:paraId="4901E473" w14:textId="74A5807D" w:rsidR="0048122A" w:rsidRDefault="0048122A">
      <w:r>
        <w:t xml:space="preserve">On 18 March 2015 the </w:t>
      </w:r>
      <w:r w:rsidR="00845607">
        <w:t xml:space="preserve">then </w:t>
      </w:r>
      <w:r>
        <w:t xml:space="preserve">Parliamentary Secretary to the Prime Minister announced a number of deregulation initiatives </w:t>
      </w:r>
      <w:r w:rsidR="00BE6F8A">
        <w:t xml:space="preserve">to be implemented in conjunction with </w:t>
      </w:r>
      <w:r>
        <w:t xml:space="preserve">the 2015 Autumn Repeal Day, including </w:t>
      </w:r>
      <w:r w:rsidR="00CD1CF9">
        <w:t xml:space="preserve">some of </w:t>
      </w:r>
      <w:r w:rsidR="000F7E8B">
        <w:t xml:space="preserve">the amendments to each set of </w:t>
      </w:r>
      <w:r>
        <w:t>Guidelines.</w:t>
      </w:r>
    </w:p>
    <w:p w14:paraId="7882AA80" w14:textId="6FE9C589" w:rsidR="00E852DF" w:rsidRDefault="00E852DF">
      <w:r>
        <w:t xml:space="preserve">The </w:t>
      </w:r>
      <w:r w:rsidR="00845607">
        <w:t xml:space="preserve">then </w:t>
      </w:r>
      <w:r>
        <w:t>Assistant Treasurer provided further details on these changes in a Media Release of 28 May 2015.</w:t>
      </w:r>
    </w:p>
    <w:p w14:paraId="48E0B1B0" w14:textId="168D91F4" w:rsidR="008C325E" w:rsidRDefault="008C325E">
      <w:r>
        <w:t>A draft of the amending guidelines was released for public consultation between 22 December 2015 and 12 February 2016.  Further targeted consultation was undertaken between 15 April 2016 and 20 April 2016.</w:t>
      </w:r>
    </w:p>
    <w:p w14:paraId="625C9332" w14:textId="4C81342D" w:rsidR="00F109D4" w:rsidRPr="00040B15" w:rsidRDefault="0048122A">
      <w:pPr>
        <w:rPr>
          <w:b/>
        </w:rPr>
      </w:pPr>
      <w:r w:rsidRPr="00040B15">
        <w:rPr>
          <w:b/>
        </w:rPr>
        <w:t>Application</w:t>
      </w:r>
    </w:p>
    <w:p w14:paraId="44CB762B" w14:textId="52504502" w:rsidR="0048122A" w:rsidRDefault="00040B15">
      <w:r>
        <w:t xml:space="preserve">The </w:t>
      </w:r>
      <w:r w:rsidR="006021C2">
        <w:t>a</w:t>
      </w:r>
      <w:r>
        <w:t>mend</w:t>
      </w:r>
      <w:r w:rsidR="006021C2">
        <w:t>ing</w:t>
      </w:r>
      <w:r>
        <w:t xml:space="preserve"> </w:t>
      </w:r>
      <w:r w:rsidR="006021C2">
        <w:t>g</w:t>
      </w:r>
      <w:r>
        <w:t>uidelines comm</w:t>
      </w:r>
      <w:r w:rsidR="008C325E">
        <w:t>enced and applied from the day after their registration.</w:t>
      </w:r>
    </w:p>
    <w:p w14:paraId="2274E21F" w14:textId="33E874AB" w:rsidR="00040B15" w:rsidRPr="00040B15" w:rsidRDefault="00040B15">
      <w:pPr>
        <w:rPr>
          <w:b/>
        </w:rPr>
      </w:pPr>
      <w:r w:rsidRPr="00040B15">
        <w:rPr>
          <w:b/>
        </w:rPr>
        <w:t>Conditions</w:t>
      </w:r>
    </w:p>
    <w:p w14:paraId="4E587E0C" w14:textId="2D7562DE" w:rsidR="00040B15" w:rsidRDefault="00040B15">
      <w:r>
        <w:t>The Act does not specify any conditions that need to be met bef</w:t>
      </w:r>
      <w:r w:rsidR="00422B4D">
        <w:t xml:space="preserve">ore the power to make the </w:t>
      </w:r>
      <w:r w:rsidR="006021C2">
        <w:t>a</w:t>
      </w:r>
      <w:r w:rsidR="00422B4D">
        <w:t>mend</w:t>
      </w:r>
      <w:r w:rsidR="006021C2">
        <w:t>ing</w:t>
      </w:r>
      <w:r w:rsidR="00422B4D">
        <w:t xml:space="preserve"> </w:t>
      </w:r>
      <w:r w:rsidR="006021C2">
        <w:t>g</w:t>
      </w:r>
      <w:r w:rsidR="00422B4D">
        <w:t>uidelines</w:t>
      </w:r>
      <w:r>
        <w:t xml:space="preserve"> may be exercised.</w:t>
      </w:r>
    </w:p>
    <w:p w14:paraId="283A65C8" w14:textId="77777777" w:rsidR="00510F15" w:rsidRPr="00510F15" w:rsidRDefault="00510F15" w:rsidP="00510F15">
      <w:pPr>
        <w:rPr>
          <w:b/>
        </w:rPr>
      </w:pPr>
      <w:r w:rsidRPr="00510F15">
        <w:rPr>
          <w:b/>
        </w:rPr>
        <w:t>Statement of Compatibility with Human Rights</w:t>
      </w:r>
    </w:p>
    <w:p w14:paraId="635F7243" w14:textId="77777777" w:rsidR="00510F15" w:rsidRPr="00647BB7" w:rsidRDefault="00510F15" w:rsidP="00510F15">
      <w:pPr>
        <w:spacing w:before="240"/>
        <w:jc w:val="center"/>
        <w:rPr>
          <w:i/>
        </w:rPr>
      </w:pPr>
      <w:r w:rsidRPr="00647BB7">
        <w:rPr>
          <w:i/>
        </w:rPr>
        <w:t>Prepared in accordance with Part 3 of the Human Rights (Parliamentary Scrutiny) Act 2011</w:t>
      </w:r>
    </w:p>
    <w:p w14:paraId="5FAF4E8D" w14:textId="31666029" w:rsidR="00510F15" w:rsidRPr="00510F15" w:rsidRDefault="008A41AD" w:rsidP="00510F15">
      <w:pPr>
        <w:jc w:val="center"/>
        <w:rPr>
          <w:b/>
        </w:rPr>
      </w:pPr>
      <w:r w:rsidRPr="008A41AD">
        <w:rPr>
          <w:b/>
        </w:rPr>
        <w:t>Private Ancillary Fund and Public Ancillary Fund Amendment Guidelines 2016</w:t>
      </w:r>
    </w:p>
    <w:p w14:paraId="63656BBC" w14:textId="77777777" w:rsidR="00510F15" w:rsidRPr="00647BB7" w:rsidRDefault="00510F15" w:rsidP="00510F15">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4E2F672" w14:textId="77777777" w:rsidR="00510F15" w:rsidRPr="00510F15" w:rsidRDefault="00510F15" w:rsidP="00510F15">
      <w:pPr>
        <w:rPr>
          <w:b/>
        </w:rPr>
      </w:pPr>
      <w:r w:rsidRPr="00510F15">
        <w:rPr>
          <w:b/>
        </w:rPr>
        <w:t>Overview of the Legislative Instrument</w:t>
      </w:r>
    </w:p>
    <w:p w14:paraId="52154383" w14:textId="6949DA58" w:rsidR="00510F15" w:rsidRPr="00647BB7" w:rsidRDefault="00510F15" w:rsidP="00510F15">
      <w:pPr>
        <w:spacing w:before="240"/>
      </w:pPr>
      <w:r w:rsidRPr="0073626D">
        <w:t xml:space="preserve">The </w:t>
      </w:r>
      <w:r w:rsidRPr="0073626D">
        <w:rPr>
          <w:i/>
        </w:rPr>
        <w:t>Private Ancillary Fund and Public Ancillary Fund Amendment Guidelines 201</w:t>
      </w:r>
      <w:r>
        <w:rPr>
          <w:i/>
        </w:rPr>
        <w:t>6</w:t>
      </w:r>
      <w:r>
        <w:t xml:space="preserve"> (amending guidelines) amend the </w:t>
      </w:r>
      <w:r w:rsidRPr="00C97701">
        <w:rPr>
          <w:i/>
        </w:rPr>
        <w:t>Private Ancillary Fund Guidelines 2009</w:t>
      </w:r>
      <w:r>
        <w:t xml:space="preserve"> and the </w:t>
      </w:r>
      <w:r w:rsidRPr="00C97701">
        <w:rPr>
          <w:i/>
        </w:rPr>
        <w:t>Public Ancillary Fund Guidelines 2011</w:t>
      </w:r>
      <w:r>
        <w:t xml:space="preserve"> (the Guidelines) to make a range of improvements, such as reflecting the role of the Australian Charities and Not</w:t>
      </w:r>
      <w:r>
        <w:noBreakHyphen/>
        <w:t>for</w:t>
      </w:r>
      <w:r>
        <w:noBreakHyphen/>
        <w:t>profits Commission which did not exist at the time the Guidelines were first made; and reducin</w:t>
      </w:r>
      <w:r w:rsidR="00B23DC6">
        <w:t>g red tape.</w:t>
      </w:r>
    </w:p>
    <w:p w14:paraId="14CBD91A" w14:textId="77777777" w:rsidR="00510F15" w:rsidRPr="00510F15" w:rsidRDefault="00510F15" w:rsidP="00510F15">
      <w:pPr>
        <w:rPr>
          <w:b/>
        </w:rPr>
      </w:pPr>
      <w:r w:rsidRPr="00510F15">
        <w:rPr>
          <w:b/>
        </w:rPr>
        <w:t>Human rights implications</w:t>
      </w:r>
    </w:p>
    <w:p w14:paraId="6B546C1F" w14:textId="67D209B5" w:rsidR="00510F15" w:rsidRPr="00647BB7" w:rsidRDefault="00510F15" w:rsidP="00510F15">
      <w:pPr>
        <w:spacing w:before="240"/>
      </w:pPr>
      <w:r w:rsidRPr="00647BB7">
        <w:t>This Legislative Instrument does not engage any of th</w:t>
      </w:r>
      <w:r>
        <w:t>e applicable rights or freedoms</w:t>
      </w:r>
      <w:r w:rsidR="006A2DE2">
        <w:t xml:space="preserve"> because it relates to slight updates to rules </w:t>
      </w:r>
      <w:r w:rsidR="00117A38">
        <w:t>for specific types of philanthropic funds</w:t>
      </w:r>
      <w:r w:rsidR="006A2DE2">
        <w:t xml:space="preserve"> rather than affecting the rights or freedoms of individuals. </w:t>
      </w:r>
    </w:p>
    <w:p w14:paraId="20C4CB83" w14:textId="77777777" w:rsidR="00510F15" w:rsidRPr="00510F15" w:rsidRDefault="00510F15" w:rsidP="00510F15">
      <w:pPr>
        <w:rPr>
          <w:b/>
        </w:rPr>
      </w:pPr>
      <w:r w:rsidRPr="00510F15">
        <w:rPr>
          <w:b/>
        </w:rPr>
        <w:t>Conclusion</w:t>
      </w:r>
    </w:p>
    <w:p w14:paraId="7016784A" w14:textId="769647D1" w:rsidR="00040B15" w:rsidRDefault="00510F15" w:rsidP="006A2DE2">
      <w:pPr>
        <w:spacing w:before="240"/>
      </w:pPr>
      <w:r w:rsidRPr="00647BB7">
        <w:t>This Legislative Instrument is compatible with human rights as it does not raise any human rights issues.</w:t>
      </w:r>
    </w:p>
    <w:p w14:paraId="239F7163" w14:textId="77777777" w:rsidR="00040B15" w:rsidRDefault="00040B15">
      <w:pPr>
        <w:spacing w:before="0" w:after="0"/>
      </w:pPr>
      <w:r>
        <w:br w:type="page"/>
      </w:r>
    </w:p>
    <w:p w14:paraId="6DCC87DF" w14:textId="090593BC" w:rsidR="00040B15" w:rsidRPr="00CF1094" w:rsidRDefault="00040B15" w:rsidP="00040B15">
      <w:pPr>
        <w:jc w:val="right"/>
        <w:rPr>
          <w:b/>
          <w:u w:val="single"/>
        </w:rPr>
      </w:pPr>
      <w:r w:rsidRPr="00CF1094">
        <w:rPr>
          <w:b/>
          <w:u w:val="single"/>
        </w:rPr>
        <w:lastRenderedPageBreak/>
        <w:t>ATTACHMENT A</w:t>
      </w:r>
    </w:p>
    <w:p w14:paraId="0FED6EAB" w14:textId="527781CD" w:rsidR="00040B15" w:rsidRDefault="00040B15" w:rsidP="00040B15">
      <w:pPr>
        <w:rPr>
          <w:b/>
          <w:i/>
          <w:u w:val="single"/>
        </w:rPr>
      </w:pPr>
      <w:r w:rsidRPr="00040B15">
        <w:rPr>
          <w:b/>
          <w:u w:val="single"/>
        </w:rPr>
        <w:t xml:space="preserve">Details of the </w:t>
      </w:r>
      <w:r w:rsidRPr="00040B15">
        <w:rPr>
          <w:b/>
          <w:i/>
          <w:u w:val="single"/>
        </w:rPr>
        <w:t>Private Ancillary Fund and Public Ancillary Fund Amendment Guidelines 201</w:t>
      </w:r>
      <w:r w:rsidR="008C09EB">
        <w:rPr>
          <w:b/>
          <w:i/>
          <w:u w:val="single"/>
        </w:rPr>
        <w:t>6</w:t>
      </w:r>
    </w:p>
    <w:p w14:paraId="561DAE3B" w14:textId="3B68B623" w:rsidR="00CD1CF9" w:rsidRPr="00304848" w:rsidRDefault="00CD1CF9" w:rsidP="007B0356">
      <w:pPr>
        <w:rPr>
          <w:b/>
        </w:rPr>
      </w:pPr>
      <w:r w:rsidRPr="00304848">
        <w:rPr>
          <w:b/>
        </w:rPr>
        <w:t>Section 1</w:t>
      </w:r>
    </w:p>
    <w:p w14:paraId="49D9B281" w14:textId="7FF481BE" w:rsidR="00CD1CF9" w:rsidRDefault="00CD1CF9" w:rsidP="007B0356">
      <w:r>
        <w:t xml:space="preserve">The amending instrument is named the </w:t>
      </w:r>
      <w:r w:rsidRPr="00CD1CF9">
        <w:rPr>
          <w:i/>
        </w:rPr>
        <w:t>Private Ancillary Fund and Public Ancillar</w:t>
      </w:r>
      <w:r w:rsidR="008C09EB">
        <w:rPr>
          <w:i/>
        </w:rPr>
        <w:t>y Fund Amendment Guidelines 2016</w:t>
      </w:r>
      <w:r>
        <w:rPr>
          <w:i/>
        </w:rPr>
        <w:t xml:space="preserve"> </w:t>
      </w:r>
      <w:r w:rsidRPr="00CD1CF9">
        <w:t>(</w:t>
      </w:r>
      <w:r>
        <w:t xml:space="preserve">the </w:t>
      </w:r>
      <w:r w:rsidR="006021C2">
        <w:t>amending guidelines</w:t>
      </w:r>
      <w:r>
        <w:t>).</w:t>
      </w:r>
    </w:p>
    <w:p w14:paraId="3389FDF8" w14:textId="4FBECB49" w:rsidR="00CD1CF9" w:rsidRPr="00304848" w:rsidRDefault="00CD1CF9" w:rsidP="007B0356">
      <w:pPr>
        <w:rPr>
          <w:b/>
        </w:rPr>
      </w:pPr>
      <w:r w:rsidRPr="00304848">
        <w:rPr>
          <w:b/>
        </w:rPr>
        <w:t>Section 2</w:t>
      </w:r>
    </w:p>
    <w:p w14:paraId="10C77ACD" w14:textId="64393927" w:rsidR="00CD1CF9" w:rsidRDefault="00CD1CF9" w:rsidP="007B0356">
      <w:r>
        <w:t xml:space="preserve">The </w:t>
      </w:r>
      <w:r w:rsidR="006021C2">
        <w:t xml:space="preserve">amending guidelines </w:t>
      </w:r>
      <w:r>
        <w:t xml:space="preserve">commence </w:t>
      </w:r>
      <w:r w:rsidR="008C325E">
        <w:t>the day after they are registered</w:t>
      </w:r>
      <w:r>
        <w:t>.</w:t>
      </w:r>
    </w:p>
    <w:p w14:paraId="27A58D71" w14:textId="59E63B94" w:rsidR="00CD1CF9" w:rsidRPr="00304848" w:rsidRDefault="00CD1CF9" w:rsidP="007B0356">
      <w:pPr>
        <w:rPr>
          <w:b/>
        </w:rPr>
      </w:pPr>
      <w:r w:rsidRPr="00304848">
        <w:rPr>
          <w:b/>
        </w:rPr>
        <w:t>Section</w:t>
      </w:r>
      <w:r w:rsidR="008E3291">
        <w:rPr>
          <w:b/>
        </w:rPr>
        <w:t xml:space="preserve"> </w:t>
      </w:r>
      <w:r w:rsidRPr="00304848">
        <w:rPr>
          <w:b/>
        </w:rPr>
        <w:t>3</w:t>
      </w:r>
    </w:p>
    <w:p w14:paraId="69B4C850" w14:textId="250EEED0" w:rsidR="00CD1CF9" w:rsidRPr="00CD1CF9" w:rsidRDefault="00CD1CF9" w:rsidP="007B0356">
      <w:r>
        <w:t>The amend</w:t>
      </w:r>
      <w:r w:rsidR="006021C2">
        <w:t>ing</w:t>
      </w:r>
      <w:r>
        <w:t xml:space="preserve"> guidelines are made under sections 426-103 and 426-110 in Schedule 1 to the </w:t>
      </w:r>
      <w:r w:rsidRPr="00CD1CF9">
        <w:rPr>
          <w:i/>
        </w:rPr>
        <w:t>Taxation Administration Act 1953</w:t>
      </w:r>
      <w:r>
        <w:t>.</w:t>
      </w:r>
    </w:p>
    <w:p w14:paraId="3B203CC6" w14:textId="16AB7CE8" w:rsidR="00CD1CF9" w:rsidRPr="00304848" w:rsidRDefault="00CD1CF9" w:rsidP="007B0356">
      <w:pPr>
        <w:rPr>
          <w:b/>
        </w:rPr>
      </w:pPr>
      <w:r w:rsidRPr="00304848">
        <w:rPr>
          <w:b/>
        </w:rPr>
        <w:t>Section 4</w:t>
      </w:r>
    </w:p>
    <w:p w14:paraId="6C580A42" w14:textId="59BBF5C3" w:rsidR="00CD1CF9" w:rsidRDefault="00CD1CF9" w:rsidP="007B0356">
      <w:r>
        <w:t xml:space="preserve">The amending guidelines make various changes to the </w:t>
      </w:r>
      <w:r w:rsidRPr="00CD1CF9">
        <w:rPr>
          <w:i/>
        </w:rPr>
        <w:t>Private Ancillary Fund Guidelines 2009</w:t>
      </w:r>
      <w:r>
        <w:t xml:space="preserve"> and </w:t>
      </w:r>
      <w:r w:rsidRPr="00CD1CF9">
        <w:rPr>
          <w:i/>
        </w:rPr>
        <w:t>Public Ancillary Fund Guidelines 2011</w:t>
      </w:r>
      <w:r>
        <w:t xml:space="preserve"> as set out in the Schedules to the amending guidelines.</w:t>
      </w:r>
    </w:p>
    <w:p w14:paraId="10D7B780" w14:textId="745DA225" w:rsidR="00CD1CF9" w:rsidRPr="00304848" w:rsidRDefault="00CD1CF9" w:rsidP="007B0356">
      <w:pPr>
        <w:rPr>
          <w:b/>
        </w:rPr>
      </w:pPr>
      <w:r w:rsidRPr="00304848">
        <w:rPr>
          <w:b/>
        </w:rPr>
        <w:t>Schedule 1</w:t>
      </w:r>
      <w:r w:rsidR="00304848">
        <w:rPr>
          <w:b/>
        </w:rPr>
        <w:t xml:space="preserve"> – </w:t>
      </w:r>
      <w:r w:rsidRPr="00304848">
        <w:rPr>
          <w:b/>
        </w:rPr>
        <w:t>amendments</w:t>
      </w:r>
      <w:r w:rsidR="00304848">
        <w:rPr>
          <w:b/>
        </w:rPr>
        <w:t xml:space="preserve"> </w:t>
      </w:r>
      <w:r w:rsidRPr="00304848">
        <w:rPr>
          <w:b/>
        </w:rPr>
        <w:t xml:space="preserve">to the </w:t>
      </w:r>
      <w:r w:rsidRPr="00304848">
        <w:rPr>
          <w:b/>
          <w:i/>
        </w:rPr>
        <w:t>Private Ancillary Fund Guidelines 2009</w:t>
      </w:r>
    </w:p>
    <w:p w14:paraId="4BE3A121" w14:textId="0A280887" w:rsidR="00CD1CF9" w:rsidRPr="002A1CEC" w:rsidRDefault="002A1CEC" w:rsidP="007B0356">
      <w:r w:rsidRPr="002A1CEC">
        <w:t xml:space="preserve">The </w:t>
      </w:r>
      <w:r>
        <w:t xml:space="preserve">amending guidelines made various changes to the </w:t>
      </w:r>
      <w:r w:rsidRPr="002A1CEC">
        <w:rPr>
          <w:i/>
        </w:rPr>
        <w:t>Private Ancillary Fund Guidelines 2009</w:t>
      </w:r>
      <w:r>
        <w:rPr>
          <w:i/>
        </w:rPr>
        <w:t xml:space="preserve"> </w:t>
      </w:r>
      <w:r w:rsidRPr="002A1CEC">
        <w:t>as set out below</w:t>
      </w:r>
      <w:r>
        <w:rPr>
          <w:i/>
        </w:rPr>
        <w:t>.</w:t>
      </w:r>
    </w:p>
    <w:p w14:paraId="2D8CBCD0" w14:textId="2A04147F" w:rsidR="007B0356" w:rsidRPr="00304848" w:rsidRDefault="007B0356" w:rsidP="007B0356">
      <w:pPr>
        <w:rPr>
          <w:u w:val="single"/>
        </w:rPr>
      </w:pPr>
      <w:r w:rsidRPr="00304848">
        <w:rPr>
          <w:u w:val="single"/>
        </w:rPr>
        <w:t xml:space="preserve">Update the </w:t>
      </w:r>
      <w:r w:rsidR="002A1CEC" w:rsidRPr="00304848">
        <w:rPr>
          <w:i/>
          <w:u w:val="single"/>
        </w:rPr>
        <w:t>Private Ancillary Fund Guidelines 2009</w:t>
      </w:r>
      <w:r w:rsidRPr="00304848">
        <w:rPr>
          <w:u w:val="single"/>
        </w:rPr>
        <w:t xml:space="preserve"> to reflect improvements incorporated in the later made </w:t>
      </w:r>
      <w:r w:rsidR="002A1CEC" w:rsidRPr="00304848">
        <w:rPr>
          <w:i/>
          <w:u w:val="single"/>
        </w:rPr>
        <w:t>Public Ancillary Fund Guidelines 2011</w:t>
      </w:r>
    </w:p>
    <w:p w14:paraId="31DFFEC1" w14:textId="6670C7B0" w:rsidR="002A1CEC" w:rsidRPr="007707F3" w:rsidRDefault="007707F3" w:rsidP="007B0356">
      <w:r>
        <w:t xml:space="preserve">The amending guidelines make a number of changes to the </w:t>
      </w:r>
      <w:r w:rsidRPr="002A1CEC">
        <w:rPr>
          <w:i/>
        </w:rPr>
        <w:t>Private Ancillary Fund Guidelines 2009</w:t>
      </w:r>
      <w:r>
        <w:t xml:space="preserve"> to incorporate improvement</w:t>
      </w:r>
      <w:r w:rsidR="002E7ABE">
        <w:t>s</w:t>
      </w:r>
      <w:r>
        <w:t xml:space="preserve"> made in </w:t>
      </w:r>
      <w:r w:rsidR="002A3C5F">
        <w:t xml:space="preserve">the </w:t>
      </w:r>
      <w:r>
        <w:t xml:space="preserve">later </w:t>
      </w:r>
      <w:r w:rsidRPr="00CD1CF9">
        <w:rPr>
          <w:i/>
        </w:rPr>
        <w:t>Public Ancillary Fund Guidelines 2011</w:t>
      </w:r>
      <w:r>
        <w:t xml:space="preserve">. </w:t>
      </w:r>
      <w:r w:rsidRPr="00D149E1">
        <w:rPr>
          <w:b/>
          <w:i/>
          <w:sz w:val="20"/>
        </w:rPr>
        <w:t xml:space="preserve">[Schedule 1, items </w:t>
      </w:r>
      <w:r w:rsidR="00241094" w:rsidRPr="00D149E1">
        <w:rPr>
          <w:b/>
          <w:i/>
          <w:sz w:val="20"/>
        </w:rPr>
        <w:t xml:space="preserve">4, </w:t>
      </w:r>
      <w:r w:rsidR="005E1561" w:rsidRPr="00D149E1">
        <w:rPr>
          <w:b/>
          <w:i/>
          <w:sz w:val="20"/>
        </w:rPr>
        <w:t>1</w:t>
      </w:r>
      <w:r w:rsidR="002144D4" w:rsidRPr="00473F3A">
        <w:rPr>
          <w:b/>
          <w:i/>
          <w:sz w:val="20"/>
        </w:rPr>
        <w:t>1</w:t>
      </w:r>
      <w:r w:rsidR="005E1561" w:rsidRPr="00D149E1">
        <w:rPr>
          <w:b/>
          <w:i/>
          <w:sz w:val="20"/>
        </w:rPr>
        <w:t xml:space="preserve">, </w:t>
      </w:r>
      <w:r w:rsidR="002144D4" w:rsidRPr="00473F3A">
        <w:rPr>
          <w:b/>
          <w:i/>
          <w:sz w:val="20"/>
        </w:rPr>
        <w:t>31</w:t>
      </w:r>
      <w:r w:rsidR="002144D4" w:rsidRPr="00465F4D">
        <w:rPr>
          <w:b/>
          <w:i/>
          <w:sz w:val="20"/>
        </w:rPr>
        <w:t xml:space="preserve"> </w:t>
      </w:r>
      <w:r w:rsidR="005E1561" w:rsidRPr="00D149E1">
        <w:rPr>
          <w:b/>
          <w:i/>
          <w:sz w:val="20"/>
        </w:rPr>
        <w:t xml:space="preserve">to </w:t>
      </w:r>
      <w:r w:rsidR="002144D4" w:rsidRPr="00473F3A">
        <w:rPr>
          <w:b/>
          <w:i/>
          <w:sz w:val="20"/>
        </w:rPr>
        <w:t>34</w:t>
      </w:r>
      <w:r w:rsidR="005E1561" w:rsidRPr="00D149E1">
        <w:rPr>
          <w:b/>
          <w:i/>
          <w:sz w:val="20"/>
        </w:rPr>
        <w:t xml:space="preserve">, </w:t>
      </w:r>
      <w:r w:rsidR="0091686F" w:rsidRPr="00D149E1">
        <w:rPr>
          <w:b/>
          <w:i/>
          <w:sz w:val="20"/>
        </w:rPr>
        <w:t>g</w:t>
      </w:r>
      <w:r w:rsidR="005E1561" w:rsidRPr="00D149E1">
        <w:rPr>
          <w:b/>
          <w:i/>
          <w:sz w:val="20"/>
        </w:rPr>
        <w:t>uidelines 14.2, 19.3(example</w:t>
      </w:r>
      <w:r w:rsidR="00241094" w:rsidRPr="00D149E1">
        <w:rPr>
          <w:b/>
          <w:i/>
          <w:sz w:val="20"/>
        </w:rPr>
        <w:t>), 37.1, 40.1A, 42 and 43(note)]</w:t>
      </w:r>
    </w:p>
    <w:p w14:paraId="0641233D" w14:textId="076A125D" w:rsidR="005E1561" w:rsidRDefault="00241094" w:rsidP="007B0356">
      <w:r>
        <w:t>The changes predominantly provide additional guidance on the operation of particular Guidelines.  The more substantive changes</w:t>
      </w:r>
      <w:r w:rsidR="005E1561">
        <w:t>:</w:t>
      </w:r>
    </w:p>
    <w:p w14:paraId="0BC9FD2D" w14:textId="5186695B" w:rsidR="005E1561" w:rsidRDefault="005E1561" w:rsidP="005E1561">
      <w:pPr>
        <w:pStyle w:val="Bullet0"/>
      </w:pPr>
      <w:r>
        <w:t xml:space="preserve">allow </w:t>
      </w:r>
      <w:r w:rsidR="00241094">
        <w:t>a greater number of individuals to qualify as responsible entities</w:t>
      </w:r>
      <w:r>
        <w:t>;</w:t>
      </w:r>
    </w:p>
    <w:p w14:paraId="4F24795F" w14:textId="5C57396E" w:rsidR="005E1561" w:rsidRDefault="00241094" w:rsidP="005E1561">
      <w:pPr>
        <w:pStyle w:val="Bullet0"/>
      </w:pPr>
      <w:r>
        <w:t>provide exceptions for Public Trustees better reflecting their statutory obligations and limitations under the various Public Trustee Acts of the states and territories</w:t>
      </w:r>
      <w:r w:rsidR="005E1561">
        <w:t>;</w:t>
      </w:r>
      <w:r w:rsidR="00816C21">
        <w:t xml:space="preserve"> and</w:t>
      </w:r>
    </w:p>
    <w:p w14:paraId="211F1460" w14:textId="4CD84666" w:rsidR="007707F3" w:rsidRDefault="002A3C5F" w:rsidP="005E1561">
      <w:pPr>
        <w:pStyle w:val="Bullet0"/>
      </w:pPr>
      <w:proofErr w:type="gramStart"/>
      <w:r>
        <w:t>incorporat</w:t>
      </w:r>
      <w:r w:rsidR="005E1561">
        <w:t>e</w:t>
      </w:r>
      <w:proofErr w:type="gramEnd"/>
      <w:r w:rsidR="005E1561">
        <w:t xml:space="preserve"> </w:t>
      </w:r>
      <w:r>
        <w:t>an example on the treatment of social impact investments for the purposes of calculating annual distributions.</w:t>
      </w:r>
    </w:p>
    <w:p w14:paraId="6D3F182A" w14:textId="4DE89035" w:rsidR="00241094" w:rsidRPr="00241094" w:rsidRDefault="00241094" w:rsidP="007B0356">
      <w:r>
        <w:t xml:space="preserve">Further details on these </w:t>
      </w:r>
      <w:r w:rsidR="005E1561">
        <w:t>guidelines</w:t>
      </w:r>
      <w:r>
        <w:t xml:space="preserve"> can be found in the explanatory statement to the </w:t>
      </w:r>
      <w:r w:rsidRPr="00CD1CF9">
        <w:rPr>
          <w:i/>
        </w:rPr>
        <w:t>Public Ancillary Fund Guidelines 2011</w:t>
      </w:r>
      <w:r>
        <w:t xml:space="preserve"> and </w:t>
      </w:r>
      <w:r w:rsidR="005A0D40">
        <w:t>related guidance on</w:t>
      </w:r>
      <w:r>
        <w:t xml:space="preserve"> the Australian Taxation Office </w:t>
      </w:r>
      <w:r w:rsidR="00B844C8">
        <w:t xml:space="preserve">(ATO) </w:t>
      </w:r>
      <w:r>
        <w:t>website.</w:t>
      </w:r>
    </w:p>
    <w:p w14:paraId="0B34456B" w14:textId="5F850426" w:rsidR="007B0356" w:rsidRPr="00304848" w:rsidRDefault="002A1CEC" w:rsidP="00FC0C8F">
      <w:pPr>
        <w:keepNext/>
        <w:keepLines/>
        <w:rPr>
          <w:u w:val="single"/>
        </w:rPr>
      </w:pPr>
      <w:r w:rsidRPr="00304848">
        <w:rPr>
          <w:u w:val="single"/>
        </w:rPr>
        <w:lastRenderedPageBreak/>
        <w:t>I</w:t>
      </w:r>
      <w:r w:rsidR="007B0356" w:rsidRPr="00304848">
        <w:rPr>
          <w:u w:val="single"/>
        </w:rPr>
        <w:t xml:space="preserve">ntroduce portability into the </w:t>
      </w:r>
      <w:r w:rsidRPr="00304848">
        <w:rPr>
          <w:i/>
          <w:u w:val="single"/>
        </w:rPr>
        <w:t>Private Ancillary Fund Guidelines 2009</w:t>
      </w:r>
    </w:p>
    <w:p w14:paraId="2EC73052" w14:textId="3455B370" w:rsidR="007B0356" w:rsidRDefault="00E852DF" w:rsidP="00FC0C8F">
      <w:pPr>
        <w:keepNext/>
        <w:keepLines/>
      </w:pPr>
      <w:r w:rsidRPr="00E852DF">
        <w:t xml:space="preserve">The amending guidelines introduce consistent treatment for </w:t>
      </w:r>
      <w:r>
        <w:t>private ancillary funds</w:t>
      </w:r>
      <w:r w:rsidRPr="00E852DF">
        <w:t xml:space="preserve"> and public ancillary funds. </w:t>
      </w:r>
      <w:r w:rsidR="00D81D8F">
        <w:t>This</w:t>
      </w:r>
      <w:r w:rsidRPr="00E852DF">
        <w:t xml:space="preserve"> provide</w:t>
      </w:r>
      <w:r>
        <w:t>s</w:t>
      </w:r>
      <w:r w:rsidRPr="00E852DF">
        <w:t xml:space="preserve"> </w:t>
      </w:r>
      <w:r>
        <w:t>private ancillary funds</w:t>
      </w:r>
      <w:r w:rsidRPr="00E852DF">
        <w:t xml:space="preserve">, which </w:t>
      </w:r>
      <w:proofErr w:type="gramStart"/>
      <w:r w:rsidRPr="00E852DF">
        <w:t xml:space="preserve">are </w:t>
      </w:r>
      <w:r w:rsidR="002668C6">
        <w:t xml:space="preserve">private </w:t>
      </w:r>
      <w:r w:rsidRPr="00E852DF">
        <w:t>funds</w:t>
      </w:r>
      <w:proofErr w:type="gramEnd"/>
      <w:r w:rsidRPr="00E852DF">
        <w:t xml:space="preserve"> set up to provide money or property to deductible gift recipients, with the flexibility to transfer their net assets to other ancillary funds</w:t>
      </w:r>
      <w:r w:rsidR="008C7DBB">
        <w:t xml:space="preserve"> to facilitate the portability of funds between trustees and managers</w:t>
      </w:r>
      <w:r w:rsidRPr="00E852DF">
        <w:t>.  This option is already available to public ancillary funds.</w:t>
      </w:r>
      <w:r>
        <w:t xml:space="preserve"> </w:t>
      </w:r>
      <w:r w:rsidRPr="00D149E1">
        <w:rPr>
          <w:b/>
          <w:i/>
          <w:sz w:val="20"/>
        </w:rPr>
        <w:t xml:space="preserve">[Schedule 1, item </w:t>
      </w:r>
      <w:r w:rsidR="00807E2F" w:rsidRPr="00473F3A">
        <w:rPr>
          <w:b/>
          <w:i/>
          <w:sz w:val="20"/>
        </w:rPr>
        <w:t>35</w:t>
      </w:r>
      <w:r w:rsidRPr="00D149E1">
        <w:rPr>
          <w:b/>
          <w:i/>
          <w:sz w:val="20"/>
        </w:rPr>
        <w:t xml:space="preserve">, guideline </w:t>
      </w:r>
      <w:r w:rsidR="0013352B" w:rsidRPr="00D149E1">
        <w:rPr>
          <w:b/>
          <w:i/>
          <w:sz w:val="20"/>
        </w:rPr>
        <w:t>51A</w:t>
      </w:r>
      <w:r w:rsidRPr="00D149E1">
        <w:rPr>
          <w:b/>
          <w:i/>
          <w:sz w:val="20"/>
        </w:rPr>
        <w:t>]</w:t>
      </w:r>
    </w:p>
    <w:p w14:paraId="2F0A473A" w14:textId="56D1A315" w:rsidR="00E852DF" w:rsidRDefault="00E852DF" w:rsidP="007B0356">
      <w:r>
        <w:t>With the agreement of the Commissioner of Taxation</w:t>
      </w:r>
      <w:r w:rsidR="00816C21">
        <w:t xml:space="preserve"> (Commissioner)</w:t>
      </w:r>
      <w:r>
        <w:t>, a private ancillary fund is permitted to transfer all its assets to another ancillary fund.  This allows for the portability of funds between trustees, introducing flexibility in the management of funds and greater contestability with regard to fees and charges</w:t>
      </w:r>
      <w:r w:rsidR="00D81D8F">
        <w:t>.</w:t>
      </w:r>
    </w:p>
    <w:p w14:paraId="2A959414" w14:textId="7B49E79D" w:rsidR="007B0356" w:rsidRDefault="00D81D8F" w:rsidP="007B0356">
      <w:r>
        <w:t xml:space="preserve">A fund is eligible for portability if, with the agreement of the Commissioner, the </w:t>
      </w:r>
      <w:r w:rsidR="00E852DF">
        <w:t>fund transfer</w:t>
      </w:r>
      <w:r>
        <w:t>s</w:t>
      </w:r>
      <w:r w:rsidR="00E852DF">
        <w:t xml:space="preserve"> all its net assets to another ancillary fund, compl</w:t>
      </w:r>
      <w:r>
        <w:t>ies</w:t>
      </w:r>
      <w:r w:rsidR="00E852DF">
        <w:t xml:space="preserve"> with the minimum annual distribution rules for the year in which the transfer occurs, and </w:t>
      </w:r>
      <w:r w:rsidR="004C0192">
        <w:t xml:space="preserve">any of the </w:t>
      </w:r>
      <w:r>
        <w:t xml:space="preserve">assets of the fund have not been </w:t>
      </w:r>
      <w:r w:rsidR="004C0192">
        <w:t xml:space="preserve">received from </w:t>
      </w:r>
      <w:r>
        <w:t xml:space="preserve">another ancillary fund during the two </w:t>
      </w:r>
      <w:r w:rsidR="004C0192">
        <w:t xml:space="preserve">previous </w:t>
      </w:r>
      <w:r>
        <w:t xml:space="preserve">financial years. </w:t>
      </w:r>
    </w:p>
    <w:p w14:paraId="14D8533E" w14:textId="0E10CAA6" w:rsidR="007B0356" w:rsidRPr="00304848" w:rsidRDefault="002A1CEC" w:rsidP="007B0356">
      <w:pPr>
        <w:rPr>
          <w:u w:val="single"/>
        </w:rPr>
      </w:pPr>
      <w:r w:rsidRPr="00304848">
        <w:rPr>
          <w:u w:val="single"/>
        </w:rPr>
        <w:t>Update the</w:t>
      </w:r>
      <w:r w:rsidR="007B0356" w:rsidRPr="00304848">
        <w:rPr>
          <w:u w:val="single"/>
        </w:rPr>
        <w:t xml:space="preserve"> Guidelines to reflect the introduction of the </w:t>
      </w:r>
      <w:r w:rsidR="007B0356" w:rsidRPr="00304848">
        <w:rPr>
          <w:i/>
          <w:u w:val="single"/>
        </w:rPr>
        <w:t>Australian Charities</w:t>
      </w:r>
      <w:r w:rsidRPr="00304848">
        <w:rPr>
          <w:i/>
          <w:u w:val="single"/>
        </w:rPr>
        <w:t xml:space="preserve"> and Not</w:t>
      </w:r>
      <w:r w:rsidR="00E852DF" w:rsidRPr="00304848">
        <w:rPr>
          <w:i/>
          <w:u w:val="single"/>
        </w:rPr>
        <w:noBreakHyphen/>
      </w:r>
      <w:r w:rsidRPr="00304848">
        <w:rPr>
          <w:i/>
          <w:u w:val="single"/>
        </w:rPr>
        <w:t>for-profits Commission</w:t>
      </w:r>
      <w:r w:rsidR="00D0085A" w:rsidRPr="00304848">
        <w:rPr>
          <w:i/>
          <w:u w:val="single"/>
        </w:rPr>
        <w:t xml:space="preserve"> </w:t>
      </w:r>
      <w:r w:rsidR="00D0085A" w:rsidRPr="002668C6">
        <w:rPr>
          <w:u w:val="single"/>
        </w:rPr>
        <w:t>and the</w:t>
      </w:r>
      <w:r w:rsidR="00D0085A" w:rsidRPr="00304848">
        <w:rPr>
          <w:i/>
          <w:u w:val="single"/>
        </w:rPr>
        <w:t xml:space="preserve"> Charities Act 2013</w:t>
      </w:r>
    </w:p>
    <w:p w14:paraId="475E9862" w14:textId="0722C8C3" w:rsidR="007B0356" w:rsidRDefault="00D0085A" w:rsidP="007B0356">
      <w:r>
        <w:t xml:space="preserve">Since the introduction of the </w:t>
      </w:r>
      <w:r w:rsidRPr="002A1CEC">
        <w:rPr>
          <w:i/>
        </w:rPr>
        <w:t>Private Ancillary Fund Guidelines 2009</w:t>
      </w:r>
      <w:r>
        <w:t xml:space="preserve">, the regulatory framework applying to private ancillary </w:t>
      </w:r>
      <w:r w:rsidR="009E6A27">
        <w:t xml:space="preserve">funds has changed with the introduction of the Australian Charities and Not-for-profits Commission </w:t>
      </w:r>
      <w:r w:rsidR="00B844C8">
        <w:t xml:space="preserve">(ACNC) </w:t>
      </w:r>
      <w:r w:rsidR="009E6A27">
        <w:t xml:space="preserve">and the </w:t>
      </w:r>
      <w:r w:rsidR="009E6A27" w:rsidRPr="009E6A27">
        <w:rPr>
          <w:i/>
        </w:rPr>
        <w:t>Charities Act 2013</w:t>
      </w:r>
      <w:r w:rsidR="009E6A27">
        <w:t>.</w:t>
      </w:r>
    </w:p>
    <w:p w14:paraId="4536CFB6" w14:textId="1C8D22F9" w:rsidR="009E6A27" w:rsidRDefault="009E6A27" w:rsidP="007B0356">
      <w:r>
        <w:t xml:space="preserve">Many private </w:t>
      </w:r>
      <w:r w:rsidR="002A3C5F">
        <w:t xml:space="preserve">ancillary funds </w:t>
      </w:r>
      <w:r w:rsidR="004C42BF">
        <w:t xml:space="preserve">will be </w:t>
      </w:r>
      <w:r w:rsidR="002A3C5F">
        <w:t>regist</w:t>
      </w:r>
      <w:r>
        <w:t>e</w:t>
      </w:r>
      <w:r w:rsidR="002A3C5F">
        <w:t>re</w:t>
      </w:r>
      <w:r>
        <w:t xml:space="preserve">d charities by the </w:t>
      </w:r>
      <w:r w:rsidR="00B844C8">
        <w:t>ACNC</w:t>
      </w:r>
      <w:r>
        <w:t xml:space="preserve"> (as affected by the </w:t>
      </w:r>
      <w:r w:rsidRPr="009E6A27">
        <w:rPr>
          <w:i/>
        </w:rPr>
        <w:t>Charities Act 2013</w:t>
      </w:r>
      <w:r>
        <w:t>).</w:t>
      </w:r>
    </w:p>
    <w:p w14:paraId="1130B3BC" w14:textId="2649D693" w:rsidR="009E6A27" w:rsidRDefault="009E6A27" w:rsidP="007B0356">
      <w:r>
        <w:t>The amending guidelines have made some minor changes to reflect the new regulatory framework</w:t>
      </w:r>
      <w:r w:rsidR="003D36F1">
        <w:t xml:space="preserve"> in which ancillary funds operate</w:t>
      </w:r>
      <w:r>
        <w:t xml:space="preserve">. </w:t>
      </w:r>
      <w:r w:rsidRPr="00D149E1">
        <w:rPr>
          <w:b/>
          <w:i/>
          <w:sz w:val="20"/>
        </w:rPr>
        <w:t>[Schedule 1, items 1 and 2, guideline 8]</w:t>
      </w:r>
    </w:p>
    <w:p w14:paraId="49FE2A3E" w14:textId="2216C3C0" w:rsidR="007B0356" w:rsidRPr="00304848" w:rsidRDefault="00093479" w:rsidP="007B0356">
      <w:pPr>
        <w:rPr>
          <w:u w:val="single"/>
        </w:rPr>
      </w:pPr>
      <w:r w:rsidRPr="00304848">
        <w:rPr>
          <w:u w:val="single"/>
        </w:rPr>
        <w:t>Reduce</w:t>
      </w:r>
      <w:r w:rsidR="007B0356" w:rsidRPr="00304848">
        <w:rPr>
          <w:u w:val="single"/>
        </w:rPr>
        <w:t xml:space="preserve"> red tape</w:t>
      </w:r>
    </w:p>
    <w:p w14:paraId="1308CEA2" w14:textId="00A94E7B" w:rsidR="007B0356" w:rsidRDefault="00F36A63" w:rsidP="007B0356">
      <w:r>
        <w:t xml:space="preserve">The amending guidelines introduced a number of changes to reduce red tape </w:t>
      </w:r>
      <w:r w:rsidR="002A3C5F">
        <w:t>for</w:t>
      </w:r>
      <w:r>
        <w:t xml:space="preserve"> private ancillary funds.</w:t>
      </w:r>
    </w:p>
    <w:p w14:paraId="7740B991" w14:textId="5DACC045" w:rsidR="00F36A63" w:rsidRDefault="00F36A63" w:rsidP="007B0356">
      <w:r>
        <w:t xml:space="preserve">Firstly, the amending guidelines ensure that materials provided to the </w:t>
      </w:r>
      <w:r w:rsidR="00B844C8">
        <w:t>ACNC</w:t>
      </w:r>
      <w:r w:rsidR="002A3C5F">
        <w:t xml:space="preserve"> do</w:t>
      </w:r>
      <w:r>
        <w:t xml:space="preserve"> not also have to be provided to the Australian Taxation Office</w:t>
      </w:r>
      <w:r w:rsidR="00B844C8">
        <w:t xml:space="preserve"> (ATO)</w:t>
      </w:r>
      <w:r>
        <w:t xml:space="preserve">. </w:t>
      </w:r>
      <w:r w:rsidRPr="00D149E1">
        <w:rPr>
          <w:b/>
          <w:i/>
          <w:sz w:val="20"/>
        </w:rPr>
        <w:t xml:space="preserve">[Schedule 1, items 5, </w:t>
      </w:r>
      <w:r w:rsidR="005806AA" w:rsidRPr="00D149E1">
        <w:rPr>
          <w:b/>
          <w:i/>
          <w:sz w:val="20"/>
        </w:rPr>
        <w:t>1</w:t>
      </w:r>
      <w:r w:rsidR="00807E2F" w:rsidRPr="00473F3A">
        <w:rPr>
          <w:b/>
          <w:i/>
          <w:sz w:val="20"/>
        </w:rPr>
        <w:t>9</w:t>
      </w:r>
      <w:r w:rsidR="0091686F" w:rsidRPr="00D149E1">
        <w:rPr>
          <w:b/>
          <w:i/>
          <w:sz w:val="20"/>
        </w:rPr>
        <w:t xml:space="preserve"> and</w:t>
      </w:r>
      <w:r w:rsidRPr="00D149E1">
        <w:rPr>
          <w:b/>
          <w:i/>
          <w:sz w:val="20"/>
        </w:rPr>
        <w:t xml:space="preserve"> </w:t>
      </w:r>
      <w:r w:rsidR="00807E2F" w:rsidRPr="00D149E1">
        <w:rPr>
          <w:b/>
          <w:i/>
          <w:sz w:val="20"/>
        </w:rPr>
        <w:t>25</w:t>
      </w:r>
      <w:r w:rsidR="0091686F" w:rsidRPr="00D149E1">
        <w:rPr>
          <w:b/>
          <w:i/>
          <w:sz w:val="20"/>
        </w:rPr>
        <w:t xml:space="preserve">, </w:t>
      </w:r>
      <w:r w:rsidRPr="00D149E1">
        <w:rPr>
          <w:b/>
          <w:i/>
          <w:sz w:val="20"/>
        </w:rPr>
        <w:t>guidelines 17.1, 27 and 29]</w:t>
      </w:r>
    </w:p>
    <w:p w14:paraId="13303466" w14:textId="7A7511AD" w:rsidR="00F36A63" w:rsidRDefault="00F36A63" w:rsidP="007B0356">
      <w:r>
        <w:t xml:space="preserve">Secondly, a small private ancillary fund </w:t>
      </w:r>
      <w:r w:rsidR="002244B9">
        <w:t xml:space="preserve">with both revenue and assets of less than $500,000 (that is, </w:t>
      </w:r>
      <w:r w:rsidR="008C7DBB">
        <w:t>revenue of the fund is less than $</w:t>
      </w:r>
      <w:r w:rsidR="00807E2F">
        <w:t>1 million</w:t>
      </w:r>
      <w:r w:rsidR="008C7DBB">
        <w:t xml:space="preserve"> and assets of the fund are less than $</w:t>
      </w:r>
      <w:r w:rsidR="00807E2F">
        <w:t>1 million</w:t>
      </w:r>
      <w:r w:rsidR="008C7DBB">
        <w:t>)</w:t>
      </w:r>
      <w:r w:rsidR="002244B9">
        <w:t xml:space="preserve"> </w:t>
      </w:r>
      <w:r>
        <w:t xml:space="preserve">can seek a review of its financial report and compliance with the </w:t>
      </w:r>
      <w:r w:rsidRPr="002A1CEC">
        <w:rPr>
          <w:i/>
        </w:rPr>
        <w:t>Private Ancillary Fund Guidelines 2009</w:t>
      </w:r>
      <w:r>
        <w:t xml:space="preserve"> rather than a full audit, reducing compliance costs from audit fees. </w:t>
      </w:r>
      <w:r w:rsidRPr="00D149E1">
        <w:rPr>
          <w:b/>
          <w:i/>
          <w:sz w:val="20"/>
        </w:rPr>
        <w:t xml:space="preserve">[Schedule 1, items </w:t>
      </w:r>
      <w:r w:rsidR="00807E2F" w:rsidRPr="00473F3A">
        <w:rPr>
          <w:b/>
          <w:i/>
          <w:sz w:val="20"/>
        </w:rPr>
        <w:t>21</w:t>
      </w:r>
      <w:r w:rsidR="00807E2F" w:rsidRPr="00465F4D">
        <w:rPr>
          <w:b/>
          <w:i/>
          <w:sz w:val="20"/>
        </w:rPr>
        <w:t xml:space="preserve"> </w:t>
      </w:r>
      <w:r w:rsidRPr="00D149E1">
        <w:rPr>
          <w:b/>
          <w:i/>
          <w:sz w:val="20"/>
        </w:rPr>
        <w:t>to</w:t>
      </w:r>
      <w:r w:rsidR="005806AA" w:rsidRPr="00D149E1">
        <w:rPr>
          <w:b/>
          <w:i/>
          <w:sz w:val="20"/>
        </w:rPr>
        <w:t xml:space="preserve"> </w:t>
      </w:r>
      <w:r w:rsidR="00807E2F" w:rsidRPr="00473F3A">
        <w:rPr>
          <w:b/>
          <w:i/>
          <w:sz w:val="20"/>
        </w:rPr>
        <w:t>24</w:t>
      </w:r>
      <w:r w:rsidR="00807E2F" w:rsidRPr="00465F4D">
        <w:rPr>
          <w:b/>
          <w:i/>
          <w:sz w:val="20"/>
        </w:rPr>
        <w:t xml:space="preserve"> </w:t>
      </w:r>
      <w:r w:rsidRPr="00D149E1">
        <w:rPr>
          <w:b/>
          <w:i/>
          <w:sz w:val="20"/>
        </w:rPr>
        <w:t xml:space="preserve">and </w:t>
      </w:r>
      <w:r w:rsidR="00807E2F" w:rsidRPr="00D149E1">
        <w:rPr>
          <w:b/>
          <w:i/>
          <w:sz w:val="20"/>
        </w:rPr>
        <w:t>28</w:t>
      </w:r>
      <w:r w:rsidRPr="00D149E1">
        <w:rPr>
          <w:b/>
          <w:i/>
          <w:sz w:val="20"/>
        </w:rPr>
        <w:t>, guidelines 28, 29 and 32]</w:t>
      </w:r>
    </w:p>
    <w:p w14:paraId="017269D9" w14:textId="0179690D" w:rsidR="00F36A63" w:rsidRDefault="00F36A63" w:rsidP="007B0356">
      <w:r>
        <w:t xml:space="preserve">Lastly, the amending guidelines provide guidance to clarify that compliance with the </w:t>
      </w:r>
      <w:r w:rsidR="00B844C8">
        <w:t>ACNC</w:t>
      </w:r>
      <w:r>
        <w:t xml:space="preserve"> financial report requirements also meets the requirements of the </w:t>
      </w:r>
      <w:r w:rsidRPr="002A1CEC">
        <w:rPr>
          <w:i/>
        </w:rPr>
        <w:t>Private Ancillary Fund Guidelines 2009</w:t>
      </w:r>
      <w:r>
        <w:rPr>
          <w:i/>
        </w:rPr>
        <w:t xml:space="preserve"> </w:t>
      </w:r>
      <w:r>
        <w:t xml:space="preserve">for funds that are registered charities. </w:t>
      </w:r>
      <w:r w:rsidRPr="00D149E1">
        <w:rPr>
          <w:b/>
          <w:i/>
          <w:sz w:val="20"/>
        </w:rPr>
        <w:t xml:space="preserve">[Schedule 1, </w:t>
      </w:r>
      <w:r w:rsidR="000F07C5" w:rsidRPr="00D149E1">
        <w:rPr>
          <w:b/>
          <w:i/>
          <w:sz w:val="20"/>
        </w:rPr>
        <w:t>item </w:t>
      </w:r>
      <w:r w:rsidR="00807E2F" w:rsidRPr="00D149E1">
        <w:rPr>
          <w:b/>
          <w:i/>
          <w:sz w:val="20"/>
        </w:rPr>
        <w:t>19</w:t>
      </w:r>
      <w:r w:rsidRPr="00D149E1">
        <w:rPr>
          <w:b/>
          <w:i/>
          <w:sz w:val="20"/>
        </w:rPr>
        <w:t>, guideline 26.1]</w:t>
      </w:r>
    </w:p>
    <w:p w14:paraId="36A7799F" w14:textId="3A90DC37" w:rsidR="007B0356" w:rsidRPr="00304848" w:rsidRDefault="002A1CEC" w:rsidP="002668C6">
      <w:pPr>
        <w:keepNext/>
        <w:rPr>
          <w:u w:val="single"/>
        </w:rPr>
      </w:pPr>
      <w:r w:rsidRPr="00304848">
        <w:rPr>
          <w:u w:val="single"/>
        </w:rPr>
        <w:lastRenderedPageBreak/>
        <w:t xml:space="preserve">Update </w:t>
      </w:r>
      <w:r w:rsidR="007B0356" w:rsidRPr="00304848">
        <w:rPr>
          <w:u w:val="single"/>
        </w:rPr>
        <w:t xml:space="preserve">the investment strategy rules </w:t>
      </w:r>
    </w:p>
    <w:p w14:paraId="53EBC6F6" w14:textId="149ECA7E" w:rsidR="007B0356" w:rsidRDefault="00973556" w:rsidP="007B0356">
      <w:r>
        <w:t>The amending guidelines adjust the matters to be considered by trustees in developing and maintaining an investment strategy.</w:t>
      </w:r>
    </w:p>
    <w:p w14:paraId="1C4B6CEF" w14:textId="463FA775" w:rsidR="00973556" w:rsidRDefault="00973556" w:rsidP="007B0356">
      <w:r>
        <w:t>The new matters to be considered are the status of the fund as a registered charity (where the fund is a registered charity)</w:t>
      </w:r>
      <w:r w:rsidR="00001F0B">
        <w:t>,</w:t>
      </w:r>
      <w:r>
        <w:t xml:space="preserve"> any perceived </w:t>
      </w:r>
      <w:r w:rsidR="005806AA">
        <w:t>or actual</w:t>
      </w:r>
      <w:r>
        <w:t xml:space="preserve"> material conflicts of interest in holding particular investments</w:t>
      </w:r>
      <w:r w:rsidR="005806AA">
        <w:t>, including those relating to individuals involved in the decision</w:t>
      </w:r>
      <w:r w:rsidR="005806AA">
        <w:noBreakHyphen/>
        <w:t>making of the fund</w:t>
      </w:r>
      <w:r w:rsidR="00001F0B">
        <w:t>, and the terms and other circumstances relating to any gift to the fund under a will</w:t>
      </w:r>
      <w:r>
        <w:t xml:space="preserve">. </w:t>
      </w:r>
      <w:r w:rsidRPr="00D149E1">
        <w:rPr>
          <w:b/>
          <w:i/>
          <w:sz w:val="20"/>
        </w:rPr>
        <w:t xml:space="preserve">[Schedule 1, item </w:t>
      </w:r>
      <w:r w:rsidR="00001F0B" w:rsidRPr="00473F3A">
        <w:rPr>
          <w:b/>
          <w:i/>
          <w:sz w:val="20"/>
        </w:rPr>
        <w:t>26</w:t>
      </w:r>
      <w:r w:rsidRPr="00D149E1">
        <w:rPr>
          <w:b/>
          <w:i/>
          <w:sz w:val="20"/>
        </w:rPr>
        <w:t>, guideline 30.2]</w:t>
      </w:r>
    </w:p>
    <w:p w14:paraId="08E75871" w14:textId="5249346B" w:rsidR="00973556" w:rsidRDefault="00973556" w:rsidP="007B0356">
      <w:r>
        <w:t xml:space="preserve">The </w:t>
      </w:r>
      <w:r w:rsidR="00001F0B">
        <w:t xml:space="preserve">first two </w:t>
      </w:r>
      <w:r>
        <w:t xml:space="preserve">new matters were developed following a review by </w:t>
      </w:r>
      <w:r w:rsidR="002A3C5F">
        <w:t xml:space="preserve">the </w:t>
      </w:r>
      <w:r w:rsidR="00B844C8">
        <w:t>ATO</w:t>
      </w:r>
      <w:r>
        <w:t xml:space="preserve"> into the compliance of ancillary funds with their respective guidelines. The </w:t>
      </w:r>
      <w:r w:rsidR="00B844C8">
        <w:t>ATO</w:t>
      </w:r>
      <w:r>
        <w:t xml:space="preserve"> identified a </w:t>
      </w:r>
      <w:r w:rsidR="003B0717">
        <w:t xml:space="preserve">small </w:t>
      </w:r>
      <w:r>
        <w:t xml:space="preserve">number of ancillary funds </w:t>
      </w:r>
      <w:r w:rsidR="003B0717">
        <w:t xml:space="preserve">that </w:t>
      </w:r>
      <w:r>
        <w:t xml:space="preserve">held </w:t>
      </w:r>
      <w:r w:rsidR="003B0717">
        <w:t>substantial</w:t>
      </w:r>
      <w:r>
        <w:t xml:space="preserve"> investments with related parties </w:t>
      </w:r>
      <w:r w:rsidR="003B0717">
        <w:t>or</w:t>
      </w:r>
      <w:r>
        <w:t xml:space="preserve"> had entered </w:t>
      </w:r>
      <w:r w:rsidR="003B0717">
        <w:t xml:space="preserve">into </w:t>
      </w:r>
      <w:r>
        <w:t>a number of related party transactions with donors and founders of the fund.  The investments of these funds tended to be undiversified</w:t>
      </w:r>
      <w:r w:rsidR="00136C8E">
        <w:t>, may have been structured to increase tax deductions available to donors,</w:t>
      </w:r>
      <w:r>
        <w:t xml:space="preserve"> and did not reflect prudent investment strategies that trustees of charitable entities are expected to undertake.</w:t>
      </w:r>
    </w:p>
    <w:p w14:paraId="765F771B" w14:textId="140056FF" w:rsidR="00973556" w:rsidRDefault="00973556" w:rsidP="007B0356">
      <w:r>
        <w:t xml:space="preserve">The amending guidelines have made some minor adjustments to the investment strategy rules as a reminder </w:t>
      </w:r>
      <w:r w:rsidR="00136C8E">
        <w:t xml:space="preserve">to trustees </w:t>
      </w:r>
      <w:r>
        <w:t>of the core obligations of trustees to manage perceived or material conflicts of interest and to operate a charitable fund for the public benefit.</w:t>
      </w:r>
    </w:p>
    <w:p w14:paraId="23E6AF71" w14:textId="375AFCFC" w:rsidR="00973556" w:rsidRDefault="00973556" w:rsidP="007B0356">
      <w:r>
        <w:t xml:space="preserve">The amending guidelines also incorporate </w:t>
      </w:r>
      <w:r w:rsidR="00634FCC">
        <w:t>an</w:t>
      </w:r>
      <w:r>
        <w:t xml:space="preserve"> increase in the penalty </w:t>
      </w:r>
      <w:r w:rsidR="00816C21">
        <w:t xml:space="preserve">(from 10 to 15 penalty units) </w:t>
      </w:r>
      <w:r>
        <w:t>for failing to comply with the investment strategy rules to better align with other penalties set out in the guidelines.</w:t>
      </w:r>
      <w:r w:rsidR="002F07D8">
        <w:t xml:space="preserve"> </w:t>
      </w:r>
      <w:r w:rsidR="002F07D8" w:rsidRPr="00D149E1">
        <w:rPr>
          <w:b/>
          <w:i/>
          <w:sz w:val="20"/>
        </w:rPr>
        <w:t xml:space="preserve">[Schedule 1, item </w:t>
      </w:r>
      <w:r w:rsidR="00F8529A" w:rsidRPr="00473F3A">
        <w:rPr>
          <w:b/>
          <w:i/>
          <w:sz w:val="20"/>
        </w:rPr>
        <w:t>27</w:t>
      </w:r>
      <w:r w:rsidR="002F07D8" w:rsidRPr="00D149E1">
        <w:rPr>
          <w:b/>
          <w:i/>
          <w:sz w:val="20"/>
        </w:rPr>
        <w:t>, guideline 31]</w:t>
      </w:r>
    </w:p>
    <w:p w14:paraId="1D41ED41" w14:textId="4FEC96A0" w:rsidR="00F8529A" w:rsidRPr="00473F3A" w:rsidRDefault="00F8529A" w:rsidP="007B0356">
      <w:r w:rsidRPr="00473F3A">
        <w:t xml:space="preserve">The </w:t>
      </w:r>
      <w:r w:rsidR="005C58CD">
        <w:t xml:space="preserve">last new matter to be considered by trustees in developing and maintaining an investment strategy allows trustees to have regard to the terms and other circumstances relating to any gift to the fund under a will.  This will give trustees the flexibility to adjust their investment strategies in situations in which they receive a large gift from a will that cannot be quickly and easily divested to comply with the general investment strategies obligations.  </w:t>
      </w:r>
      <w:r w:rsidR="005C58CD" w:rsidRPr="00473F3A">
        <w:rPr>
          <w:b/>
          <w:i/>
          <w:sz w:val="20"/>
        </w:rPr>
        <w:t>[Schedule 1, item 26, guideline 30.2]</w:t>
      </w:r>
    </w:p>
    <w:p w14:paraId="3AE9E2CB" w14:textId="73895A94" w:rsidR="007B0356" w:rsidRPr="00304848" w:rsidRDefault="007707F3" w:rsidP="007B0356">
      <w:pPr>
        <w:rPr>
          <w:u w:val="single"/>
        </w:rPr>
      </w:pPr>
      <w:r w:rsidRPr="00304848">
        <w:rPr>
          <w:u w:val="single"/>
        </w:rPr>
        <w:t>A</w:t>
      </w:r>
      <w:r w:rsidR="007B0356" w:rsidRPr="00304848">
        <w:rPr>
          <w:u w:val="single"/>
        </w:rPr>
        <w:t xml:space="preserve">llowing </w:t>
      </w:r>
      <w:r w:rsidRPr="00304848">
        <w:rPr>
          <w:u w:val="single"/>
        </w:rPr>
        <w:t>private ancillary funds</w:t>
      </w:r>
      <w:r w:rsidR="007B0356" w:rsidRPr="00304848">
        <w:rPr>
          <w:u w:val="single"/>
        </w:rPr>
        <w:t xml:space="preserve"> to provide loan guarantees over borrowings of </w:t>
      </w:r>
      <w:r w:rsidRPr="00304848">
        <w:rPr>
          <w:u w:val="single"/>
        </w:rPr>
        <w:t>deductible gift recipients</w:t>
      </w:r>
    </w:p>
    <w:p w14:paraId="1E6C1E75" w14:textId="7C433BE7" w:rsidR="007707F3" w:rsidRDefault="00816C21" w:rsidP="007B0356">
      <w:r>
        <w:t>T</w:t>
      </w:r>
      <w:r w:rsidR="00F763ED">
        <w:t xml:space="preserve">he amending guidelines </w:t>
      </w:r>
      <w:r w:rsidR="002F07D8">
        <w:t>amend</w:t>
      </w:r>
      <w:r w:rsidR="00F763ED">
        <w:t xml:space="preserve"> the investment limitations to allow a private ancillary fund to provide a loan </w:t>
      </w:r>
      <w:r w:rsidR="0067762D">
        <w:t xml:space="preserve">or similar </w:t>
      </w:r>
      <w:r w:rsidR="00F763ED">
        <w:t xml:space="preserve">guarantee over its assets for the sole benefit of a deductible gift recipient provided such a guarantee is consistent with the governing rules of the fund. </w:t>
      </w:r>
      <w:r w:rsidR="00F763ED" w:rsidRPr="00D149E1">
        <w:rPr>
          <w:b/>
          <w:i/>
          <w:sz w:val="20"/>
        </w:rPr>
        <w:t xml:space="preserve">[Schedule 1, item </w:t>
      </w:r>
      <w:r w:rsidR="0067762D" w:rsidRPr="00473F3A">
        <w:rPr>
          <w:b/>
          <w:i/>
          <w:sz w:val="20"/>
        </w:rPr>
        <w:t>30</w:t>
      </w:r>
      <w:r w:rsidR="00F763ED" w:rsidRPr="00D149E1">
        <w:rPr>
          <w:b/>
          <w:i/>
          <w:sz w:val="20"/>
        </w:rPr>
        <w:t>, guideline 35.1]</w:t>
      </w:r>
    </w:p>
    <w:p w14:paraId="4E0A63B6" w14:textId="611CC1D2" w:rsidR="00F763ED" w:rsidRDefault="00F763ED" w:rsidP="007B0356">
      <w:r>
        <w:t>This will allow private ancillary funds to provide greater assistance to those deductible gift recipients they were established to support.</w:t>
      </w:r>
    </w:p>
    <w:p w14:paraId="5304637D" w14:textId="108A9C40" w:rsidR="007707F3" w:rsidRPr="00816C21" w:rsidRDefault="005806AA" w:rsidP="007B0356">
      <w:pPr>
        <w:rPr>
          <w:u w:val="single"/>
        </w:rPr>
      </w:pPr>
      <w:r>
        <w:rPr>
          <w:u w:val="single"/>
        </w:rPr>
        <w:t xml:space="preserve">Amendment to the </w:t>
      </w:r>
      <w:r w:rsidR="00DE7646" w:rsidRPr="00816C21">
        <w:rPr>
          <w:u w:val="single"/>
        </w:rPr>
        <w:t xml:space="preserve">minimum annual distribution rate </w:t>
      </w:r>
    </w:p>
    <w:p w14:paraId="560350F6" w14:textId="3D062A41" w:rsidR="009C1C9F" w:rsidRDefault="005806AA" w:rsidP="004D6DCB">
      <w:r>
        <w:t xml:space="preserve">The amending guidelines </w:t>
      </w:r>
      <w:r w:rsidR="009C1C9F" w:rsidRPr="00D149E1">
        <w:t>introduce</w:t>
      </w:r>
      <w:r w:rsidR="009C1C9F">
        <w:t xml:space="preserve"> a new discretion for the Commissioner of Taxation to allow the Commissioner to reduce the minimum annual distribution rate for a fund for a financial year where it is appropriate to do so in the circumstances.</w:t>
      </w:r>
    </w:p>
    <w:p w14:paraId="7A1AD15A" w14:textId="77777777" w:rsidR="009C1C9F" w:rsidRDefault="009C1C9F" w:rsidP="004D6DCB">
      <w:r>
        <w:t>The Commissioner may reduce the minimum annual distribution rate at any time which may be before the financial year commences or after it has finished.  The amending guidelines provide a list of factors the Commissioner must consider prior to deciding to reduce the rate for a fund for a financial year.</w:t>
      </w:r>
    </w:p>
    <w:p w14:paraId="3468A694" w14:textId="6104782F" w:rsidR="005806AA" w:rsidRPr="00473F3A" w:rsidRDefault="009C1C9F" w:rsidP="00473F3A">
      <w:pPr>
        <w:rPr>
          <w:i/>
          <w:sz w:val="18"/>
        </w:rPr>
      </w:pPr>
      <w:r>
        <w:lastRenderedPageBreak/>
        <w:t xml:space="preserve">The new discretion is intended to provide additional flexibility into the regulatory system to assist funds in unusual circumstances, such as those that </w:t>
      </w:r>
      <w:r w:rsidRPr="00D149E1">
        <w:t>receiv</w:t>
      </w:r>
      <w:r w:rsidR="00F44DFD">
        <w:t>e</w:t>
      </w:r>
      <w:r>
        <w:t xml:space="preserve"> large gifts from a will subject to terms and conditions that limit </w:t>
      </w:r>
      <w:r w:rsidR="00860290">
        <w:t>fund’s</w:t>
      </w:r>
      <w:r>
        <w:t xml:space="preserve"> investment choices.  It may also cover cases where a fund has made large distributions above their minimum over one or two years reducing their corpus</w:t>
      </w:r>
      <w:r w:rsidR="00213C9F">
        <w:t xml:space="preserve"> into the future</w:t>
      </w:r>
      <w:r>
        <w:t>.</w:t>
      </w:r>
    </w:p>
    <w:p w14:paraId="6F2A99ED" w14:textId="67F6FC2F" w:rsidR="007707F3" w:rsidRDefault="002A3C5F" w:rsidP="00366EC9">
      <w:pPr>
        <w:pStyle w:val="Dash0"/>
        <w:numPr>
          <w:ilvl w:val="0"/>
          <w:numId w:val="0"/>
        </w:numPr>
        <w:spacing w:before="120"/>
        <w:rPr>
          <w:b/>
          <w:i/>
          <w:sz w:val="20"/>
        </w:rPr>
      </w:pPr>
      <w:r w:rsidRPr="00D149E1">
        <w:rPr>
          <w:b/>
          <w:i/>
          <w:sz w:val="20"/>
        </w:rPr>
        <w:t>[Schedule 1, item</w:t>
      </w:r>
      <w:r w:rsidR="002F07D8" w:rsidRPr="00D149E1">
        <w:rPr>
          <w:b/>
          <w:i/>
          <w:sz w:val="20"/>
        </w:rPr>
        <w:t>s</w:t>
      </w:r>
      <w:r w:rsidRPr="00D149E1">
        <w:rPr>
          <w:b/>
          <w:i/>
          <w:sz w:val="20"/>
        </w:rPr>
        <w:t xml:space="preserve"> </w:t>
      </w:r>
      <w:r w:rsidR="005806AA" w:rsidRPr="00D149E1">
        <w:rPr>
          <w:b/>
          <w:i/>
          <w:sz w:val="20"/>
        </w:rPr>
        <w:t xml:space="preserve">6 </w:t>
      </w:r>
      <w:r w:rsidR="00613431" w:rsidRPr="00D149E1">
        <w:rPr>
          <w:b/>
          <w:i/>
          <w:sz w:val="20"/>
        </w:rPr>
        <w:t>to</w:t>
      </w:r>
      <w:r w:rsidR="005806AA" w:rsidRPr="00D149E1">
        <w:rPr>
          <w:b/>
          <w:i/>
          <w:sz w:val="20"/>
        </w:rPr>
        <w:t xml:space="preserve"> </w:t>
      </w:r>
      <w:r w:rsidR="000C6403" w:rsidRPr="00473F3A">
        <w:rPr>
          <w:b/>
          <w:i/>
          <w:sz w:val="20"/>
        </w:rPr>
        <w:t>10 and 12</w:t>
      </w:r>
      <w:r w:rsidR="000108FE" w:rsidRPr="00D149E1">
        <w:rPr>
          <w:b/>
          <w:i/>
          <w:sz w:val="20"/>
        </w:rPr>
        <w:t>, guideline</w:t>
      </w:r>
      <w:r w:rsidR="00E10275" w:rsidRPr="00D149E1">
        <w:rPr>
          <w:b/>
          <w:i/>
          <w:sz w:val="20"/>
        </w:rPr>
        <w:t>s</w:t>
      </w:r>
      <w:r w:rsidR="000108FE" w:rsidRPr="00D149E1">
        <w:rPr>
          <w:b/>
          <w:i/>
          <w:sz w:val="20"/>
        </w:rPr>
        <w:t xml:space="preserve"> 19</w:t>
      </w:r>
      <w:r w:rsidR="005E5056" w:rsidRPr="00D149E1">
        <w:rPr>
          <w:b/>
          <w:i/>
          <w:sz w:val="20"/>
        </w:rPr>
        <w:t xml:space="preserve">, </w:t>
      </w:r>
      <w:r w:rsidR="002F07D8" w:rsidRPr="00D149E1">
        <w:rPr>
          <w:b/>
          <w:i/>
          <w:sz w:val="20"/>
        </w:rPr>
        <w:t>1</w:t>
      </w:r>
      <w:r w:rsidR="005E5056" w:rsidRPr="00D149E1">
        <w:rPr>
          <w:b/>
          <w:i/>
          <w:sz w:val="20"/>
        </w:rPr>
        <w:t>9</w:t>
      </w:r>
      <w:r w:rsidR="00613431" w:rsidRPr="00D149E1">
        <w:rPr>
          <w:b/>
          <w:i/>
          <w:sz w:val="20"/>
        </w:rPr>
        <w:t>.1, 19.1 (note)</w:t>
      </w:r>
      <w:r w:rsidR="00C55323">
        <w:rPr>
          <w:b/>
          <w:i/>
          <w:sz w:val="20"/>
        </w:rPr>
        <w:t xml:space="preserve"> </w:t>
      </w:r>
      <w:r w:rsidR="000C6403" w:rsidRPr="00473F3A">
        <w:rPr>
          <w:b/>
          <w:i/>
          <w:sz w:val="20"/>
        </w:rPr>
        <w:t>and 19.7</w:t>
      </w:r>
      <w:r w:rsidR="000108FE" w:rsidRPr="00D149E1">
        <w:rPr>
          <w:b/>
          <w:i/>
          <w:sz w:val="20"/>
        </w:rPr>
        <w:t>]</w:t>
      </w:r>
    </w:p>
    <w:p w14:paraId="5F29FA9D" w14:textId="448A9D9A" w:rsidR="000F799E" w:rsidRPr="009E2D90" w:rsidRDefault="000F799E" w:rsidP="00366EC9">
      <w:pPr>
        <w:keepNext/>
        <w:rPr>
          <w:u w:val="single"/>
        </w:rPr>
      </w:pPr>
      <w:r w:rsidRPr="009E2D90">
        <w:rPr>
          <w:u w:val="single"/>
        </w:rPr>
        <w:t>Providing further guidance on calculating a distribution in relation to a social impact investment</w:t>
      </w:r>
    </w:p>
    <w:p w14:paraId="14CD0027" w14:textId="7F17502A" w:rsidR="000F799E" w:rsidRPr="00473F3A" w:rsidRDefault="000F799E" w:rsidP="00366EC9">
      <w:pPr>
        <w:keepNext/>
      </w:pPr>
      <w:r w:rsidRPr="00473F3A">
        <w:t>The amending guidelines add further examples to the guidelines to assist trustees with calculating their distributions for a financial year where the fund has made social impact investments.  The guidelines cover investing in lending money to deductible gift recipient at a discount to market rates and providing loan guarantees over loans provided to deductible gift recipients.</w:t>
      </w:r>
    </w:p>
    <w:p w14:paraId="5C067730" w14:textId="0D9E3A03" w:rsidR="000F799E" w:rsidRDefault="000F799E" w:rsidP="00366EC9">
      <w:pPr>
        <w:keepNext/>
        <w:rPr>
          <w:u w:val="single"/>
        </w:rPr>
      </w:pPr>
      <w:r w:rsidRPr="00473F3A">
        <w:t xml:space="preserve">The Commissioner of Taxation may also provide safe harbour valuation methods for funds in specific circumstances into the future.  </w:t>
      </w:r>
      <w:r w:rsidRPr="00473F3A">
        <w:rPr>
          <w:b/>
          <w:i/>
          <w:sz w:val="20"/>
        </w:rPr>
        <w:t xml:space="preserve">[Schedule 1, item 11, guideline </w:t>
      </w:r>
      <w:r w:rsidR="00F544EB" w:rsidRPr="00473F3A">
        <w:rPr>
          <w:b/>
          <w:i/>
          <w:sz w:val="20"/>
        </w:rPr>
        <w:t>19.3</w:t>
      </w:r>
      <w:r w:rsidRPr="00473F3A">
        <w:rPr>
          <w:b/>
          <w:i/>
          <w:sz w:val="20"/>
        </w:rPr>
        <w:t xml:space="preserve"> (examples)]</w:t>
      </w:r>
    </w:p>
    <w:p w14:paraId="2954532A" w14:textId="672955F1" w:rsidR="007B0356" w:rsidRPr="00366EC9" w:rsidRDefault="007B0356" w:rsidP="00366EC9">
      <w:pPr>
        <w:keepNext/>
        <w:rPr>
          <w:u w:val="single"/>
        </w:rPr>
      </w:pPr>
      <w:r w:rsidRPr="00366EC9">
        <w:rPr>
          <w:u w:val="single"/>
        </w:rPr>
        <w:t xml:space="preserve">Remove references to </w:t>
      </w:r>
      <w:r w:rsidR="007707F3" w:rsidRPr="00366EC9">
        <w:rPr>
          <w:u w:val="single"/>
        </w:rPr>
        <w:t>the Australian Valuation Office</w:t>
      </w:r>
    </w:p>
    <w:p w14:paraId="69473507" w14:textId="41CB10C0" w:rsidR="007B0356" w:rsidRDefault="00F763ED" w:rsidP="00366EC9">
      <w:pPr>
        <w:keepNext/>
      </w:pPr>
      <w:r>
        <w:t xml:space="preserve">The amending guidelines remove references to the Australian Valuation Office from the </w:t>
      </w:r>
      <w:r w:rsidRPr="008403E7">
        <w:rPr>
          <w:i/>
        </w:rPr>
        <w:t>Private Ancillary Fund Guidelines 2009</w:t>
      </w:r>
      <w:r w:rsidRPr="00D149E1">
        <w:t xml:space="preserve">. </w:t>
      </w:r>
      <w:r w:rsidRPr="00D149E1">
        <w:rPr>
          <w:b/>
          <w:i/>
          <w:sz w:val="20"/>
        </w:rPr>
        <w:t xml:space="preserve">[Schedule 1, items </w:t>
      </w:r>
      <w:r w:rsidR="009E1EFF" w:rsidRPr="00473F3A">
        <w:rPr>
          <w:b/>
          <w:i/>
          <w:sz w:val="20"/>
        </w:rPr>
        <w:t>14</w:t>
      </w:r>
      <w:r w:rsidR="009E1EFF" w:rsidRPr="00465F4D">
        <w:rPr>
          <w:b/>
          <w:i/>
          <w:sz w:val="20"/>
        </w:rPr>
        <w:t xml:space="preserve"> </w:t>
      </w:r>
      <w:r w:rsidRPr="00D149E1">
        <w:rPr>
          <w:b/>
          <w:i/>
          <w:sz w:val="20"/>
        </w:rPr>
        <w:t xml:space="preserve">to </w:t>
      </w:r>
      <w:r w:rsidR="009E1EFF" w:rsidRPr="00473F3A">
        <w:rPr>
          <w:b/>
          <w:i/>
          <w:sz w:val="20"/>
        </w:rPr>
        <w:t>17</w:t>
      </w:r>
      <w:r w:rsidRPr="00D149E1">
        <w:rPr>
          <w:b/>
          <w:i/>
          <w:sz w:val="20"/>
        </w:rPr>
        <w:t>, guidelines 20 to 22]</w:t>
      </w:r>
    </w:p>
    <w:p w14:paraId="4DDFF0AB" w14:textId="2162E39D" w:rsidR="00F763ED" w:rsidRDefault="00F763ED" w:rsidP="00366EC9">
      <w:pPr>
        <w:keepNext/>
      </w:pPr>
      <w:r>
        <w:t>The Australian Valuation Office closed on 30 June 2014.</w:t>
      </w:r>
    </w:p>
    <w:p w14:paraId="4A622A56" w14:textId="40C7067B" w:rsidR="007B0356" w:rsidRPr="00366EC9" w:rsidRDefault="00F763ED" w:rsidP="00366EC9">
      <w:pPr>
        <w:keepNext/>
        <w:rPr>
          <w:u w:val="single"/>
        </w:rPr>
      </w:pPr>
      <w:r w:rsidRPr="00366EC9">
        <w:rPr>
          <w:u w:val="single"/>
        </w:rPr>
        <w:t xml:space="preserve">Repealing </w:t>
      </w:r>
      <w:r w:rsidR="007707F3" w:rsidRPr="00366EC9">
        <w:rPr>
          <w:u w:val="single"/>
        </w:rPr>
        <w:t>spent guidelines</w:t>
      </w:r>
    </w:p>
    <w:p w14:paraId="29E50F83" w14:textId="4C8AA3A2" w:rsidR="007B0356" w:rsidRPr="00F763ED" w:rsidRDefault="00F763ED" w:rsidP="00366EC9">
      <w:pPr>
        <w:keepNext/>
      </w:pPr>
      <w:r w:rsidRPr="00F763ED">
        <w:t xml:space="preserve">The </w:t>
      </w:r>
      <w:r>
        <w:t xml:space="preserve">amending guidelines also </w:t>
      </w:r>
      <w:r w:rsidR="00E10275">
        <w:t xml:space="preserve">fix spelling errors and </w:t>
      </w:r>
      <w:r>
        <w:t xml:space="preserve">repeal spent and redundant guidelines. </w:t>
      </w:r>
      <w:r w:rsidRPr="00D149E1">
        <w:rPr>
          <w:b/>
          <w:i/>
          <w:sz w:val="20"/>
        </w:rPr>
        <w:t>[Schedule 1, items 3,</w:t>
      </w:r>
      <w:r w:rsidR="00E10275" w:rsidRPr="00D149E1">
        <w:rPr>
          <w:b/>
          <w:i/>
          <w:sz w:val="20"/>
        </w:rPr>
        <w:t xml:space="preserve"> </w:t>
      </w:r>
      <w:r w:rsidR="00E968FF" w:rsidRPr="00473F3A">
        <w:rPr>
          <w:b/>
          <w:i/>
          <w:sz w:val="20"/>
        </w:rPr>
        <w:t>13</w:t>
      </w:r>
      <w:r w:rsidR="00220FFD" w:rsidRPr="00D149E1">
        <w:rPr>
          <w:b/>
          <w:i/>
          <w:sz w:val="20"/>
        </w:rPr>
        <w:t xml:space="preserve">, </w:t>
      </w:r>
      <w:r w:rsidR="00E968FF" w:rsidRPr="00473F3A">
        <w:rPr>
          <w:b/>
          <w:i/>
          <w:sz w:val="20"/>
        </w:rPr>
        <w:t>18</w:t>
      </w:r>
      <w:r w:rsidR="00E10275" w:rsidRPr="00D149E1">
        <w:rPr>
          <w:b/>
          <w:i/>
          <w:sz w:val="20"/>
        </w:rPr>
        <w:t>,</w:t>
      </w:r>
      <w:r w:rsidRPr="00D149E1">
        <w:rPr>
          <w:b/>
          <w:i/>
          <w:sz w:val="20"/>
        </w:rPr>
        <w:t xml:space="preserve"> </w:t>
      </w:r>
      <w:r w:rsidR="00E968FF" w:rsidRPr="00473F3A">
        <w:rPr>
          <w:b/>
          <w:i/>
          <w:sz w:val="20"/>
        </w:rPr>
        <w:t>36</w:t>
      </w:r>
      <w:r w:rsidR="00E968FF" w:rsidRPr="00465F4D">
        <w:rPr>
          <w:b/>
          <w:i/>
          <w:sz w:val="20"/>
        </w:rPr>
        <w:t xml:space="preserve"> </w:t>
      </w:r>
      <w:r w:rsidR="00E10275" w:rsidRPr="00D149E1">
        <w:rPr>
          <w:b/>
          <w:i/>
          <w:sz w:val="20"/>
        </w:rPr>
        <w:t xml:space="preserve">and </w:t>
      </w:r>
      <w:r w:rsidR="00E968FF" w:rsidRPr="00473F3A">
        <w:rPr>
          <w:b/>
          <w:i/>
          <w:sz w:val="20"/>
        </w:rPr>
        <w:t>37</w:t>
      </w:r>
      <w:r w:rsidR="00E10275" w:rsidRPr="00D149E1">
        <w:rPr>
          <w:b/>
          <w:i/>
          <w:sz w:val="20"/>
        </w:rPr>
        <w:t>, guidelines 12</w:t>
      </w:r>
      <w:r w:rsidR="00BB5BD1" w:rsidRPr="00D149E1">
        <w:rPr>
          <w:b/>
          <w:i/>
          <w:sz w:val="20"/>
        </w:rPr>
        <w:t xml:space="preserve"> </w:t>
      </w:r>
      <w:r w:rsidR="00E10275" w:rsidRPr="00D149E1">
        <w:rPr>
          <w:b/>
          <w:i/>
          <w:sz w:val="20"/>
        </w:rPr>
        <w:t xml:space="preserve">(note), </w:t>
      </w:r>
      <w:r w:rsidR="00220FFD" w:rsidRPr="00D149E1">
        <w:rPr>
          <w:b/>
          <w:i/>
          <w:sz w:val="20"/>
        </w:rPr>
        <w:t xml:space="preserve">20(note), </w:t>
      </w:r>
      <w:r w:rsidR="00E10275" w:rsidRPr="00D149E1">
        <w:rPr>
          <w:b/>
          <w:i/>
          <w:sz w:val="20"/>
        </w:rPr>
        <w:t xml:space="preserve">23, </w:t>
      </w:r>
      <w:r w:rsidR="00E968FF" w:rsidRPr="00473F3A">
        <w:rPr>
          <w:b/>
          <w:i/>
          <w:sz w:val="20"/>
        </w:rPr>
        <w:t>52</w:t>
      </w:r>
      <w:r w:rsidR="00E968FF" w:rsidRPr="00465F4D">
        <w:rPr>
          <w:b/>
          <w:i/>
          <w:sz w:val="20"/>
        </w:rPr>
        <w:t xml:space="preserve"> </w:t>
      </w:r>
      <w:r w:rsidR="00E10275" w:rsidRPr="00D149E1">
        <w:rPr>
          <w:b/>
          <w:i/>
          <w:sz w:val="20"/>
        </w:rPr>
        <w:t>to 58</w:t>
      </w:r>
      <w:r w:rsidRPr="00D149E1">
        <w:rPr>
          <w:b/>
          <w:i/>
          <w:sz w:val="20"/>
        </w:rPr>
        <w:t>]</w:t>
      </w:r>
    </w:p>
    <w:p w14:paraId="72EE26F1" w14:textId="77777777" w:rsidR="00613431" w:rsidRDefault="00613431" w:rsidP="00366EC9">
      <w:pPr>
        <w:keepNext/>
        <w:rPr>
          <w:b/>
        </w:rPr>
      </w:pPr>
    </w:p>
    <w:p w14:paraId="2DAF2483" w14:textId="0C89ECF0" w:rsidR="007707F3" w:rsidRPr="00B844C8" w:rsidRDefault="007707F3" w:rsidP="00366EC9">
      <w:pPr>
        <w:keepNext/>
        <w:rPr>
          <w:b/>
        </w:rPr>
      </w:pPr>
      <w:r w:rsidRPr="00B844C8">
        <w:rPr>
          <w:b/>
        </w:rPr>
        <w:t>Schedule 2</w:t>
      </w:r>
      <w:r w:rsidR="00304848" w:rsidRPr="00B844C8">
        <w:rPr>
          <w:b/>
        </w:rPr>
        <w:t xml:space="preserve"> – </w:t>
      </w:r>
      <w:r w:rsidRPr="00B844C8">
        <w:rPr>
          <w:b/>
        </w:rPr>
        <w:t>amendments</w:t>
      </w:r>
      <w:r w:rsidR="00304848" w:rsidRPr="00B844C8">
        <w:rPr>
          <w:b/>
        </w:rPr>
        <w:t xml:space="preserve"> </w:t>
      </w:r>
      <w:r w:rsidRPr="00B844C8">
        <w:rPr>
          <w:b/>
        </w:rPr>
        <w:t>to the Public Ancillary Fund Guidelines 2011</w:t>
      </w:r>
    </w:p>
    <w:p w14:paraId="33187894" w14:textId="1A9BB365" w:rsidR="007707F3" w:rsidRPr="002A1CEC" w:rsidRDefault="007707F3" w:rsidP="00366EC9">
      <w:pPr>
        <w:keepNext/>
      </w:pPr>
      <w:r w:rsidRPr="002A1CEC">
        <w:t xml:space="preserve">The </w:t>
      </w:r>
      <w:r>
        <w:t xml:space="preserve">amending guidelines made various changes to the </w:t>
      </w:r>
      <w:r w:rsidRPr="008403E7">
        <w:rPr>
          <w:i/>
        </w:rPr>
        <w:t>Public Ancillary Fund Guidelines 2011</w:t>
      </w:r>
      <w:r w:rsidRPr="00366EC9">
        <w:t xml:space="preserve"> </w:t>
      </w:r>
      <w:r w:rsidRPr="002A1CEC">
        <w:t>as set out below</w:t>
      </w:r>
      <w:r w:rsidRPr="00366EC9">
        <w:t>.</w:t>
      </w:r>
    </w:p>
    <w:p w14:paraId="6C21AE95" w14:textId="6D91C802" w:rsidR="00136C8E" w:rsidRPr="00304848" w:rsidRDefault="00136C8E" w:rsidP="00366EC9">
      <w:pPr>
        <w:keepNext/>
        <w:rPr>
          <w:u w:val="single"/>
        </w:rPr>
      </w:pPr>
      <w:r w:rsidRPr="00304848">
        <w:rPr>
          <w:u w:val="single"/>
        </w:rPr>
        <w:t xml:space="preserve">Update the Guidelines to reflect the introduction of the </w:t>
      </w:r>
      <w:r w:rsidR="00B844C8">
        <w:rPr>
          <w:u w:val="single"/>
        </w:rPr>
        <w:t>ACNC</w:t>
      </w:r>
      <w:r w:rsidRPr="00366EC9">
        <w:rPr>
          <w:u w:val="single"/>
        </w:rPr>
        <w:t xml:space="preserve"> and the </w:t>
      </w:r>
      <w:r w:rsidRPr="00B844C8">
        <w:rPr>
          <w:i/>
          <w:u w:val="single"/>
        </w:rPr>
        <w:t>Charities Act 2013</w:t>
      </w:r>
    </w:p>
    <w:p w14:paraId="63338C94" w14:textId="65EC86F9" w:rsidR="00136C8E" w:rsidRPr="00366EC9" w:rsidRDefault="00136C8E" w:rsidP="00366EC9">
      <w:pPr>
        <w:keepNext/>
      </w:pPr>
      <w:r w:rsidRPr="00366EC9">
        <w:t xml:space="preserve">Since the introduction of the </w:t>
      </w:r>
      <w:r w:rsidRPr="00220FFD">
        <w:rPr>
          <w:i/>
        </w:rPr>
        <w:t>Public Ancillary Fund Guidelines 2011</w:t>
      </w:r>
      <w:r w:rsidRPr="00366EC9">
        <w:t xml:space="preserve">, the regulatory framework applying to public ancillary funds has changed with the introduction of the </w:t>
      </w:r>
      <w:r w:rsidR="00B844C8">
        <w:t>ACNC</w:t>
      </w:r>
      <w:r w:rsidRPr="00366EC9">
        <w:t xml:space="preserve"> and the </w:t>
      </w:r>
      <w:r w:rsidRPr="00B844C8">
        <w:rPr>
          <w:i/>
        </w:rPr>
        <w:t>Charities Act 2013</w:t>
      </w:r>
      <w:r w:rsidRPr="00366EC9">
        <w:t>.</w:t>
      </w:r>
    </w:p>
    <w:p w14:paraId="4BA4ECBF" w14:textId="1A106E82" w:rsidR="00136C8E" w:rsidRPr="00366EC9" w:rsidRDefault="00136C8E" w:rsidP="00366EC9">
      <w:pPr>
        <w:keepNext/>
      </w:pPr>
      <w:r w:rsidRPr="00366EC9">
        <w:t xml:space="preserve">Many public ancillary funds will be registered charities by the </w:t>
      </w:r>
      <w:r w:rsidR="00B844C8">
        <w:t>ACNC</w:t>
      </w:r>
      <w:r w:rsidRPr="00366EC9">
        <w:t xml:space="preserve"> (as affected by the </w:t>
      </w:r>
      <w:r w:rsidRPr="00B844C8">
        <w:rPr>
          <w:i/>
        </w:rPr>
        <w:t>Charities Act 2013</w:t>
      </w:r>
      <w:r w:rsidRPr="00366EC9">
        <w:t>).</w:t>
      </w:r>
    </w:p>
    <w:p w14:paraId="111B3335" w14:textId="6263D5E0" w:rsidR="00136C8E" w:rsidRPr="00366EC9" w:rsidRDefault="00136C8E" w:rsidP="00366EC9">
      <w:pPr>
        <w:keepNext/>
      </w:pPr>
      <w:r w:rsidRPr="00366EC9">
        <w:t>The amending guidelines have made some minor changes to reflect the new regulatory framework</w:t>
      </w:r>
      <w:r w:rsidR="00BB5BD1">
        <w:t xml:space="preserve"> in which ancillary fund operates</w:t>
      </w:r>
      <w:r w:rsidRPr="00366EC9">
        <w:t xml:space="preserve">. </w:t>
      </w:r>
      <w:r w:rsidRPr="00D149E1">
        <w:rPr>
          <w:b/>
          <w:i/>
          <w:sz w:val="20"/>
        </w:rPr>
        <w:t>[Schedule 2, items 1 and 2, guideline 8]</w:t>
      </w:r>
    </w:p>
    <w:p w14:paraId="5B88273C" w14:textId="77777777" w:rsidR="00136C8E" w:rsidRPr="00304848" w:rsidRDefault="00136C8E" w:rsidP="00136C8E">
      <w:pPr>
        <w:rPr>
          <w:u w:val="single"/>
        </w:rPr>
      </w:pPr>
      <w:r w:rsidRPr="00304848">
        <w:rPr>
          <w:u w:val="single"/>
        </w:rPr>
        <w:t>Reduce red tape</w:t>
      </w:r>
    </w:p>
    <w:p w14:paraId="1155FE5E" w14:textId="07231D09" w:rsidR="00136C8E" w:rsidRDefault="00136C8E" w:rsidP="00136C8E">
      <w:r>
        <w:t xml:space="preserve">The amending guidelines </w:t>
      </w:r>
      <w:r w:rsidR="00EE2542">
        <w:t>introduce</w:t>
      </w:r>
      <w:r>
        <w:t xml:space="preserve"> a number of changes to reduce red tape </w:t>
      </w:r>
      <w:r w:rsidR="00EE2542">
        <w:t xml:space="preserve">for </w:t>
      </w:r>
      <w:r>
        <w:t>public ancillary funds.</w:t>
      </w:r>
    </w:p>
    <w:p w14:paraId="2B0C2043" w14:textId="1EB88346" w:rsidR="00136C8E" w:rsidRDefault="00136C8E" w:rsidP="00136C8E">
      <w:r>
        <w:t xml:space="preserve">The amending guidelines ensure that materials provided to the </w:t>
      </w:r>
      <w:r w:rsidR="00B844C8">
        <w:t>ACNC</w:t>
      </w:r>
      <w:r w:rsidR="00EE2542">
        <w:t xml:space="preserve"> do</w:t>
      </w:r>
      <w:r>
        <w:t xml:space="preserve"> not also have to be provided to the </w:t>
      </w:r>
      <w:r w:rsidR="00B844C8">
        <w:t>ATO</w:t>
      </w:r>
      <w:r w:rsidRPr="00D149E1">
        <w:t xml:space="preserve">. </w:t>
      </w:r>
      <w:r w:rsidRPr="00D149E1">
        <w:rPr>
          <w:b/>
          <w:i/>
          <w:sz w:val="20"/>
        </w:rPr>
        <w:t xml:space="preserve">[Schedule 2, items </w:t>
      </w:r>
      <w:r w:rsidR="001739F5" w:rsidRPr="00D149E1">
        <w:rPr>
          <w:b/>
          <w:i/>
          <w:sz w:val="20"/>
        </w:rPr>
        <w:t>5</w:t>
      </w:r>
      <w:r w:rsidRPr="00D149E1">
        <w:rPr>
          <w:b/>
          <w:i/>
          <w:sz w:val="20"/>
        </w:rPr>
        <w:t xml:space="preserve">, </w:t>
      </w:r>
      <w:r w:rsidR="00DE69A0" w:rsidRPr="00473F3A">
        <w:rPr>
          <w:b/>
          <w:i/>
          <w:sz w:val="20"/>
        </w:rPr>
        <w:t>18</w:t>
      </w:r>
      <w:r w:rsidR="00DE69A0" w:rsidRPr="00465F4D">
        <w:rPr>
          <w:b/>
          <w:i/>
          <w:sz w:val="20"/>
        </w:rPr>
        <w:t xml:space="preserve"> </w:t>
      </w:r>
      <w:r w:rsidRPr="00D149E1">
        <w:rPr>
          <w:b/>
          <w:i/>
          <w:sz w:val="20"/>
        </w:rPr>
        <w:t xml:space="preserve">and </w:t>
      </w:r>
      <w:r w:rsidR="00DE69A0" w:rsidRPr="00473F3A">
        <w:rPr>
          <w:b/>
          <w:i/>
          <w:sz w:val="20"/>
        </w:rPr>
        <w:t>19</w:t>
      </w:r>
      <w:r w:rsidRPr="00D149E1">
        <w:rPr>
          <w:b/>
          <w:i/>
          <w:sz w:val="20"/>
        </w:rPr>
        <w:t>, guidelines 1</w:t>
      </w:r>
      <w:r w:rsidR="001739F5" w:rsidRPr="00D149E1">
        <w:rPr>
          <w:b/>
          <w:i/>
          <w:sz w:val="20"/>
        </w:rPr>
        <w:t>7</w:t>
      </w:r>
      <w:r w:rsidRPr="00D149E1">
        <w:rPr>
          <w:b/>
          <w:i/>
          <w:sz w:val="20"/>
        </w:rPr>
        <w:t xml:space="preserve">.1, 27 </w:t>
      </w:r>
      <w:r w:rsidR="00DE69A0" w:rsidRPr="00D149E1">
        <w:rPr>
          <w:b/>
          <w:i/>
          <w:sz w:val="20"/>
        </w:rPr>
        <w:t>and </w:t>
      </w:r>
      <w:r w:rsidRPr="00D149E1">
        <w:rPr>
          <w:b/>
          <w:i/>
          <w:sz w:val="20"/>
        </w:rPr>
        <w:t>29]</w:t>
      </w:r>
    </w:p>
    <w:p w14:paraId="7345C539" w14:textId="78E75A3A" w:rsidR="00136C8E" w:rsidRDefault="00136C8E" w:rsidP="00136C8E">
      <w:r>
        <w:lastRenderedPageBreak/>
        <w:t xml:space="preserve">The amending guidelines also provide guidance to clarify that compliance with the </w:t>
      </w:r>
      <w:r w:rsidR="00B844C8">
        <w:t>ACNC</w:t>
      </w:r>
      <w:r>
        <w:t xml:space="preserve"> financial report requirements also meets the requirements of the </w:t>
      </w:r>
      <w:r>
        <w:rPr>
          <w:i/>
        </w:rPr>
        <w:t>Public</w:t>
      </w:r>
      <w:r w:rsidRPr="002A1CEC">
        <w:rPr>
          <w:i/>
        </w:rPr>
        <w:t xml:space="preserve"> Ancillary Fund Guidelines </w:t>
      </w:r>
      <w:r>
        <w:rPr>
          <w:i/>
        </w:rPr>
        <w:t xml:space="preserve">2011 </w:t>
      </w:r>
      <w:r>
        <w:t>for funds that are registered charities</w:t>
      </w:r>
      <w:r w:rsidRPr="00D149E1">
        <w:t xml:space="preserve">. </w:t>
      </w:r>
      <w:r w:rsidRPr="00D149E1">
        <w:rPr>
          <w:b/>
          <w:i/>
          <w:sz w:val="20"/>
        </w:rPr>
        <w:t xml:space="preserve">[Schedule 2, </w:t>
      </w:r>
      <w:r w:rsidR="004C42BF" w:rsidRPr="00D149E1">
        <w:rPr>
          <w:b/>
          <w:i/>
          <w:sz w:val="20"/>
        </w:rPr>
        <w:t>item </w:t>
      </w:r>
      <w:r w:rsidR="00DE69A0" w:rsidRPr="00D149E1">
        <w:rPr>
          <w:b/>
          <w:i/>
          <w:sz w:val="20"/>
        </w:rPr>
        <w:t>17</w:t>
      </w:r>
      <w:r w:rsidRPr="00D149E1">
        <w:rPr>
          <w:b/>
          <w:i/>
          <w:sz w:val="20"/>
        </w:rPr>
        <w:t>, guideline 26.1]</w:t>
      </w:r>
    </w:p>
    <w:p w14:paraId="56AC16BD" w14:textId="41EFD354" w:rsidR="00136C8E" w:rsidRPr="00304848" w:rsidRDefault="00136C8E" w:rsidP="00E10275">
      <w:pPr>
        <w:keepNext/>
        <w:rPr>
          <w:u w:val="single"/>
        </w:rPr>
      </w:pPr>
      <w:r w:rsidRPr="00304848">
        <w:rPr>
          <w:u w:val="single"/>
        </w:rPr>
        <w:t>Updat</w:t>
      </w:r>
      <w:r w:rsidR="00DC499E">
        <w:rPr>
          <w:u w:val="single"/>
        </w:rPr>
        <w:t>e the investment strategy rules</w:t>
      </w:r>
    </w:p>
    <w:p w14:paraId="22F1343E" w14:textId="77777777" w:rsidR="00136C8E" w:rsidRDefault="00136C8E" w:rsidP="00136C8E">
      <w:r>
        <w:t>The amending guidelines adjust the matters to be considered by trustees in developing and maintaining an investment strategy.</w:t>
      </w:r>
    </w:p>
    <w:p w14:paraId="1A6DF15D" w14:textId="37A47A2A" w:rsidR="00136C8E" w:rsidRDefault="00136C8E" w:rsidP="00136C8E">
      <w:r>
        <w:t>The new matters to be considered are the status of the fund as a registered charity (where the fund is a registered charity)</w:t>
      </w:r>
      <w:r w:rsidR="008D28C3">
        <w:t>,</w:t>
      </w:r>
      <w:r>
        <w:t xml:space="preserve"> any </w:t>
      </w:r>
      <w:r w:rsidR="00220FFD">
        <w:t xml:space="preserve">real or </w:t>
      </w:r>
      <w:r>
        <w:t>perceived material conflicts of interest in holding particular investments</w:t>
      </w:r>
      <w:r w:rsidR="00220FFD">
        <w:t>, including those relating to individuals involved in the decision</w:t>
      </w:r>
      <w:r w:rsidR="00220FFD">
        <w:noBreakHyphen/>
        <w:t>making of the fund</w:t>
      </w:r>
      <w:r w:rsidR="008D28C3">
        <w:t>, and the terms and other circumstances relating to any gift to the fund under a will</w:t>
      </w:r>
      <w:r w:rsidRPr="00D149E1">
        <w:t xml:space="preserve">. </w:t>
      </w:r>
      <w:r w:rsidRPr="00D149E1">
        <w:rPr>
          <w:b/>
          <w:i/>
          <w:sz w:val="20"/>
        </w:rPr>
        <w:t xml:space="preserve">[Schedule 2, item </w:t>
      </w:r>
      <w:r w:rsidR="002C71EE" w:rsidRPr="00473F3A">
        <w:rPr>
          <w:b/>
          <w:i/>
          <w:sz w:val="20"/>
        </w:rPr>
        <w:t>20</w:t>
      </w:r>
      <w:r w:rsidRPr="00D149E1">
        <w:rPr>
          <w:b/>
          <w:i/>
          <w:sz w:val="20"/>
        </w:rPr>
        <w:t>, guideline 30.2]</w:t>
      </w:r>
    </w:p>
    <w:p w14:paraId="06D1312A" w14:textId="55681494" w:rsidR="00136C8E" w:rsidRDefault="00136C8E" w:rsidP="00136C8E">
      <w:r>
        <w:t xml:space="preserve">The new matters were developed following a review by </w:t>
      </w:r>
      <w:r w:rsidR="00B844C8">
        <w:t>ATO</w:t>
      </w:r>
      <w:r>
        <w:t xml:space="preserve"> into the compliance of ancillary funds with their respective guidelines.  The </w:t>
      </w:r>
      <w:r w:rsidR="00B844C8">
        <w:t>ATO</w:t>
      </w:r>
      <w:r>
        <w:t xml:space="preserve"> identified a small number of ancillary funds that held substantial investments with related parties or had entered into a number of related party transactions with donors and founders of the fund.  The investments of these funds tended to be undiversified, may have been structured to increase tax deductions available to donors, and did not reflect prudent investment strategies that trustees of charitable entities are expected to undertake.</w:t>
      </w:r>
    </w:p>
    <w:p w14:paraId="2257CA76" w14:textId="77777777" w:rsidR="00136C8E" w:rsidRDefault="00136C8E" w:rsidP="00136C8E">
      <w:r>
        <w:t>The amending guidelines have made some minor adjustments to the investment strategy rules as a reminder to trustees of the core obligations of trustees to manage perceived or material conflicts of interest and to operate a charitable fund for the public benefit.</w:t>
      </w:r>
    </w:p>
    <w:p w14:paraId="1CFEDF2B" w14:textId="3BEF67D0" w:rsidR="00136C8E" w:rsidRPr="00473F3A" w:rsidRDefault="00136C8E" w:rsidP="00136C8E">
      <w:pPr>
        <w:rPr>
          <w:b/>
          <w:i/>
          <w:sz w:val="20"/>
        </w:rPr>
      </w:pPr>
      <w:r>
        <w:t xml:space="preserve">The amending guidelines also incorporate a small increase in the penalty </w:t>
      </w:r>
      <w:r w:rsidR="00816C21">
        <w:t xml:space="preserve">(from 10 to 15 penalty units) </w:t>
      </w:r>
      <w:r>
        <w:t xml:space="preserve">for failing to comply with the investment strategy rules to better align with other penalties set out in the guidelines. </w:t>
      </w:r>
      <w:r w:rsidRPr="00D149E1">
        <w:rPr>
          <w:b/>
          <w:i/>
          <w:sz w:val="20"/>
        </w:rPr>
        <w:t xml:space="preserve">[Schedule 2, item </w:t>
      </w:r>
      <w:r w:rsidR="002C71EE" w:rsidRPr="00473F3A">
        <w:rPr>
          <w:b/>
          <w:i/>
          <w:sz w:val="20"/>
        </w:rPr>
        <w:t>21</w:t>
      </w:r>
      <w:r w:rsidR="008403E7" w:rsidRPr="00D149E1">
        <w:rPr>
          <w:b/>
          <w:i/>
          <w:sz w:val="20"/>
        </w:rPr>
        <w:t>, guideline 31</w:t>
      </w:r>
      <w:r w:rsidRPr="00D149E1">
        <w:rPr>
          <w:b/>
          <w:i/>
          <w:sz w:val="20"/>
        </w:rPr>
        <w:t>]</w:t>
      </w:r>
    </w:p>
    <w:p w14:paraId="39FC7D8D" w14:textId="03B79CE7" w:rsidR="00A76213" w:rsidRPr="00D149E1" w:rsidRDefault="002C71EE" w:rsidP="00136C8E">
      <w:r w:rsidRPr="00E804D1">
        <w:t xml:space="preserve">The </w:t>
      </w:r>
      <w:r>
        <w:t xml:space="preserve">last new matter to be considered by trustees in developing and maintaining an investment strategy allows trustees to have regard to the terms and other circumstances relating to any gift to the fund under a will.  This will give trustees the flexibility to adjust their investment strategies in situations in which they receive a large gift from a will that cannot be quickly and easily divested to comply with the general investment strategies obligations.  </w:t>
      </w:r>
      <w:r w:rsidRPr="00473F3A">
        <w:rPr>
          <w:b/>
          <w:i/>
          <w:sz w:val="20"/>
        </w:rPr>
        <w:t>[Schedule 2, item 20, guideline 30.2]</w:t>
      </w:r>
    </w:p>
    <w:p w14:paraId="78C44757" w14:textId="507C8D3D" w:rsidR="00136C8E" w:rsidRPr="00304848" w:rsidRDefault="00136C8E" w:rsidP="00136C8E">
      <w:pPr>
        <w:rPr>
          <w:u w:val="single"/>
        </w:rPr>
      </w:pPr>
      <w:r w:rsidRPr="00304848">
        <w:rPr>
          <w:u w:val="single"/>
        </w:rPr>
        <w:t>Allowing public ancillary funds to provide loan guarantees over borrowings of deductible gift recipients</w:t>
      </w:r>
    </w:p>
    <w:p w14:paraId="1CF1C2D4" w14:textId="360B07A9" w:rsidR="00136C8E" w:rsidRDefault="00816C21" w:rsidP="00136C8E">
      <w:r>
        <w:t>T</w:t>
      </w:r>
      <w:r w:rsidR="00136C8E">
        <w:t xml:space="preserve">he amending guidelines </w:t>
      </w:r>
      <w:r w:rsidR="00FF1ACE">
        <w:t>amend</w:t>
      </w:r>
      <w:r w:rsidR="00136C8E">
        <w:t xml:space="preserve"> the investment limitations to allow a public ancillary fund to provide a loan </w:t>
      </w:r>
      <w:r w:rsidR="005B1A91">
        <w:t xml:space="preserve">or similar </w:t>
      </w:r>
      <w:r w:rsidR="00136C8E">
        <w:t xml:space="preserve">guarantee over its assets for the sole benefit of a deductible gift recipient provided such a guarantee is consistent with the governing rules of the fund. </w:t>
      </w:r>
      <w:r w:rsidR="00136C8E" w:rsidRPr="00D149E1">
        <w:rPr>
          <w:b/>
          <w:i/>
          <w:sz w:val="20"/>
        </w:rPr>
        <w:t xml:space="preserve">[Schedule 2, item </w:t>
      </w:r>
      <w:r w:rsidR="005B1A91" w:rsidRPr="00473F3A">
        <w:rPr>
          <w:b/>
          <w:i/>
          <w:sz w:val="20"/>
        </w:rPr>
        <w:t>24</w:t>
      </w:r>
      <w:r w:rsidR="00136C8E" w:rsidRPr="00D149E1">
        <w:rPr>
          <w:b/>
          <w:i/>
          <w:sz w:val="20"/>
        </w:rPr>
        <w:t>, guideline 35.1]</w:t>
      </w:r>
    </w:p>
    <w:p w14:paraId="01CBF9FD" w14:textId="0F308354" w:rsidR="00136C8E" w:rsidRDefault="00136C8E" w:rsidP="00136C8E">
      <w:r>
        <w:t>This will allow public ancillary funds to provide greater assistance to those deductible gift recipients they were established to support.</w:t>
      </w:r>
    </w:p>
    <w:p w14:paraId="06529DD5" w14:textId="739C4823" w:rsidR="00ED0DF0" w:rsidRPr="00816C21" w:rsidRDefault="006E45FE" w:rsidP="00ED0DF0">
      <w:pPr>
        <w:rPr>
          <w:u w:val="single"/>
        </w:rPr>
      </w:pPr>
      <w:r>
        <w:rPr>
          <w:u w:val="single"/>
        </w:rPr>
        <w:t xml:space="preserve">Amendment to the </w:t>
      </w:r>
      <w:r w:rsidR="00ED0DF0" w:rsidRPr="00816C21">
        <w:rPr>
          <w:u w:val="single"/>
        </w:rPr>
        <w:t xml:space="preserve">minimum annual distribution rate </w:t>
      </w:r>
    </w:p>
    <w:p w14:paraId="08F2319D" w14:textId="16684BBB" w:rsidR="000C6403" w:rsidRPr="00D149E1" w:rsidRDefault="001739F5" w:rsidP="000C6403">
      <w:r>
        <w:t xml:space="preserve">The amending guidelines amend </w:t>
      </w:r>
      <w:r w:rsidR="000C6403" w:rsidRPr="00D149E1">
        <w:t>introduce a new discretion for the Commissioner of Taxation to allow the Commissioner to reduce the minimum annual distribution rate for a fund for a financial year where it is appropriate to do so in the circumstances.</w:t>
      </w:r>
    </w:p>
    <w:p w14:paraId="4E661B97" w14:textId="77777777" w:rsidR="000C6403" w:rsidRPr="00D149E1" w:rsidRDefault="000C6403" w:rsidP="000C6403">
      <w:r w:rsidRPr="00D149E1">
        <w:lastRenderedPageBreak/>
        <w:t>The Commissioner may reduce the minimum annual distribution rate at any time which may be before the financial year commences or after it has finished.  The amending guidelines provide a list of factors the Commissioner must consider prior to deciding to reduce the rate for a fund for a financial year.</w:t>
      </w:r>
    </w:p>
    <w:p w14:paraId="6903E267" w14:textId="6272185A" w:rsidR="001739F5" w:rsidRPr="00473F3A" w:rsidRDefault="000C6403" w:rsidP="00473F3A">
      <w:pPr>
        <w:rPr>
          <w:i/>
          <w:sz w:val="18"/>
        </w:rPr>
      </w:pPr>
      <w:r w:rsidRPr="00D149E1">
        <w:t>The new discretion is intended to provide additional flexibility into the regulatory system to assist funds in unusual circumstances, such as those that receiv</w:t>
      </w:r>
      <w:r w:rsidR="00A76213">
        <w:t>e</w:t>
      </w:r>
      <w:r w:rsidRPr="00D149E1">
        <w:t xml:space="preserve"> large gifts from a will subject to terms and conditions that limit fund’s investment choices.  It may also cover cases where a fund has made large distributions above their minimum over one or two years reducing their corpus into the future.</w:t>
      </w:r>
    </w:p>
    <w:p w14:paraId="0CB49DC4" w14:textId="4F07E9CF" w:rsidR="008403E7" w:rsidRDefault="008403E7" w:rsidP="001739F5">
      <w:pPr>
        <w:pStyle w:val="Dash0"/>
        <w:numPr>
          <w:ilvl w:val="0"/>
          <w:numId w:val="0"/>
        </w:numPr>
        <w:spacing w:before="120"/>
        <w:rPr>
          <w:b/>
          <w:i/>
          <w:sz w:val="20"/>
        </w:rPr>
      </w:pPr>
      <w:r w:rsidRPr="00D149E1">
        <w:rPr>
          <w:b/>
          <w:i/>
          <w:sz w:val="20"/>
        </w:rPr>
        <w:t xml:space="preserve">[Schedule 2, items </w:t>
      </w:r>
      <w:r w:rsidR="001739F5" w:rsidRPr="00D149E1">
        <w:rPr>
          <w:b/>
          <w:i/>
          <w:sz w:val="20"/>
        </w:rPr>
        <w:t>6</w:t>
      </w:r>
      <w:r w:rsidRPr="00D149E1">
        <w:rPr>
          <w:b/>
          <w:i/>
          <w:sz w:val="20"/>
        </w:rPr>
        <w:t xml:space="preserve"> to </w:t>
      </w:r>
      <w:r w:rsidR="000C6403" w:rsidRPr="00473F3A">
        <w:rPr>
          <w:b/>
          <w:i/>
          <w:sz w:val="20"/>
        </w:rPr>
        <w:t>10 and 12</w:t>
      </w:r>
      <w:r w:rsidRPr="00D149E1">
        <w:rPr>
          <w:b/>
          <w:i/>
          <w:sz w:val="20"/>
        </w:rPr>
        <w:t>, guidelines 19, 19</w:t>
      </w:r>
      <w:r w:rsidR="001739F5" w:rsidRPr="00D149E1">
        <w:rPr>
          <w:b/>
          <w:i/>
          <w:sz w:val="20"/>
        </w:rPr>
        <w:t>.1 and 19.1 (note)</w:t>
      </w:r>
      <w:r w:rsidR="000C6403" w:rsidRPr="00473F3A">
        <w:rPr>
          <w:b/>
          <w:i/>
          <w:sz w:val="20"/>
        </w:rPr>
        <w:t xml:space="preserve"> and 19.7</w:t>
      </w:r>
      <w:r w:rsidRPr="00D149E1">
        <w:rPr>
          <w:b/>
          <w:i/>
          <w:sz w:val="20"/>
        </w:rPr>
        <w:t>]</w:t>
      </w:r>
    </w:p>
    <w:p w14:paraId="518709F1" w14:textId="77777777" w:rsidR="00F451DE" w:rsidRPr="00473F3A" w:rsidRDefault="00F451DE" w:rsidP="00F451DE">
      <w:pPr>
        <w:keepNext/>
        <w:rPr>
          <w:u w:val="single"/>
        </w:rPr>
      </w:pPr>
      <w:r w:rsidRPr="00473F3A">
        <w:rPr>
          <w:u w:val="single"/>
        </w:rPr>
        <w:t>Providing further guidance on calculating a distribution in relation to a social impact investment</w:t>
      </w:r>
    </w:p>
    <w:p w14:paraId="44953C2A" w14:textId="77777777" w:rsidR="00F451DE" w:rsidRPr="00473F3A" w:rsidRDefault="00F451DE" w:rsidP="00F451DE">
      <w:pPr>
        <w:keepNext/>
      </w:pPr>
      <w:r w:rsidRPr="00473F3A">
        <w:t>The amending guidelines add further examples to the guidelines to assist trustees with calculating their distributions for a financial year where the fund has made social impact investments.  The guidelines cover investing in lending money to deductible gift recipient at a discount to market rates and providing loan guarantees over loans provided to deductible gift recipients.</w:t>
      </w:r>
    </w:p>
    <w:p w14:paraId="2C31FA64" w14:textId="0AA384DE" w:rsidR="00F451DE" w:rsidRDefault="00F451DE" w:rsidP="00F451DE">
      <w:pPr>
        <w:keepNext/>
        <w:rPr>
          <w:u w:val="single"/>
        </w:rPr>
      </w:pPr>
      <w:r w:rsidRPr="00473F3A">
        <w:t xml:space="preserve">The Commissioner of Taxation may also provide safe harbour valuation methods for funds in specific circumstances into the future.  </w:t>
      </w:r>
      <w:r w:rsidRPr="00473F3A">
        <w:rPr>
          <w:b/>
          <w:i/>
          <w:sz w:val="20"/>
        </w:rPr>
        <w:t>[Schedule 2, item 11, guideline 19.3 (examples)]</w:t>
      </w:r>
    </w:p>
    <w:p w14:paraId="4F710D56" w14:textId="7FE8FB44" w:rsidR="00136C8E" w:rsidRPr="00304848" w:rsidRDefault="00136C8E" w:rsidP="00980A78">
      <w:pPr>
        <w:keepNext/>
        <w:rPr>
          <w:u w:val="single"/>
        </w:rPr>
      </w:pPr>
      <w:r w:rsidRPr="00304848">
        <w:rPr>
          <w:u w:val="single"/>
        </w:rPr>
        <w:t>Remove references to the Australian Valuation Office</w:t>
      </w:r>
    </w:p>
    <w:p w14:paraId="3F197C9A" w14:textId="071F293D" w:rsidR="00136C8E" w:rsidRDefault="00136C8E" w:rsidP="00980A78">
      <w:pPr>
        <w:keepNext/>
      </w:pPr>
      <w:r>
        <w:t xml:space="preserve">The amending guidelines remove references to the Australian Valuation Office from the </w:t>
      </w:r>
      <w:r>
        <w:rPr>
          <w:i/>
        </w:rPr>
        <w:t>Public</w:t>
      </w:r>
      <w:r w:rsidRPr="002A1CEC">
        <w:rPr>
          <w:i/>
        </w:rPr>
        <w:t xml:space="preserve"> Ancillary Fund Guidelines 20</w:t>
      </w:r>
      <w:r>
        <w:rPr>
          <w:i/>
        </w:rPr>
        <w:t>11</w:t>
      </w:r>
      <w:r>
        <w:t xml:space="preserve">. </w:t>
      </w:r>
      <w:r w:rsidRPr="00D149E1">
        <w:rPr>
          <w:b/>
          <w:i/>
          <w:sz w:val="20"/>
        </w:rPr>
        <w:t xml:space="preserve">[Schedule 2, items </w:t>
      </w:r>
      <w:r w:rsidR="005B1A91" w:rsidRPr="00473F3A">
        <w:rPr>
          <w:b/>
          <w:i/>
          <w:sz w:val="20"/>
        </w:rPr>
        <w:t>13</w:t>
      </w:r>
      <w:r w:rsidR="005B1A91" w:rsidRPr="00465F4D">
        <w:rPr>
          <w:b/>
          <w:i/>
          <w:sz w:val="20"/>
        </w:rPr>
        <w:t xml:space="preserve"> </w:t>
      </w:r>
      <w:r w:rsidRPr="00D149E1">
        <w:rPr>
          <w:b/>
          <w:i/>
          <w:sz w:val="20"/>
        </w:rPr>
        <w:t xml:space="preserve">to </w:t>
      </w:r>
      <w:r w:rsidR="005B1A91" w:rsidRPr="00473F3A">
        <w:rPr>
          <w:b/>
          <w:i/>
          <w:sz w:val="20"/>
        </w:rPr>
        <w:t>16</w:t>
      </w:r>
      <w:r w:rsidRPr="00D149E1">
        <w:rPr>
          <w:b/>
          <w:i/>
          <w:sz w:val="20"/>
        </w:rPr>
        <w:t>, guidelines 20 to 22]</w:t>
      </w:r>
    </w:p>
    <w:p w14:paraId="4FCDF7B0" w14:textId="77777777" w:rsidR="00136C8E" w:rsidRDefault="00136C8E" w:rsidP="00136C8E">
      <w:r>
        <w:t>The Australian Valuation Office closed on 30 June 2014.</w:t>
      </w:r>
    </w:p>
    <w:p w14:paraId="2BA3E950" w14:textId="2005434C" w:rsidR="00136C8E" w:rsidRPr="00304848" w:rsidRDefault="00136C8E" w:rsidP="00136C8E">
      <w:pPr>
        <w:rPr>
          <w:u w:val="single"/>
        </w:rPr>
      </w:pPr>
      <w:r w:rsidRPr="00304848">
        <w:rPr>
          <w:u w:val="single"/>
        </w:rPr>
        <w:t>Repealing spent guidelines</w:t>
      </w:r>
    </w:p>
    <w:p w14:paraId="4A3A7BC0" w14:textId="3624B9C5" w:rsidR="00136C8E" w:rsidRPr="00F763ED" w:rsidRDefault="00136C8E" w:rsidP="00136C8E">
      <w:r w:rsidRPr="00F763ED">
        <w:t xml:space="preserve">The </w:t>
      </w:r>
      <w:r>
        <w:t xml:space="preserve">amending guidelines </w:t>
      </w:r>
      <w:r w:rsidR="00225A14">
        <w:t xml:space="preserve">update references and </w:t>
      </w:r>
      <w:r>
        <w:t xml:space="preserve">repeal spent and redundant guidelines.  </w:t>
      </w:r>
      <w:r w:rsidRPr="00D149E1">
        <w:rPr>
          <w:b/>
          <w:i/>
          <w:sz w:val="20"/>
        </w:rPr>
        <w:t>[Schedule 2, items 3,</w:t>
      </w:r>
      <w:r w:rsidR="006E45FE" w:rsidRPr="00D149E1">
        <w:rPr>
          <w:b/>
          <w:i/>
          <w:sz w:val="20"/>
        </w:rPr>
        <w:t xml:space="preserve"> 4,</w:t>
      </w:r>
      <w:r w:rsidRPr="00D149E1">
        <w:rPr>
          <w:b/>
          <w:i/>
          <w:sz w:val="20"/>
        </w:rPr>
        <w:t xml:space="preserve"> </w:t>
      </w:r>
      <w:r w:rsidR="005B1A91" w:rsidRPr="00473F3A">
        <w:rPr>
          <w:b/>
          <w:i/>
          <w:sz w:val="20"/>
        </w:rPr>
        <w:t>22</w:t>
      </w:r>
      <w:r w:rsidR="00225A14" w:rsidRPr="00D149E1">
        <w:rPr>
          <w:b/>
          <w:i/>
          <w:sz w:val="20"/>
        </w:rPr>
        <w:t xml:space="preserve">, </w:t>
      </w:r>
      <w:r w:rsidR="005B1A91" w:rsidRPr="00473F3A">
        <w:rPr>
          <w:b/>
          <w:i/>
          <w:sz w:val="20"/>
        </w:rPr>
        <w:t xml:space="preserve">27 </w:t>
      </w:r>
      <w:r w:rsidR="00FB49E1" w:rsidRPr="00D149E1">
        <w:rPr>
          <w:b/>
          <w:i/>
          <w:sz w:val="20"/>
        </w:rPr>
        <w:t>to</w:t>
      </w:r>
      <w:r w:rsidRPr="00D149E1">
        <w:rPr>
          <w:b/>
          <w:i/>
          <w:sz w:val="20"/>
        </w:rPr>
        <w:t xml:space="preserve"> </w:t>
      </w:r>
      <w:r w:rsidR="005B1A91" w:rsidRPr="00473F3A">
        <w:rPr>
          <w:b/>
          <w:i/>
          <w:sz w:val="20"/>
        </w:rPr>
        <w:t>29</w:t>
      </w:r>
      <w:r w:rsidR="00225A14" w:rsidRPr="00D149E1">
        <w:rPr>
          <w:b/>
          <w:i/>
          <w:sz w:val="20"/>
        </w:rPr>
        <w:t xml:space="preserve">, guidelines 12, </w:t>
      </w:r>
      <w:r w:rsidR="006E45FE" w:rsidRPr="00D149E1">
        <w:rPr>
          <w:b/>
          <w:i/>
          <w:sz w:val="20"/>
        </w:rPr>
        <w:t xml:space="preserve">14.1, </w:t>
      </w:r>
      <w:r w:rsidR="00225A14" w:rsidRPr="00D149E1">
        <w:rPr>
          <w:b/>
          <w:i/>
          <w:sz w:val="20"/>
        </w:rPr>
        <w:t xml:space="preserve">32, </w:t>
      </w:r>
      <w:r w:rsidR="00FB49E1" w:rsidRPr="00D149E1">
        <w:rPr>
          <w:b/>
          <w:i/>
          <w:sz w:val="20"/>
        </w:rPr>
        <w:t xml:space="preserve">50, </w:t>
      </w:r>
      <w:r w:rsidR="00225A14" w:rsidRPr="00D149E1">
        <w:rPr>
          <w:b/>
          <w:i/>
          <w:sz w:val="20"/>
        </w:rPr>
        <w:t>52 to 55</w:t>
      </w:r>
      <w:r w:rsidRPr="00D149E1">
        <w:rPr>
          <w:b/>
          <w:i/>
          <w:sz w:val="20"/>
        </w:rPr>
        <w:t>]</w:t>
      </w:r>
    </w:p>
    <w:p w14:paraId="4A161F54" w14:textId="00C754C2" w:rsidR="00136C8E" w:rsidRPr="00304848" w:rsidRDefault="00136C8E" w:rsidP="00136C8E">
      <w:pPr>
        <w:rPr>
          <w:u w:val="single"/>
        </w:rPr>
      </w:pPr>
      <w:r w:rsidRPr="00304848">
        <w:rPr>
          <w:u w:val="single"/>
        </w:rPr>
        <w:t>Other minor changes</w:t>
      </w:r>
    </w:p>
    <w:p w14:paraId="49CAEE47" w14:textId="2ACC1647" w:rsidR="007707F3" w:rsidRPr="00136C8E" w:rsidRDefault="00136C8E" w:rsidP="00136C8E">
      <w:r w:rsidRPr="00136C8E">
        <w:t xml:space="preserve">The </w:t>
      </w:r>
      <w:r>
        <w:t xml:space="preserve">amending guidelines also provide guidance to trustees of public ancillary funds about good practice in relation to the fund’s status as a public fund.  Specifically, it reminds trustees that it is </w:t>
      </w:r>
      <w:r w:rsidR="00F82D4D">
        <w:t xml:space="preserve">generally </w:t>
      </w:r>
      <w:r>
        <w:t>good practice to review the non-binding preferences of donors prior to making distributions from the fund to deductible gift recipients</w:t>
      </w:r>
      <w:r w:rsidR="00F82D4D">
        <w:t xml:space="preserve"> except where their governing rules provide otherwise</w:t>
      </w:r>
      <w:r>
        <w:t xml:space="preserve">. </w:t>
      </w:r>
      <w:r w:rsidRPr="00D149E1">
        <w:rPr>
          <w:b/>
          <w:i/>
          <w:sz w:val="20"/>
        </w:rPr>
        <w:t xml:space="preserve">[Schedule 2, items </w:t>
      </w:r>
      <w:r w:rsidR="008472BE" w:rsidRPr="00473F3A">
        <w:rPr>
          <w:b/>
          <w:i/>
          <w:sz w:val="20"/>
        </w:rPr>
        <w:t xml:space="preserve">25 </w:t>
      </w:r>
      <w:r w:rsidRPr="00D149E1">
        <w:rPr>
          <w:b/>
          <w:i/>
          <w:sz w:val="20"/>
        </w:rPr>
        <w:t xml:space="preserve">and </w:t>
      </w:r>
      <w:r w:rsidR="008472BE" w:rsidRPr="00473F3A">
        <w:rPr>
          <w:b/>
          <w:i/>
          <w:sz w:val="20"/>
        </w:rPr>
        <w:t>26</w:t>
      </w:r>
      <w:r w:rsidR="00225A14" w:rsidRPr="00D149E1">
        <w:rPr>
          <w:b/>
          <w:i/>
          <w:sz w:val="20"/>
        </w:rPr>
        <w:t>, guideline 44</w:t>
      </w:r>
      <w:r w:rsidR="004C42BF" w:rsidRPr="00D149E1">
        <w:rPr>
          <w:b/>
          <w:i/>
          <w:sz w:val="20"/>
        </w:rPr>
        <w:t xml:space="preserve"> </w:t>
      </w:r>
      <w:r w:rsidR="00225A14" w:rsidRPr="00D149E1">
        <w:rPr>
          <w:b/>
          <w:i/>
          <w:sz w:val="20"/>
        </w:rPr>
        <w:t>(note 2)</w:t>
      </w:r>
      <w:r w:rsidRPr="00D149E1">
        <w:rPr>
          <w:b/>
          <w:i/>
          <w:sz w:val="20"/>
        </w:rPr>
        <w:t>]</w:t>
      </w:r>
    </w:p>
    <w:sectPr w:rsidR="007707F3" w:rsidRPr="00136C8E"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15E97" w14:textId="77777777" w:rsidR="00917AAA" w:rsidRDefault="00917AAA" w:rsidP="00917AAA">
      <w:pPr>
        <w:spacing w:before="0" w:after="0"/>
      </w:pPr>
      <w:r>
        <w:separator/>
      </w:r>
    </w:p>
  </w:endnote>
  <w:endnote w:type="continuationSeparator" w:id="0">
    <w:p w14:paraId="0782C06D" w14:textId="77777777" w:rsidR="00917AAA" w:rsidRDefault="00917AAA" w:rsidP="00917AAA">
      <w:pPr>
        <w:spacing w:before="0" w:after="0"/>
      </w:pPr>
      <w:r>
        <w:continuationSeparator/>
      </w:r>
    </w:p>
  </w:endnote>
  <w:endnote w:type="continuationNotice" w:id="1">
    <w:p w14:paraId="70AB5776" w14:textId="77777777" w:rsidR="008D1445" w:rsidRDefault="008D14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C8078" w14:textId="77777777" w:rsidR="004943BA" w:rsidRDefault="00494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274359"/>
      <w:docPartObj>
        <w:docPartGallery w:val="Page Numbers (Bottom of Page)"/>
        <w:docPartUnique/>
      </w:docPartObj>
    </w:sdtPr>
    <w:sdtEndPr>
      <w:rPr>
        <w:noProof/>
      </w:rPr>
    </w:sdtEndPr>
    <w:sdtContent>
      <w:p w14:paraId="4A58D34C" w14:textId="6A3FFB50" w:rsidR="00917AAA" w:rsidRDefault="00917AAA">
        <w:pPr>
          <w:pStyle w:val="Footer"/>
          <w:jc w:val="right"/>
        </w:pPr>
        <w:r>
          <w:fldChar w:fldCharType="begin"/>
        </w:r>
        <w:r>
          <w:instrText xml:space="preserve"> PAGE   \* MERGEFORMAT </w:instrText>
        </w:r>
        <w:r>
          <w:fldChar w:fldCharType="separate"/>
        </w:r>
        <w:r w:rsidR="00D42ECA">
          <w:rPr>
            <w:noProof/>
          </w:rPr>
          <w:t>1</w:t>
        </w:r>
        <w:r>
          <w:rPr>
            <w:noProof/>
          </w:rPr>
          <w:fldChar w:fldCharType="end"/>
        </w:r>
      </w:p>
    </w:sdtContent>
  </w:sdt>
  <w:p w14:paraId="1DCAA265" w14:textId="77777777" w:rsidR="00917AAA" w:rsidRDefault="00917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5ACA" w14:textId="77777777" w:rsidR="004943BA" w:rsidRDefault="00494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98BA5" w14:textId="77777777" w:rsidR="00917AAA" w:rsidRDefault="00917AAA" w:rsidP="00917AAA">
      <w:pPr>
        <w:spacing w:before="0" w:after="0"/>
      </w:pPr>
      <w:r>
        <w:separator/>
      </w:r>
    </w:p>
  </w:footnote>
  <w:footnote w:type="continuationSeparator" w:id="0">
    <w:p w14:paraId="1FCE11F2" w14:textId="77777777" w:rsidR="00917AAA" w:rsidRDefault="00917AAA" w:rsidP="00917AAA">
      <w:pPr>
        <w:spacing w:before="0" w:after="0"/>
      </w:pPr>
      <w:r>
        <w:continuationSeparator/>
      </w:r>
    </w:p>
  </w:footnote>
  <w:footnote w:type="continuationNotice" w:id="1">
    <w:p w14:paraId="0E491B14" w14:textId="77777777" w:rsidR="008D1445" w:rsidRDefault="008D144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0CEE" w14:textId="78066A88" w:rsidR="004943BA" w:rsidRDefault="00494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ED9C" w14:textId="1ECB4042" w:rsidR="004943BA" w:rsidRDefault="00494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D794" w14:textId="4C65CA15" w:rsidR="004943BA" w:rsidRDefault="00494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7A2"/>
    <w:multiLevelType w:val="multilevel"/>
    <w:tmpl w:val="F9468ABE"/>
    <w:lvl w:ilvl="0">
      <w:start w:val="1"/>
      <w:numFmt w:val="bullet"/>
      <w:pStyle w:val="bullet"/>
      <w:lvlText w:val="•"/>
      <w:lvlJc w:val="left"/>
      <w:pPr>
        <w:tabs>
          <w:tab w:val="num" w:pos="607"/>
        </w:tabs>
        <w:ind w:left="607" w:hanging="472"/>
      </w:pPr>
      <w:rPr>
        <w:rFonts w:ascii="Times New Roman" w:hAnsi="Times New Roman" w:cs="Times New Roman"/>
      </w:rPr>
    </w:lvl>
    <w:lvl w:ilvl="1">
      <w:start w:val="1"/>
      <w:numFmt w:val="bullet"/>
      <w:pStyle w:val="dash"/>
      <w:lvlText w:val="–"/>
      <w:lvlJc w:val="left"/>
      <w:pPr>
        <w:tabs>
          <w:tab w:val="num" w:pos="1079"/>
        </w:tabs>
        <w:ind w:left="1079" w:hanging="472"/>
      </w:pPr>
      <w:rPr>
        <w:rFonts w:ascii="Times New Roman" w:hAnsi="Times New Roman" w:cs="Times New Roman"/>
      </w:rPr>
    </w:lvl>
    <w:lvl w:ilvl="2">
      <w:start w:val="1"/>
      <w:numFmt w:val="bullet"/>
      <w:lvlText w:val=":"/>
      <w:lvlJc w:val="left"/>
      <w:pPr>
        <w:tabs>
          <w:tab w:val="num" w:pos="1551"/>
        </w:tabs>
        <w:ind w:left="1551" w:hanging="472"/>
      </w:pPr>
      <w:rPr>
        <w:rFonts w:ascii="Times New Roman" w:hAnsi="Times New Roman" w:cs="Times New Roman"/>
      </w:rPr>
    </w:lvl>
    <w:lvl w:ilvl="3">
      <w:start w:val="1"/>
      <w:numFmt w:val="decimal"/>
      <w:lvlText w:val="(%4)"/>
      <w:lvlJc w:val="left"/>
      <w:pPr>
        <w:tabs>
          <w:tab w:val="num" w:pos="1575"/>
        </w:tabs>
        <w:ind w:left="1575" w:hanging="360"/>
      </w:pPr>
    </w:lvl>
    <w:lvl w:ilvl="4">
      <w:start w:val="1"/>
      <w:numFmt w:val="lowerLetter"/>
      <w:lvlText w:val="(%5)"/>
      <w:lvlJc w:val="left"/>
      <w:pPr>
        <w:tabs>
          <w:tab w:val="num" w:pos="1935"/>
        </w:tabs>
        <w:ind w:left="1935" w:hanging="360"/>
      </w:pPr>
    </w:lvl>
    <w:lvl w:ilvl="5">
      <w:start w:val="1"/>
      <w:numFmt w:val="lowerRoman"/>
      <w:lvlText w:val="(%6)"/>
      <w:lvlJc w:val="left"/>
      <w:pPr>
        <w:tabs>
          <w:tab w:val="num" w:pos="2295"/>
        </w:tabs>
        <w:ind w:left="2295" w:hanging="360"/>
      </w:pPr>
    </w:lvl>
    <w:lvl w:ilvl="6">
      <w:start w:val="1"/>
      <w:numFmt w:val="decimal"/>
      <w:lvlText w:val="%7."/>
      <w:lvlJc w:val="left"/>
      <w:pPr>
        <w:tabs>
          <w:tab w:val="num" w:pos="2655"/>
        </w:tabs>
        <w:ind w:left="2655" w:hanging="360"/>
      </w:pPr>
    </w:lvl>
    <w:lvl w:ilvl="7">
      <w:start w:val="1"/>
      <w:numFmt w:val="lowerLetter"/>
      <w:lvlText w:val="%8."/>
      <w:lvlJc w:val="left"/>
      <w:pPr>
        <w:tabs>
          <w:tab w:val="num" w:pos="3015"/>
        </w:tabs>
        <w:ind w:left="3015" w:hanging="360"/>
      </w:pPr>
    </w:lvl>
    <w:lvl w:ilvl="8">
      <w:start w:val="1"/>
      <w:numFmt w:val="lowerRoman"/>
      <w:lvlText w:val="%9."/>
      <w:lvlJc w:val="left"/>
      <w:pPr>
        <w:tabs>
          <w:tab w:val="num" w:pos="3375"/>
        </w:tabs>
        <w:ind w:left="3375"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5280918E"/>
    <w:name w:val="StandardBulletedList"/>
    <w:lvl w:ilvl="0">
      <w:start w:val="1"/>
      <w:numFmt w:val="bullet"/>
      <w:pStyle w:val="Bullet0"/>
      <w:lvlText w:val="•"/>
      <w:lvlJc w:val="left"/>
      <w:pPr>
        <w:tabs>
          <w:tab w:val="num" w:pos="567"/>
        </w:tabs>
        <w:ind w:left="567" w:hanging="567"/>
      </w:pPr>
      <w:rPr>
        <w:rFonts w:ascii="Times New Roman" w:hAnsi="Times New Roman" w:cs="Times New Roman"/>
      </w:rPr>
    </w:lvl>
    <w:lvl w:ilvl="1">
      <w:start w:val="1"/>
      <w:numFmt w:val="bullet"/>
      <w:pStyle w:val="Dash0"/>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57"/>
    <w:rsid w:val="00001F0B"/>
    <w:rsid w:val="000108FE"/>
    <w:rsid w:val="00016EA2"/>
    <w:rsid w:val="00040B15"/>
    <w:rsid w:val="000810C9"/>
    <w:rsid w:val="000876A6"/>
    <w:rsid w:val="000879A3"/>
    <w:rsid w:val="00093479"/>
    <w:rsid w:val="00095211"/>
    <w:rsid w:val="000C10DF"/>
    <w:rsid w:val="000C24C5"/>
    <w:rsid w:val="000C6403"/>
    <w:rsid w:val="000D6190"/>
    <w:rsid w:val="000F07C5"/>
    <w:rsid w:val="000F799E"/>
    <w:rsid w:val="000F7E8B"/>
    <w:rsid w:val="00106EE4"/>
    <w:rsid w:val="00113B45"/>
    <w:rsid w:val="00114F0A"/>
    <w:rsid w:val="00117A38"/>
    <w:rsid w:val="0013352B"/>
    <w:rsid w:val="00136C8E"/>
    <w:rsid w:val="00161561"/>
    <w:rsid w:val="001739F5"/>
    <w:rsid w:val="001E6A74"/>
    <w:rsid w:val="001F41D0"/>
    <w:rsid w:val="00212813"/>
    <w:rsid w:val="00213C9F"/>
    <w:rsid w:val="002144D4"/>
    <w:rsid w:val="00220F16"/>
    <w:rsid w:val="00220FFD"/>
    <w:rsid w:val="002244B9"/>
    <w:rsid w:val="00225A14"/>
    <w:rsid w:val="00240BBD"/>
    <w:rsid w:val="00241094"/>
    <w:rsid w:val="0024366E"/>
    <w:rsid w:val="00254C5B"/>
    <w:rsid w:val="002668C6"/>
    <w:rsid w:val="00286DFF"/>
    <w:rsid w:val="002A1CEC"/>
    <w:rsid w:val="002A3C5F"/>
    <w:rsid w:val="002C681C"/>
    <w:rsid w:val="002C71EE"/>
    <w:rsid w:val="002D299C"/>
    <w:rsid w:val="002E7ABE"/>
    <w:rsid w:val="002F07D8"/>
    <w:rsid w:val="002F57F8"/>
    <w:rsid w:val="00304848"/>
    <w:rsid w:val="003342CD"/>
    <w:rsid w:val="0033464D"/>
    <w:rsid w:val="00335042"/>
    <w:rsid w:val="00366EC9"/>
    <w:rsid w:val="00385C15"/>
    <w:rsid w:val="00392BBA"/>
    <w:rsid w:val="003A4024"/>
    <w:rsid w:val="003B0717"/>
    <w:rsid w:val="003B20AE"/>
    <w:rsid w:val="003D36F1"/>
    <w:rsid w:val="0041395F"/>
    <w:rsid w:val="00422B4D"/>
    <w:rsid w:val="00424498"/>
    <w:rsid w:val="00465F4D"/>
    <w:rsid w:val="00473F3A"/>
    <w:rsid w:val="00480C64"/>
    <w:rsid w:val="0048122A"/>
    <w:rsid w:val="004943BA"/>
    <w:rsid w:val="004C0192"/>
    <w:rsid w:val="004C42BF"/>
    <w:rsid w:val="004D6DCB"/>
    <w:rsid w:val="004E39E1"/>
    <w:rsid w:val="004F4F65"/>
    <w:rsid w:val="0050368A"/>
    <w:rsid w:val="00503E44"/>
    <w:rsid w:val="00510F15"/>
    <w:rsid w:val="00515283"/>
    <w:rsid w:val="00531B3E"/>
    <w:rsid w:val="0055675D"/>
    <w:rsid w:val="005806AA"/>
    <w:rsid w:val="005833BE"/>
    <w:rsid w:val="005A0D40"/>
    <w:rsid w:val="005A6AC4"/>
    <w:rsid w:val="005B1A91"/>
    <w:rsid w:val="005B4F24"/>
    <w:rsid w:val="005C58CD"/>
    <w:rsid w:val="005D151E"/>
    <w:rsid w:val="005D7D5A"/>
    <w:rsid w:val="005E1561"/>
    <w:rsid w:val="005E5056"/>
    <w:rsid w:val="0060130D"/>
    <w:rsid w:val="006021C2"/>
    <w:rsid w:val="006035BB"/>
    <w:rsid w:val="00605265"/>
    <w:rsid w:val="00613431"/>
    <w:rsid w:val="00634FCC"/>
    <w:rsid w:val="0064129F"/>
    <w:rsid w:val="0067762D"/>
    <w:rsid w:val="00681539"/>
    <w:rsid w:val="006A2DE2"/>
    <w:rsid w:val="006C75A1"/>
    <w:rsid w:val="006E06CD"/>
    <w:rsid w:val="006E45FE"/>
    <w:rsid w:val="0073626D"/>
    <w:rsid w:val="007707F3"/>
    <w:rsid w:val="00793B9C"/>
    <w:rsid w:val="007A0ABE"/>
    <w:rsid w:val="007B0356"/>
    <w:rsid w:val="007E018D"/>
    <w:rsid w:val="007E254C"/>
    <w:rsid w:val="00807C5C"/>
    <w:rsid w:val="00807E2F"/>
    <w:rsid w:val="00807E7D"/>
    <w:rsid w:val="00816C21"/>
    <w:rsid w:val="00831675"/>
    <w:rsid w:val="008403E7"/>
    <w:rsid w:val="00845607"/>
    <w:rsid w:val="008472BE"/>
    <w:rsid w:val="00860290"/>
    <w:rsid w:val="00862A10"/>
    <w:rsid w:val="0088467C"/>
    <w:rsid w:val="00894DEB"/>
    <w:rsid w:val="008A41AD"/>
    <w:rsid w:val="008C09EB"/>
    <w:rsid w:val="008C325E"/>
    <w:rsid w:val="008C7DBB"/>
    <w:rsid w:val="008D1445"/>
    <w:rsid w:val="008D16F7"/>
    <w:rsid w:val="008D28C3"/>
    <w:rsid w:val="008D5086"/>
    <w:rsid w:val="008D5309"/>
    <w:rsid w:val="008E3291"/>
    <w:rsid w:val="0091686F"/>
    <w:rsid w:val="00917AAA"/>
    <w:rsid w:val="00930736"/>
    <w:rsid w:val="009515D2"/>
    <w:rsid w:val="009638AE"/>
    <w:rsid w:val="009673ED"/>
    <w:rsid w:val="00973556"/>
    <w:rsid w:val="00980A78"/>
    <w:rsid w:val="009A1E9A"/>
    <w:rsid w:val="009C1C9F"/>
    <w:rsid w:val="009E1EFF"/>
    <w:rsid w:val="009E2D90"/>
    <w:rsid w:val="009E2F86"/>
    <w:rsid w:val="009E6706"/>
    <w:rsid w:val="009E6A27"/>
    <w:rsid w:val="00A052D5"/>
    <w:rsid w:val="00A12209"/>
    <w:rsid w:val="00A21AEA"/>
    <w:rsid w:val="00A36DF3"/>
    <w:rsid w:val="00A532DD"/>
    <w:rsid w:val="00A60278"/>
    <w:rsid w:val="00A76213"/>
    <w:rsid w:val="00A80BCF"/>
    <w:rsid w:val="00AA6748"/>
    <w:rsid w:val="00AA6B90"/>
    <w:rsid w:val="00AC289B"/>
    <w:rsid w:val="00AC2B8B"/>
    <w:rsid w:val="00AF1DD4"/>
    <w:rsid w:val="00B07B0C"/>
    <w:rsid w:val="00B14C0D"/>
    <w:rsid w:val="00B233F9"/>
    <w:rsid w:val="00B23DC6"/>
    <w:rsid w:val="00B844C8"/>
    <w:rsid w:val="00BB0457"/>
    <w:rsid w:val="00BB5BD1"/>
    <w:rsid w:val="00BB679B"/>
    <w:rsid w:val="00BD61A2"/>
    <w:rsid w:val="00BE484D"/>
    <w:rsid w:val="00BE6F8A"/>
    <w:rsid w:val="00BF201C"/>
    <w:rsid w:val="00C04489"/>
    <w:rsid w:val="00C32E68"/>
    <w:rsid w:val="00C37E05"/>
    <w:rsid w:val="00C455D9"/>
    <w:rsid w:val="00C55323"/>
    <w:rsid w:val="00C55D29"/>
    <w:rsid w:val="00C57DFF"/>
    <w:rsid w:val="00C97701"/>
    <w:rsid w:val="00CA05B8"/>
    <w:rsid w:val="00CC46CB"/>
    <w:rsid w:val="00CD1CF9"/>
    <w:rsid w:val="00CD7E8E"/>
    <w:rsid w:val="00CD7EEC"/>
    <w:rsid w:val="00CE75DE"/>
    <w:rsid w:val="00CF1094"/>
    <w:rsid w:val="00CF6D76"/>
    <w:rsid w:val="00CF7B94"/>
    <w:rsid w:val="00D0085A"/>
    <w:rsid w:val="00D149E1"/>
    <w:rsid w:val="00D34626"/>
    <w:rsid w:val="00D4257A"/>
    <w:rsid w:val="00D42ECA"/>
    <w:rsid w:val="00D75E72"/>
    <w:rsid w:val="00D81D8F"/>
    <w:rsid w:val="00DC0CDE"/>
    <w:rsid w:val="00DC499E"/>
    <w:rsid w:val="00DE69A0"/>
    <w:rsid w:val="00DE7646"/>
    <w:rsid w:val="00DE768C"/>
    <w:rsid w:val="00E0624D"/>
    <w:rsid w:val="00E10275"/>
    <w:rsid w:val="00E24BEA"/>
    <w:rsid w:val="00E43B77"/>
    <w:rsid w:val="00E4438C"/>
    <w:rsid w:val="00E457F3"/>
    <w:rsid w:val="00E83057"/>
    <w:rsid w:val="00E852DF"/>
    <w:rsid w:val="00E968FF"/>
    <w:rsid w:val="00EA0D5E"/>
    <w:rsid w:val="00EB7E71"/>
    <w:rsid w:val="00ED0DF0"/>
    <w:rsid w:val="00ED346F"/>
    <w:rsid w:val="00EE10AE"/>
    <w:rsid w:val="00EE2542"/>
    <w:rsid w:val="00F109D4"/>
    <w:rsid w:val="00F36A63"/>
    <w:rsid w:val="00F44DFD"/>
    <w:rsid w:val="00F451DE"/>
    <w:rsid w:val="00F544EB"/>
    <w:rsid w:val="00F763ED"/>
    <w:rsid w:val="00F76BC3"/>
    <w:rsid w:val="00F826F6"/>
    <w:rsid w:val="00F82D4D"/>
    <w:rsid w:val="00F8529A"/>
    <w:rsid w:val="00FA3D2C"/>
    <w:rsid w:val="00FB49E1"/>
    <w:rsid w:val="00FC0C8F"/>
    <w:rsid w:val="00FF1057"/>
    <w:rsid w:val="00FF1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67E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0">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0"/>
    <w:rsid w:val="00E0624D"/>
    <w:rPr>
      <w:color w:val="000000"/>
      <w:sz w:val="24"/>
      <w:szCs w:val="23"/>
    </w:rPr>
  </w:style>
  <w:style w:type="paragraph" w:customStyle="1" w:styleId="Dash0">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0"/>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917AAA"/>
    <w:pPr>
      <w:tabs>
        <w:tab w:val="center" w:pos="4513"/>
        <w:tab w:val="right" w:pos="9026"/>
      </w:tabs>
      <w:spacing w:before="0" w:after="0"/>
    </w:pPr>
  </w:style>
  <w:style w:type="character" w:customStyle="1" w:styleId="HeaderChar">
    <w:name w:val="Header Char"/>
    <w:basedOn w:val="DefaultParagraphFont"/>
    <w:link w:val="Header"/>
    <w:uiPriority w:val="99"/>
    <w:rsid w:val="00917AAA"/>
    <w:rPr>
      <w:sz w:val="24"/>
    </w:rPr>
  </w:style>
  <w:style w:type="paragraph" w:styleId="Footer">
    <w:name w:val="footer"/>
    <w:basedOn w:val="Normal"/>
    <w:link w:val="FooterChar"/>
    <w:uiPriority w:val="99"/>
    <w:unhideWhenUsed/>
    <w:rsid w:val="00917AAA"/>
    <w:pPr>
      <w:tabs>
        <w:tab w:val="center" w:pos="4513"/>
        <w:tab w:val="right" w:pos="9026"/>
      </w:tabs>
      <w:spacing w:before="0" w:after="0"/>
    </w:pPr>
  </w:style>
  <w:style w:type="character" w:customStyle="1" w:styleId="FooterChar">
    <w:name w:val="Footer Char"/>
    <w:basedOn w:val="DefaultParagraphFont"/>
    <w:link w:val="Footer"/>
    <w:uiPriority w:val="99"/>
    <w:rsid w:val="00917AAA"/>
    <w:rPr>
      <w:sz w:val="24"/>
    </w:rPr>
  </w:style>
  <w:style w:type="character" w:styleId="CommentReference">
    <w:name w:val="annotation reference"/>
    <w:basedOn w:val="DefaultParagraphFont"/>
    <w:uiPriority w:val="99"/>
    <w:semiHidden/>
    <w:unhideWhenUsed/>
    <w:rsid w:val="002F07D8"/>
    <w:rPr>
      <w:sz w:val="16"/>
      <w:szCs w:val="16"/>
    </w:rPr>
  </w:style>
  <w:style w:type="paragraph" w:styleId="CommentText">
    <w:name w:val="annotation text"/>
    <w:basedOn w:val="Normal"/>
    <w:link w:val="CommentTextChar"/>
    <w:uiPriority w:val="99"/>
    <w:semiHidden/>
    <w:unhideWhenUsed/>
    <w:rsid w:val="002F07D8"/>
    <w:rPr>
      <w:sz w:val="20"/>
    </w:rPr>
  </w:style>
  <w:style w:type="character" w:customStyle="1" w:styleId="CommentTextChar">
    <w:name w:val="Comment Text Char"/>
    <w:basedOn w:val="DefaultParagraphFont"/>
    <w:link w:val="CommentText"/>
    <w:uiPriority w:val="99"/>
    <w:semiHidden/>
    <w:rsid w:val="002F07D8"/>
  </w:style>
  <w:style w:type="paragraph" w:styleId="CommentSubject">
    <w:name w:val="annotation subject"/>
    <w:basedOn w:val="CommentText"/>
    <w:next w:val="CommentText"/>
    <w:link w:val="CommentSubjectChar"/>
    <w:uiPriority w:val="99"/>
    <w:semiHidden/>
    <w:unhideWhenUsed/>
    <w:rsid w:val="002F07D8"/>
    <w:rPr>
      <w:b/>
      <w:bCs/>
    </w:rPr>
  </w:style>
  <w:style w:type="character" w:customStyle="1" w:styleId="CommentSubjectChar">
    <w:name w:val="Comment Subject Char"/>
    <w:basedOn w:val="CommentTextChar"/>
    <w:link w:val="CommentSubject"/>
    <w:uiPriority w:val="99"/>
    <w:semiHidden/>
    <w:rsid w:val="002F07D8"/>
    <w:rPr>
      <w:b/>
      <w:bCs/>
    </w:rPr>
  </w:style>
  <w:style w:type="paragraph" w:customStyle="1" w:styleId="bullet">
    <w:name w:val="bullet"/>
    <w:basedOn w:val="Normal"/>
    <w:rsid w:val="005806AA"/>
    <w:pPr>
      <w:numPr>
        <w:numId w:val="3"/>
      </w:numPr>
      <w:spacing w:before="0" w:after="160"/>
    </w:pPr>
    <w:rPr>
      <w:rFonts w:ascii="Arial" w:hAnsi="Arial" w:cs="Arial"/>
    </w:rPr>
  </w:style>
  <w:style w:type="paragraph" w:customStyle="1" w:styleId="dash">
    <w:name w:val="dash"/>
    <w:basedOn w:val="Normal"/>
    <w:rsid w:val="005806AA"/>
    <w:pPr>
      <w:numPr>
        <w:ilvl w:val="1"/>
        <w:numId w:val="3"/>
      </w:numPr>
      <w:spacing w:before="0" w:after="0"/>
    </w:pPr>
    <w:rPr>
      <w:rFonts w:ascii="Arial" w:hAnsi="Arial" w:cs="Arial"/>
      <w:color w:val="00008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0">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0"/>
    <w:rsid w:val="00E0624D"/>
    <w:rPr>
      <w:color w:val="000000"/>
      <w:sz w:val="24"/>
      <w:szCs w:val="23"/>
    </w:rPr>
  </w:style>
  <w:style w:type="paragraph" w:customStyle="1" w:styleId="Dash0">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0"/>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917AAA"/>
    <w:pPr>
      <w:tabs>
        <w:tab w:val="center" w:pos="4513"/>
        <w:tab w:val="right" w:pos="9026"/>
      </w:tabs>
      <w:spacing w:before="0" w:after="0"/>
    </w:pPr>
  </w:style>
  <w:style w:type="character" w:customStyle="1" w:styleId="HeaderChar">
    <w:name w:val="Header Char"/>
    <w:basedOn w:val="DefaultParagraphFont"/>
    <w:link w:val="Header"/>
    <w:uiPriority w:val="99"/>
    <w:rsid w:val="00917AAA"/>
    <w:rPr>
      <w:sz w:val="24"/>
    </w:rPr>
  </w:style>
  <w:style w:type="paragraph" w:styleId="Footer">
    <w:name w:val="footer"/>
    <w:basedOn w:val="Normal"/>
    <w:link w:val="FooterChar"/>
    <w:uiPriority w:val="99"/>
    <w:unhideWhenUsed/>
    <w:rsid w:val="00917AAA"/>
    <w:pPr>
      <w:tabs>
        <w:tab w:val="center" w:pos="4513"/>
        <w:tab w:val="right" w:pos="9026"/>
      </w:tabs>
      <w:spacing w:before="0" w:after="0"/>
    </w:pPr>
  </w:style>
  <w:style w:type="character" w:customStyle="1" w:styleId="FooterChar">
    <w:name w:val="Footer Char"/>
    <w:basedOn w:val="DefaultParagraphFont"/>
    <w:link w:val="Footer"/>
    <w:uiPriority w:val="99"/>
    <w:rsid w:val="00917AAA"/>
    <w:rPr>
      <w:sz w:val="24"/>
    </w:rPr>
  </w:style>
  <w:style w:type="character" w:styleId="CommentReference">
    <w:name w:val="annotation reference"/>
    <w:basedOn w:val="DefaultParagraphFont"/>
    <w:uiPriority w:val="99"/>
    <w:semiHidden/>
    <w:unhideWhenUsed/>
    <w:rsid w:val="002F07D8"/>
    <w:rPr>
      <w:sz w:val="16"/>
      <w:szCs w:val="16"/>
    </w:rPr>
  </w:style>
  <w:style w:type="paragraph" w:styleId="CommentText">
    <w:name w:val="annotation text"/>
    <w:basedOn w:val="Normal"/>
    <w:link w:val="CommentTextChar"/>
    <w:uiPriority w:val="99"/>
    <w:semiHidden/>
    <w:unhideWhenUsed/>
    <w:rsid w:val="002F07D8"/>
    <w:rPr>
      <w:sz w:val="20"/>
    </w:rPr>
  </w:style>
  <w:style w:type="character" w:customStyle="1" w:styleId="CommentTextChar">
    <w:name w:val="Comment Text Char"/>
    <w:basedOn w:val="DefaultParagraphFont"/>
    <w:link w:val="CommentText"/>
    <w:uiPriority w:val="99"/>
    <w:semiHidden/>
    <w:rsid w:val="002F07D8"/>
  </w:style>
  <w:style w:type="paragraph" w:styleId="CommentSubject">
    <w:name w:val="annotation subject"/>
    <w:basedOn w:val="CommentText"/>
    <w:next w:val="CommentText"/>
    <w:link w:val="CommentSubjectChar"/>
    <w:uiPriority w:val="99"/>
    <w:semiHidden/>
    <w:unhideWhenUsed/>
    <w:rsid w:val="002F07D8"/>
    <w:rPr>
      <w:b/>
      <w:bCs/>
    </w:rPr>
  </w:style>
  <w:style w:type="character" w:customStyle="1" w:styleId="CommentSubjectChar">
    <w:name w:val="Comment Subject Char"/>
    <w:basedOn w:val="CommentTextChar"/>
    <w:link w:val="CommentSubject"/>
    <w:uiPriority w:val="99"/>
    <w:semiHidden/>
    <w:rsid w:val="002F07D8"/>
    <w:rPr>
      <w:b/>
      <w:bCs/>
    </w:rPr>
  </w:style>
  <w:style w:type="paragraph" w:customStyle="1" w:styleId="bullet">
    <w:name w:val="bullet"/>
    <w:basedOn w:val="Normal"/>
    <w:rsid w:val="005806AA"/>
    <w:pPr>
      <w:numPr>
        <w:numId w:val="3"/>
      </w:numPr>
      <w:spacing w:before="0" w:after="160"/>
    </w:pPr>
    <w:rPr>
      <w:rFonts w:ascii="Arial" w:hAnsi="Arial" w:cs="Arial"/>
    </w:rPr>
  </w:style>
  <w:style w:type="paragraph" w:customStyle="1" w:styleId="dash">
    <w:name w:val="dash"/>
    <w:basedOn w:val="Normal"/>
    <w:rsid w:val="005806AA"/>
    <w:pPr>
      <w:numPr>
        <w:ilvl w:val="1"/>
        <w:numId w:val="3"/>
      </w:numPr>
      <w:spacing w:before="0" w:after="0"/>
    </w:pPr>
    <w:rPr>
      <w:rFonts w:ascii="Arial" w:hAnsi="Arial" w:cs="Arial"/>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7</Value>
    </TaxCatchAll>
    <_dlc_DocId xmlns="9f7bc583-7cbe-45b9-a2bd-8bbb6543b37e">2016RG-111-6370</_dlc_DocId>
    <_dlc_DocIdUrl xmlns="9f7bc583-7cbe-45b9-a2bd-8bbb6543b37e">
      <Url>http://tweb/sites/rg/ldp/lmu/_layouts/15/DocIdRedir.aspx?ID=2016RG-111-6370</Url>
      <Description>2016RG-111-6370</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443F-DFB8-48A1-A53A-D145A83DF906}"/>
</file>

<file path=customXml/itemProps2.xml><?xml version="1.0" encoding="utf-8"?>
<ds:datastoreItem xmlns:ds="http://schemas.openxmlformats.org/officeDocument/2006/customXml" ds:itemID="{2352A555-135C-45C4-9C4C-F67991E5AAE7}"/>
</file>

<file path=customXml/itemProps3.xml><?xml version="1.0" encoding="utf-8"?>
<ds:datastoreItem xmlns:ds="http://schemas.openxmlformats.org/officeDocument/2006/customXml" ds:itemID="{E00A2DCB-9853-4E88-85E9-8827CDDA4362}"/>
</file>

<file path=customXml/itemProps4.xml><?xml version="1.0" encoding="utf-8"?>
<ds:datastoreItem xmlns:ds="http://schemas.openxmlformats.org/officeDocument/2006/customXml" ds:itemID="{0B52AA23-822C-4DBB-AB31-DDFD68088115}"/>
</file>

<file path=customXml/itemProps5.xml><?xml version="1.0" encoding="utf-8"?>
<ds:datastoreItem xmlns:ds="http://schemas.openxmlformats.org/officeDocument/2006/customXml" ds:itemID="{7C8E25DF-1E4C-4582-8CFC-2BCC94137BF9}"/>
</file>

<file path=customXml/itemProps6.xml><?xml version="1.0" encoding="utf-8"?>
<ds:datastoreItem xmlns:ds="http://schemas.openxmlformats.org/officeDocument/2006/customXml" ds:itemID="{43439E9C-D30B-4610-A211-DED21AD07646}"/>
</file>

<file path=docProps/app.xml><?xml version="1.0" encoding="utf-8"?>
<Properties xmlns="http://schemas.openxmlformats.org/officeDocument/2006/extended-properties" xmlns:vt="http://schemas.openxmlformats.org/officeDocument/2006/docPropsVTypes">
  <Template>ExCo-Explanatory Statement.dotm</Template>
  <TotalTime>0</TotalTime>
  <Pages>8</Pages>
  <Words>2620</Words>
  <Characters>18347</Characters>
  <Application>Microsoft Office Word</Application>
  <DocSecurity>4</DocSecurity>
  <Lines>2038</Lines>
  <Paragraphs>1612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Beresford, Laurel</dc:creator>
  <cp:lastModifiedBy>Robinson, Cameron</cp:lastModifiedBy>
  <cp:revision>2</cp:revision>
  <cp:lastPrinted>2016-09-23T08:21:00Z</cp:lastPrinted>
  <dcterms:created xsi:type="dcterms:W3CDTF">2016-09-23T08:21:00Z</dcterms:created>
  <dcterms:modified xsi:type="dcterms:W3CDTF">2016-09-23T08:21:00Z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-2054394194</vt:i4>
  </property>
  <property fmtid="{D5CDD505-2E9C-101B-9397-08002B2CF9AE}" pid="3" name="_NewReviewCycle">
    <vt:lpwstr/>
  </property>
  <property fmtid="{D5CDD505-2E9C-101B-9397-08002B2CF9AE}" pid="4" name="_EmailSubject">
    <vt:lpwstr>Updated ES - PAF and PUF guideline amendments</vt:lpwstr>
  </property>
  <property fmtid="{D5CDD505-2E9C-101B-9397-08002B2CF9AE}" pid="5" name="_AuthorEmail">
    <vt:lpwstr>Cameron.Robinson@treasury.gov.au</vt:lpwstr>
  </property>
  <property fmtid="{D5CDD505-2E9C-101B-9397-08002B2CF9AE}" pid="6" name="_AuthorEmailDisplayName">
    <vt:lpwstr>Robinson, Cameron</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RecordPoint_WorkflowType">
    <vt:lpwstr>ActiveSubmitStub</vt:lpwstr>
  </property>
  <property fmtid="{D5CDD505-2E9C-101B-9397-08002B2CF9AE}" pid="10" name="_dlc_DocIdItemGuid">
    <vt:lpwstr>b76fff0a-6290-41a1-982d-2c1f23da0e56</vt:lpwstr>
  </property>
  <property fmtid="{D5CDD505-2E9C-101B-9397-08002B2CF9AE}" pid="11" name="RecordPoint_RecordNumberSubmitted">
    <vt:lpwstr>R0001115747</vt:lpwstr>
  </property>
  <property fmtid="{D5CDD505-2E9C-101B-9397-08002B2CF9AE}" pid="12" name="RecordPoint_SubmissionCompleted">
    <vt:lpwstr>2016-10-04T16:28:59.2176349+11:00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ActiveItemUniqueId">
    <vt:lpwstr>{b76fff0a-6290-41a1-982d-2c1f23da0e56}</vt:lpwstr>
  </property>
  <property fmtid="{D5CDD505-2E9C-101B-9397-08002B2CF9AE}" pid="17" name="RecordPoint_ActiveItemSiteId">
    <vt:lpwstr>{5b52b9a5-e5b2-4521-8814-a1e24ca2869d}</vt:lpwstr>
  </property>
  <property fmtid="{D5CDD505-2E9C-101B-9397-08002B2CF9AE}" pid="18" name="RecordPoint_ActiveItemListId">
    <vt:lpwstr>{1a010be9-83b3-4740-abb7-452f2d1120fe}</vt:lpwstr>
  </property>
  <property fmtid="{D5CDD505-2E9C-101B-9397-08002B2CF9AE}" pid="19" name="RecordPoint_ActiveItemWebId">
    <vt:lpwstr>{2602612e-a30f-4de0-b9eb-e01e73dc8005}</vt:lpwstr>
  </property>
  <property fmtid="{D5CDD505-2E9C-101B-9397-08002B2CF9AE}" pid="20" name="_PreviousAdHocReviewCycleID">
    <vt:i4>-1309562604</vt:i4>
  </property>
</Properties>
</file>